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1.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9BA9F1" w14:textId="1163553B" w:rsidR="00EF3551" w:rsidRPr="00EF3551" w:rsidRDefault="00EF3551" w:rsidP="00EF3551">
      <w:pPr>
        <w:pStyle w:val="Heading1"/>
        <w:rPr>
          <w:lang w:val="it-IT"/>
        </w:rPr>
      </w:pPr>
      <w:r w:rsidRPr="00EF3551">
        <w:rPr>
          <w:lang w:val="it-IT"/>
        </w:rPr>
        <w:t>Ca</w:t>
      </w:r>
      <w:r>
        <w:rPr>
          <w:lang w:val="it-IT"/>
        </w:rPr>
        <w:t>pitolo 1</w:t>
      </w:r>
    </w:p>
    <w:p w14:paraId="7D30878E" w14:textId="7886D02C" w:rsidR="0037092F" w:rsidRPr="00EF3551" w:rsidRDefault="00A70573" w:rsidP="00EF3551">
      <w:pPr>
        <w:pStyle w:val="Heading2"/>
        <w:rPr>
          <w:lang w:val="it-IT"/>
        </w:rPr>
      </w:pPr>
      <w:r w:rsidRPr="00EF3551">
        <w:rPr>
          <w:lang w:val="it-IT"/>
        </w:rPr>
        <w:t>Definizione di Real Estate</w:t>
      </w:r>
    </w:p>
    <w:p w14:paraId="08AF54C9" w14:textId="495462DC" w:rsidR="00A70573" w:rsidRPr="00EF3551" w:rsidRDefault="00A70573" w:rsidP="00A70573">
      <w:pPr>
        <w:rPr>
          <w:lang w:val="it-IT"/>
        </w:rPr>
      </w:pPr>
    </w:p>
    <w:p w14:paraId="45616278" w14:textId="06043C0D" w:rsidR="00A70573" w:rsidRDefault="00A70573" w:rsidP="00094F9B">
      <w:pPr>
        <w:jc w:val="both"/>
        <w:rPr>
          <w:lang w:val="it-IT"/>
        </w:rPr>
      </w:pPr>
      <w:r>
        <w:rPr>
          <w:lang w:val="it-IT"/>
        </w:rPr>
        <w:t xml:space="preserve">Nel linguaggio giuridico ed economico l’immobile è quel bene che per sua natura non può essere trasportato senza che venga alterata la sua consistenza (il suolo e tutto ciò che naturalmente o artificialmente è incorporato </w:t>
      </w:r>
      <w:r w:rsidR="00EF3551">
        <w:rPr>
          <w:lang w:val="it-IT"/>
        </w:rPr>
        <w:t>ad esso</w:t>
      </w:r>
      <w:r>
        <w:rPr>
          <w:lang w:val="it-IT"/>
        </w:rPr>
        <w:t>).</w:t>
      </w:r>
      <w:r>
        <w:rPr>
          <w:rStyle w:val="FootnoteReference"/>
          <w:lang w:val="it-IT"/>
        </w:rPr>
        <w:footnoteReference w:id="1"/>
      </w:r>
      <w:r>
        <w:rPr>
          <w:lang w:val="it-IT"/>
        </w:rPr>
        <w:t xml:space="preserve"> Ciò che è di particolare interesse all’interno di questo trattato è il diritto di proprietà sugli immobili che produce valore economico negoziabile sul mercato. </w:t>
      </w:r>
    </w:p>
    <w:p w14:paraId="6D7CB133" w14:textId="1F6FF947" w:rsidR="00A70573" w:rsidRDefault="00E13AE8" w:rsidP="00094F9B">
      <w:pPr>
        <w:jc w:val="both"/>
        <w:rPr>
          <w:lang w:val="it-IT"/>
        </w:rPr>
      </w:pPr>
      <w:r>
        <w:rPr>
          <w:lang w:val="it-IT"/>
        </w:rPr>
        <w:t>I prezzi riflessi sul mercato immobiliare derivano da due tipologie di domanda</w:t>
      </w:r>
      <w:r>
        <w:rPr>
          <w:rStyle w:val="FootnoteReference"/>
          <w:lang w:val="it-IT"/>
        </w:rPr>
        <w:footnoteReference w:id="2"/>
      </w:r>
      <w:r>
        <w:rPr>
          <w:lang w:val="it-IT"/>
        </w:rPr>
        <w:t xml:space="preserve">: </w:t>
      </w:r>
    </w:p>
    <w:p w14:paraId="4645D8D0" w14:textId="735D2A60" w:rsidR="00E13AE8" w:rsidRDefault="00E13AE8" w:rsidP="00094F9B">
      <w:pPr>
        <w:pStyle w:val="ListParagraph"/>
        <w:numPr>
          <w:ilvl w:val="0"/>
          <w:numId w:val="1"/>
        </w:numPr>
        <w:jc w:val="both"/>
        <w:rPr>
          <w:lang w:val="it-IT"/>
        </w:rPr>
      </w:pPr>
      <w:r>
        <w:rPr>
          <w:lang w:val="it-IT"/>
        </w:rPr>
        <w:t>Derivata</w:t>
      </w:r>
      <w:r w:rsidR="00AF5EAA">
        <w:rPr>
          <w:lang w:val="it-IT"/>
        </w:rPr>
        <w:t xml:space="preserve"> (</w:t>
      </w:r>
      <w:proofErr w:type="spellStart"/>
      <w:r w:rsidR="00AF5EAA">
        <w:rPr>
          <w:i/>
          <w:iCs/>
          <w:lang w:val="it-IT"/>
        </w:rPr>
        <w:t>derived</w:t>
      </w:r>
      <w:proofErr w:type="spellEnd"/>
      <w:r w:rsidR="0067343B">
        <w:rPr>
          <w:lang w:val="it-IT"/>
        </w:rPr>
        <w:t>)</w:t>
      </w:r>
    </w:p>
    <w:p w14:paraId="4402FB14" w14:textId="78EC7EC8" w:rsidR="00E13AE8" w:rsidRDefault="00E13AE8" w:rsidP="00094F9B">
      <w:pPr>
        <w:pStyle w:val="ListParagraph"/>
        <w:numPr>
          <w:ilvl w:val="0"/>
          <w:numId w:val="1"/>
        </w:numPr>
        <w:jc w:val="both"/>
        <w:rPr>
          <w:lang w:val="it-IT"/>
        </w:rPr>
      </w:pPr>
      <w:r>
        <w:rPr>
          <w:lang w:val="it-IT"/>
        </w:rPr>
        <w:t>Autentica</w:t>
      </w:r>
      <w:r w:rsidR="00AF5EAA">
        <w:rPr>
          <w:lang w:val="it-IT"/>
        </w:rPr>
        <w:t xml:space="preserve"> </w:t>
      </w:r>
      <w:r w:rsidR="0067343B">
        <w:rPr>
          <w:lang w:val="it-IT"/>
        </w:rPr>
        <w:t>(</w:t>
      </w:r>
      <w:proofErr w:type="spellStart"/>
      <w:r w:rsidR="0067343B">
        <w:rPr>
          <w:i/>
          <w:iCs/>
          <w:lang w:val="it-IT"/>
        </w:rPr>
        <w:t>authentic</w:t>
      </w:r>
      <w:proofErr w:type="spellEnd"/>
      <w:r w:rsidR="0067343B">
        <w:rPr>
          <w:lang w:val="it-IT"/>
        </w:rPr>
        <w:t>)</w:t>
      </w:r>
    </w:p>
    <w:p w14:paraId="23C8C12F" w14:textId="27FBB6DA" w:rsidR="0067343B" w:rsidRDefault="0067343B" w:rsidP="00094F9B">
      <w:pPr>
        <w:jc w:val="both"/>
        <w:rPr>
          <w:lang w:val="it-IT"/>
        </w:rPr>
      </w:pPr>
      <w:r>
        <w:rPr>
          <w:lang w:val="it-IT"/>
        </w:rPr>
        <w:t>La domanda derivata nasce dalla domanda per un certo bene/servizio che è conseguenza di una domanda per</w:t>
      </w:r>
      <w:r w:rsidR="00827A83">
        <w:rPr>
          <w:lang w:val="it-IT"/>
        </w:rPr>
        <w:t xml:space="preserve"> beni/servizi necessari connessi. Ad esempio, dalla domanda di avere un’abitazione nasce la domanda di avere una casa e un suolo sul quale costruirla. </w:t>
      </w:r>
      <w:r w:rsidR="006859DF">
        <w:rPr>
          <w:lang w:val="it-IT"/>
        </w:rPr>
        <w:t xml:space="preserve">O ancora, un campo agrario viene demandato per la sua funzione di crescere grano e di conseguenza soddisfare la domanda di alimenti. </w:t>
      </w:r>
    </w:p>
    <w:p w14:paraId="7EA297A4" w14:textId="7EC3A4D2" w:rsidR="006859DF" w:rsidRDefault="006859DF" w:rsidP="00094F9B">
      <w:pPr>
        <w:jc w:val="both"/>
        <w:rPr>
          <w:lang w:val="it-IT"/>
        </w:rPr>
      </w:pPr>
      <w:r>
        <w:rPr>
          <w:lang w:val="it-IT"/>
        </w:rPr>
        <w:t xml:space="preserve">La domanda può anche essere autentica, ovvero viene soddisfatta dall’uso/proprietà del bene in questione. È il caso, ad esempio, di edifici di particolare significato storico o emotivo per gli acquirenti. </w:t>
      </w:r>
    </w:p>
    <w:p w14:paraId="3296F99C" w14:textId="3CE1FA03" w:rsidR="000B3239" w:rsidRDefault="000B3239" w:rsidP="00094F9B">
      <w:pPr>
        <w:jc w:val="both"/>
        <w:rPr>
          <w:lang w:val="it-IT"/>
        </w:rPr>
      </w:pPr>
      <w:r>
        <w:rPr>
          <w:lang w:val="it-IT"/>
        </w:rPr>
        <w:t>Non è es</w:t>
      </w:r>
      <w:r w:rsidR="00232A5D">
        <w:rPr>
          <w:lang w:val="it-IT"/>
        </w:rPr>
        <w:t>cluso che a volte la domanda possa</w:t>
      </w:r>
      <w:r>
        <w:rPr>
          <w:lang w:val="it-IT"/>
        </w:rPr>
        <w:t xml:space="preserve"> essere un misto delle due.</w:t>
      </w:r>
    </w:p>
    <w:p w14:paraId="363F22F6" w14:textId="15F88A49" w:rsidR="006859DF" w:rsidRDefault="006859DF" w:rsidP="00094F9B">
      <w:pPr>
        <w:jc w:val="both"/>
        <w:rPr>
          <w:lang w:val="it-IT"/>
        </w:rPr>
      </w:pPr>
      <w:r>
        <w:rPr>
          <w:lang w:val="it-IT"/>
        </w:rPr>
        <w:t xml:space="preserve">Già da questa prima differenziazione si riesce ad intuire l’unicità dei beni immobili che viene definita da numerose variabili, tra cui, in modo preponderante, la loro locazione. </w:t>
      </w:r>
    </w:p>
    <w:p w14:paraId="7ADDC1A5" w14:textId="1A2DE750" w:rsidR="00F51F4A" w:rsidRDefault="00F51F4A" w:rsidP="00094F9B">
      <w:pPr>
        <w:jc w:val="both"/>
        <w:rPr>
          <w:lang w:val="it-IT"/>
        </w:rPr>
      </w:pPr>
      <w:r>
        <w:rPr>
          <w:lang w:val="it-IT"/>
        </w:rPr>
        <w:t xml:space="preserve">Con lo svilupparsi dell’industria finanziaria, il mercato immobiliare è diventato un importante strumento di investimento e speculazione. </w:t>
      </w:r>
    </w:p>
    <w:p w14:paraId="392FEF49" w14:textId="3F023DDB" w:rsidR="006859DF" w:rsidRDefault="00F65127" w:rsidP="00094F9B">
      <w:pPr>
        <w:pStyle w:val="Heading2"/>
        <w:jc w:val="both"/>
        <w:rPr>
          <w:lang w:val="it-IT"/>
        </w:rPr>
      </w:pPr>
      <w:proofErr w:type="spellStart"/>
      <w:r>
        <w:rPr>
          <w:lang w:val="it-IT"/>
        </w:rPr>
        <w:t>Sottomercati</w:t>
      </w:r>
      <w:proofErr w:type="spellEnd"/>
      <w:r>
        <w:rPr>
          <w:lang w:val="it-IT"/>
        </w:rPr>
        <w:t xml:space="preserve"> immobiliari</w:t>
      </w:r>
    </w:p>
    <w:p w14:paraId="147CF9B0" w14:textId="198391A2" w:rsidR="00F65127" w:rsidRDefault="00F65127" w:rsidP="00094F9B">
      <w:pPr>
        <w:jc w:val="both"/>
        <w:rPr>
          <w:lang w:val="it-IT"/>
        </w:rPr>
      </w:pPr>
    </w:p>
    <w:p w14:paraId="07ECF5C4" w14:textId="00248B82" w:rsidR="00D80F5F" w:rsidRDefault="00F65127" w:rsidP="00094F9B">
      <w:pPr>
        <w:jc w:val="both"/>
        <w:rPr>
          <w:lang w:val="it-IT"/>
        </w:rPr>
      </w:pPr>
      <w:r>
        <w:rPr>
          <w:lang w:val="it-IT"/>
        </w:rPr>
        <w:t>La domanda derivata per il RE è la regola, non l’eccezione</w:t>
      </w:r>
      <w:r w:rsidR="00282F77">
        <w:rPr>
          <w:lang w:val="it-IT"/>
        </w:rPr>
        <w:t>. La conseguenza è che vengono creati dei “</w:t>
      </w:r>
      <w:proofErr w:type="spellStart"/>
      <w:r w:rsidR="00282F77">
        <w:rPr>
          <w:lang w:val="it-IT"/>
        </w:rPr>
        <w:t>sottomercati</w:t>
      </w:r>
      <w:proofErr w:type="spellEnd"/>
      <w:r w:rsidR="00282F77">
        <w:rPr>
          <w:lang w:val="it-IT"/>
        </w:rPr>
        <w:t>” che competono fra di loro. Ad esempio, il suolo agricolo è in competizione con quello residenziale, commerciale ed industriale. Questo perché la quantità di suolo disponibile è limitato</w:t>
      </w:r>
      <w:r w:rsidR="00D80F5F">
        <w:rPr>
          <w:lang w:val="it-IT"/>
        </w:rPr>
        <w:t xml:space="preserve"> e per sua natura è escludibile e rivale. E quindi il prezzo </w:t>
      </w:r>
      <w:r w:rsidR="00CA3EA6">
        <w:rPr>
          <w:lang w:val="it-IT"/>
        </w:rPr>
        <w:t>del</w:t>
      </w:r>
      <w:r w:rsidR="00D80F5F">
        <w:rPr>
          <w:lang w:val="it-IT"/>
        </w:rPr>
        <w:t xml:space="preserve"> suolo viene determinato in base al prezzo pi</w:t>
      </w:r>
      <w:r w:rsidR="004B4DD1">
        <w:rPr>
          <w:lang w:val="it-IT"/>
        </w:rPr>
        <w:t xml:space="preserve">ù alto pagabile per il suo miglior uso. </w:t>
      </w:r>
    </w:p>
    <w:p w14:paraId="60E0E7C3" w14:textId="017DF0C2" w:rsidR="00A25361" w:rsidRDefault="00A25361" w:rsidP="00094F9B">
      <w:pPr>
        <w:jc w:val="both"/>
        <w:rPr>
          <w:lang w:val="it-IT"/>
        </w:rPr>
      </w:pPr>
      <w:r>
        <w:rPr>
          <w:lang w:val="it-IT"/>
        </w:rPr>
        <w:t xml:space="preserve">Le specifiche caratteristiche di un suolo/terreno determinano poi la creazione di ulteriori </w:t>
      </w:r>
      <w:proofErr w:type="spellStart"/>
      <w:r>
        <w:rPr>
          <w:lang w:val="it-IT"/>
        </w:rPr>
        <w:t>sottomercati</w:t>
      </w:r>
      <w:proofErr w:type="spellEnd"/>
      <w:r>
        <w:rPr>
          <w:lang w:val="it-IT"/>
        </w:rPr>
        <w:t xml:space="preserve">. </w:t>
      </w:r>
    </w:p>
    <w:p w14:paraId="5789F461" w14:textId="754132B6" w:rsidR="00A25361" w:rsidRDefault="00A25361" w:rsidP="00094F9B">
      <w:pPr>
        <w:jc w:val="both"/>
        <w:rPr>
          <w:lang w:val="it-IT"/>
        </w:rPr>
      </w:pPr>
      <w:r>
        <w:rPr>
          <w:lang w:val="it-IT"/>
        </w:rPr>
        <w:t xml:space="preserve">Si pensi alla differenza tra edifici locati in centro città piuttosto a quelli locati in periferia o la differenza tra edifici nuovi </w:t>
      </w:r>
      <w:proofErr w:type="gramStart"/>
      <w:r>
        <w:rPr>
          <w:lang w:val="it-IT"/>
        </w:rPr>
        <w:t>ed</w:t>
      </w:r>
      <w:proofErr w:type="gramEnd"/>
      <w:r>
        <w:rPr>
          <w:lang w:val="it-IT"/>
        </w:rPr>
        <w:t xml:space="preserve"> edifici storici.</w:t>
      </w:r>
    </w:p>
    <w:p w14:paraId="1548AC8C" w14:textId="17F60D77" w:rsidR="00A25361" w:rsidRDefault="00A25361" w:rsidP="00094F9B">
      <w:pPr>
        <w:jc w:val="both"/>
        <w:rPr>
          <w:lang w:val="it-IT"/>
        </w:rPr>
      </w:pPr>
      <w:r>
        <w:rPr>
          <w:lang w:val="it-IT"/>
        </w:rPr>
        <w:t xml:space="preserve">Un’ultima tipologia di sottomercato viene definita dai diversi tipi di diritti sugli immobili, si pensi alla differenza tra proprietà, usufrutto o un semplice contratto di locazione. </w:t>
      </w:r>
    </w:p>
    <w:p w14:paraId="23F4D1CF" w14:textId="34A4A370" w:rsidR="00A25361" w:rsidRDefault="00444963" w:rsidP="00094F9B">
      <w:pPr>
        <w:jc w:val="both"/>
        <w:rPr>
          <w:lang w:val="it-IT"/>
        </w:rPr>
      </w:pPr>
      <w:r>
        <w:rPr>
          <w:lang w:val="it-IT"/>
        </w:rPr>
        <w:t xml:space="preserve">Fino ad un certo grado, la presenza di questi </w:t>
      </w:r>
      <w:proofErr w:type="spellStart"/>
      <w:r>
        <w:rPr>
          <w:lang w:val="it-IT"/>
        </w:rPr>
        <w:t>sottomercati</w:t>
      </w:r>
      <w:proofErr w:type="spellEnd"/>
      <w:r>
        <w:rPr>
          <w:lang w:val="it-IT"/>
        </w:rPr>
        <w:t xml:space="preserve"> è sintomo dell’imperfezione del mercato immobiliare. Costi di transazione elevati, </w:t>
      </w:r>
      <w:r w:rsidR="00D72DE4">
        <w:rPr>
          <w:lang w:val="it-IT"/>
        </w:rPr>
        <w:t xml:space="preserve">i costi di trasloco, l’asimmetria informativa e l’offerta inelastica non sono del tutto eliminabili. </w:t>
      </w:r>
    </w:p>
    <w:p w14:paraId="2B1EC2E6" w14:textId="564F2E05" w:rsidR="00FC47D7" w:rsidRDefault="00FC47D7" w:rsidP="00094F9B">
      <w:pPr>
        <w:jc w:val="both"/>
        <w:rPr>
          <w:lang w:val="it-IT"/>
        </w:rPr>
      </w:pPr>
      <w:r>
        <w:rPr>
          <w:lang w:val="it-IT"/>
        </w:rPr>
        <w:lastRenderedPageBreak/>
        <w:t>La suddivisione del mercato immobiliare comprende tipicamente tre comparti:</w:t>
      </w:r>
    </w:p>
    <w:p w14:paraId="0BC5E39B" w14:textId="77777777" w:rsidR="00FC47D7" w:rsidRDefault="00FC47D7" w:rsidP="00094F9B">
      <w:pPr>
        <w:pStyle w:val="ListParagraph"/>
        <w:numPr>
          <w:ilvl w:val="0"/>
          <w:numId w:val="3"/>
        </w:numPr>
        <w:jc w:val="both"/>
        <w:rPr>
          <w:lang w:val="it-IT"/>
        </w:rPr>
      </w:pPr>
      <w:proofErr w:type="spellStart"/>
      <w:r w:rsidRPr="00FC47D7">
        <w:rPr>
          <w:b/>
          <w:lang w:val="it-IT"/>
        </w:rPr>
        <w:t>Residential</w:t>
      </w:r>
      <w:proofErr w:type="spellEnd"/>
      <w:r>
        <w:rPr>
          <w:lang w:val="it-IT"/>
        </w:rPr>
        <w:t>: Edifici ad uso abitativo o non imprenditoriale</w:t>
      </w:r>
    </w:p>
    <w:p w14:paraId="6719C239" w14:textId="49D1AC25" w:rsidR="00FC47D7" w:rsidRPr="00FC47D7" w:rsidRDefault="00FC47D7" w:rsidP="00094F9B">
      <w:pPr>
        <w:pStyle w:val="ListParagraph"/>
        <w:numPr>
          <w:ilvl w:val="0"/>
          <w:numId w:val="3"/>
        </w:numPr>
        <w:jc w:val="both"/>
        <w:rPr>
          <w:lang w:val="it-IT"/>
        </w:rPr>
      </w:pPr>
      <w:r w:rsidRPr="00FC47D7">
        <w:rPr>
          <w:b/>
          <w:lang w:val="it-IT"/>
        </w:rPr>
        <w:t>Industrial</w:t>
      </w:r>
      <w:r w:rsidRPr="00FC47D7">
        <w:rPr>
          <w:lang w:val="it-IT"/>
        </w:rPr>
        <w:t xml:space="preserve">: Edifici destinati ad attività produttive, stoccaggio o logistica. </w:t>
      </w:r>
    </w:p>
    <w:p w14:paraId="094AEF86" w14:textId="1A9F9927" w:rsidR="00FC47D7" w:rsidRPr="00FC47D7" w:rsidRDefault="00FC47D7" w:rsidP="00094F9B">
      <w:pPr>
        <w:pStyle w:val="ListParagraph"/>
        <w:numPr>
          <w:ilvl w:val="0"/>
          <w:numId w:val="3"/>
        </w:numPr>
        <w:jc w:val="both"/>
        <w:rPr>
          <w:lang w:val="it-IT"/>
        </w:rPr>
      </w:pPr>
      <w:r>
        <w:rPr>
          <w:b/>
          <w:lang w:val="it-IT"/>
        </w:rPr>
        <w:t>Commercial</w:t>
      </w:r>
      <w:r w:rsidRPr="00FC47D7">
        <w:rPr>
          <w:b/>
          <w:lang w:val="it-IT"/>
        </w:rPr>
        <w:t>:</w:t>
      </w:r>
      <w:r>
        <w:rPr>
          <w:lang w:val="it-IT"/>
        </w:rPr>
        <w:t xml:space="preserve"> Uffici, Negozi Retail, Hotels</w:t>
      </w:r>
    </w:p>
    <w:p w14:paraId="4A416268" w14:textId="7B0C49AF" w:rsidR="00FC47D7" w:rsidRDefault="00FC47D7" w:rsidP="00094F9B">
      <w:pPr>
        <w:jc w:val="center"/>
        <w:rPr>
          <w:lang w:val="it-IT"/>
        </w:rPr>
      </w:pPr>
      <w:r>
        <w:rPr>
          <w:noProof/>
        </w:rPr>
        <w:drawing>
          <wp:inline distT="0" distB="0" distL="0" distR="0" wp14:anchorId="6E0F34C7" wp14:editId="12712AF2">
            <wp:extent cx="2964144" cy="1419860"/>
            <wp:effectExtent l="0" t="0" r="825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5022" t="24266" r="26532" b="32473"/>
                    <a:stretch/>
                  </pic:blipFill>
                  <pic:spPr bwMode="auto">
                    <a:xfrm>
                      <a:off x="0" y="0"/>
                      <a:ext cx="2964969" cy="1420255"/>
                    </a:xfrm>
                    <a:prstGeom prst="rect">
                      <a:avLst/>
                    </a:prstGeom>
                    <a:ln>
                      <a:noFill/>
                    </a:ln>
                    <a:extLst>
                      <a:ext uri="{53640926-AAD7-44D8-BBD7-CCE9431645EC}">
                        <a14:shadowObscured xmlns:a14="http://schemas.microsoft.com/office/drawing/2010/main"/>
                      </a:ext>
                    </a:extLst>
                  </pic:spPr>
                </pic:pic>
              </a:graphicData>
            </a:graphic>
          </wp:inline>
        </w:drawing>
      </w:r>
    </w:p>
    <w:p w14:paraId="2173AB26" w14:textId="0CB4BCD6" w:rsidR="00FC47D7" w:rsidRDefault="00FC47D7" w:rsidP="00F8392B">
      <w:pPr>
        <w:jc w:val="center"/>
        <w:rPr>
          <w:lang w:val="it-IT"/>
        </w:rPr>
      </w:pPr>
      <w:r>
        <w:rPr>
          <w:lang w:val="it-IT"/>
        </w:rPr>
        <w:t>Figura 1: Diversificazione delle asset class</w:t>
      </w:r>
      <w:r w:rsidR="000253AF">
        <w:rPr>
          <w:rStyle w:val="FootnoteReference"/>
          <w:lang w:val="it-IT"/>
        </w:rPr>
        <w:footnoteReference w:id="3"/>
      </w:r>
    </w:p>
    <w:p w14:paraId="1D4344D0" w14:textId="77777777" w:rsidR="00FC47D7" w:rsidRPr="00F65127" w:rsidRDefault="00FC47D7" w:rsidP="00094F9B">
      <w:pPr>
        <w:jc w:val="both"/>
        <w:rPr>
          <w:lang w:val="it-IT"/>
        </w:rPr>
      </w:pPr>
    </w:p>
    <w:p w14:paraId="49462837" w14:textId="56C8DCC0" w:rsidR="006859DF" w:rsidRDefault="00A641D2" w:rsidP="00094F9B">
      <w:pPr>
        <w:pStyle w:val="Heading2"/>
        <w:jc w:val="both"/>
        <w:rPr>
          <w:lang w:val="it-IT"/>
        </w:rPr>
      </w:pPr>
      <w:r>
        <w:rPr>
          <w:lang w:val="it-IT"/>
        </w:rPr>
        <w:t>Inelasticità dell’offerta</w:t>
      </w:r>
    </w:p>
    <w:p w14:paraId="35D78129" w14:textId="2782E1A8" w:rsidR="00B336D4" w:rsidRDefault="00B336D4" w:rsidP="00094F9B">
      <w:pPr>
        <w:jc w:val="both"/>
        <w:rPr>
          <w:lang w:val="it-IT"/>
        </w:rPr>
      </w:pPr>
    </w:p>
    <w:p w14:paraId="6317A2C0" w14:textId="52227B1C" w:rsidR="00B336D4" w:rsidRDefault="00B336D4" w:rsidP="00094F9B">
      <w:pPr>
        <w:jc w:val="both"/>
        <w:rPr>
          <w:lang w:val="it-IT"/>
        </w:rPr>
      </w:pPr>
      <w:r>
        <w:rPr>
          <w:lang w:val="it-IT"/>
        </w:rPr>
        <w:t xml:space="preserve">L’offerta di immobili è limitata dalla disponibilità di suolo e da una pesante regolamentazione urbanistica. La conseguenza è che il mercato immobiliare è un esempio di monopolio competitivo in cui l’offerta è sostanzialmente inelastica. </w:t>
      </w:r>
    </w:p>
    <w:p w14:paraId="0FD9D4B7" w14:textId="5F07DF33" w:rsidR="00B336D4" w:rsidRDefault="00B336D4" w:rsidP="00094F9B">
      <w:pPr>
        <w:jc w:val="center"/>
        <w:rPr>
          <w:lang w:val="it-IT"/>
        </w:rPr>
      </w:pPr>
      <w:r>
        <w:rPr>
          <w:noProof/>
        </w:rPr>
        <w:drawing>
          <wp:inline distT="0" distB="0" distL="0" distR="0" wp14:anchorId="419A12F2" wp14:editId="50CEF67C">
            <wp:extent cx="3759200" cy="2076450"/>
            <wp:effectExtent l="0" t="0" r="0" b="0"/>
            <wp:docPr id="1" name="Picture 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low confidence"/>
                    <pic:cNvPicPr/>
                  </pic:nvPicPr>
                  <pic:blipFill rotWithShape="1">
                    <a:blip r:embed="rId9"/>
                    <a:srcRect l="24279" t="44356" r="14298" b="28933"/>
                    <a:stretch/>
                  </pic:blipFill>
                  <pic:spPr bwMode="auto">
                    <a:xfrm>
                      <a:off x="0" y="0"/>
                      <a:ext cx="3759200" cy="2076450"/>
                    </a:xfrm>
                    <a:prstGeom prst="rect">
                      <a:avLst/>
                    </a:prstGeom>
                    <a:ln>
                      <a:noFill/>
                    </a:ln>
                    <a:extLst>
                      <a:ext uri="{53640926-AAD7-44D8-BBD7-CCE9431645EC}">
                        <a14:shadowObscured xmlns:a14="http://schemas.microsoft.com/office/drawing/2010/main"/>
                      </a:ext>
                    </a:extLst>
                  </pic:spPr>
                </pic:pic>
              </a:graphicData>
            </a:graphic>
          </wp:inline>
        </w:drawing>
      </w:r>
    </w:p>
    <w:p w14:paraId="3FC0418E" w14:textId="677BE921" w:rsidR="00086211" w:rsidRDefault="00086211" w:rsidP="00F8392B">
      <w:pPr>
        <w:jc w:val="center"/>
        <w:rPr>
          <w:lang w:val="it-IT"/>
        </w:rPr>
      </w:pPr>
      <w:r>
        <w:rPr>
          <w:lang w:val="it-IT"/>
        </w:rPr>
        <w:t>Figura 2: Un incremento nella domanda da D</w:t>
      </w:r>
      <w:r>
        <w:rPr>
          <w:vertAlign w:val="subscript"/>
          <w:lang w:val="it-IT"/>
        </w:rPr>
        <w:t>1</w:t>
      </w:r>
      <w:r>
        <w:rPr>
          <w:lang w:val="it-IT"/>
        </w:rPr>
        <w:t xml:space="preserve"> a D</w:t>
      </w:r>
      <w:r>
        <w:rPr>
          <w:vertAlign w:val="subscript"/>
          <w:lang w:val="it-IT"/>
        </w:rPr>
        <w:t>2</w:t>
      </w:r>
      <w:r>
        <w:rPr>
          <w:lang w:val="it-IT"/>
        </w:rPr>
        <w:t xml:space="preserve"> causa un innalzamento dei prezzi da P</w:t>
      </w:r>
      <w:r>
        <w:rPr>
          <w:vertAlign w:val="subscript"/>
          <w:lang w:val="it-IT"/>
        </w:rPr>
        <w:t>1</w:t>
      </w:r>
      <w:r>
        <w:rPr>
          <w:lang w:val="it-IT"/>
        </w:rPr>
        <w:t xml:space="preserve"> a P</w:t>
      </w:r>
      <w:r>
        <w:rPr>
          <w:vertAlign w:val="subscript"/>
          <w:lang w:val="it-IT"/>
        </w:rPr>
        <w:t>2</w:t>
      </w:r>
      <w:r>
        <w:rPr>
          <w:lang w:val="it-IT"/>
        </w:rPr>
        <w:t xml:space="preserve"> quando l’offerta è perfettamente inelastica (S</w:t>
      </w:r>
      <w:r>
        <w:rPr>
          <w:vertAlign w:val="subscript"/>
          <w:lang w:val="it-IT"/>
        </w:rPr>
        <w:t>pin</w:t>
      </w:r>
      <w:r>
        <w:rPr>
          <w:lang w:val="it-IT"/>
        </w:rPr>
        <w:t>) o da P</w:t>
      </w:r>
      <w:r>
        <w:rPr>
          <w:vertAlign w:val="subscript"/>
          <w:lang w:val="it-IT"/>
        </w:rPr>
        <w:t xml:space="preserve">1 </w:t>
      </w:r>
      <w:r>
        <w:rPr>
          <w:lang w:val="it-IT"/>
        </w:rPr>
        <w:t>a P</w:t>
      </w:r>
      <w:r>
        <w:rPr>
          <w:vertAlign w:val="subscript"/>
          <w:lang w:val="it-IT"/>
        </w:rPr>
        <w:t>3</w:t>
      </w:r>
      <w:r>
        <w:rPr>
          <w:lang w:val="it-IT"/>
        </w:rPr>
        <w:t xml:space="preserve"> quando è imperfettamente inelastica (</w:t>
      </w:r>
      <w:proofErr w:type="spellStart"/>
      <w:r>
        <w:rPr>
          <w:lang w:val="it-IT"/>
        </w:rPr>
        <w:t>S</w:t>
      </w:r>
      <w:r>
        <w:rPr>
          <w:vertAlign w:val="subscript"/>
          <w:lang w:val="it-IT"/>
        </w:rPr>
        <w:t>impin</w:t>
      </w:r>
      <w:proofErr w:type="spellEnd"/>
      <w:r>
        <w:rPr>
          <w:lang w:val="it-IT"/>
        </w:rPr>
        <w:t>)</w:t>
      </w:r>
    </w:p>
    <w:p w14:paraId="6741BB30" w14:textId="20142D86" w:rsidR="00B336D4" w:rsidRPr="00100B10" w:rsidRDefault="00100B10" w:rsidP="00094F9B">
      <w:pPr>
        <w:jc w:val="both"/>
      </w:pPr>
      <w:r w:rsidRPr="00100B10">
        <w:t xml:space="preserve">In Figure 1.1, the horizontal intercepts L 1 and L 2 mean that in a certain area or location, some ‘land’ (in the form of one or more plots, or one or more buildings) will still exist even at a zero price. In the case of imperfectly inelastic land supply </w:t>
      </w:r>
      <w:proofErr w:type="gramStart"/>
      <w:r w:rsidRPr="00100B10">
        <w:t>( S</w:t>
      </w:r>
      <w:proofErr w:type="gramEnd"/>
      <w:r w:rsidRPr="00100B10">
        <w:t xml:space="preserve"> </w:t>
      </w:r>
      <w:proofErr w:type="spellStart"/>
      <w:r w:rsidRPr="00100B10">
        <w:t>impin</w:t>
      </w:r>
      <w:proofErr w:type="spellEnd"/>
      <w:r w:rsidRPr="00100B10">
        <w:t xml:space="preserve"> , with a horizontal intercept L 1 ), subsequent increases in quantity supplied as price rises come about through more land being attracted away from other uses, or through existing land being more intensively utilized. In the case of perfectly inelastic land supply </w:t>
      </w:r>
      <w:proofErr w:type="gramStart"/>
      <w:r w:rsidRPr="00100B10">
        <w:t>( S</w:t>
      </w:r>
      <w:proofErr w:type="gramEnd"/>
      <w:r w:rsidRPr="00100B10">
        <w:t xml:space="preserve"> pin , with a horizontal intercept L 2 ), no rise in price can create (or make available) more land.</w:t>
      </w:r>
    </w:p>
    <w:p w14:paraId="7C2BF178" w14:textId="4B2DB24C" w:rsidR="00A70573" w:rsidRDefault="00A70573" w:rsidP="00094F9B">
      <w:pPr>
        <w:jc w:val="both"/>
      </w:pPr>
    </w:p>
    <w:p w14:paraId="331DFD8E" w14:textId="2881C4EA" w:rsidR="00FC47D7" w:rsidRDefault="00FC47D7" w:rsidP="00094F9B">
      <w:pPr>
        <w:pStyle w:val="Heading2"/>
        <w:jc w:val="both"/>
        <w:rPr>
          <w:lang w:val="it-IT"/>
        </w:rPr>
      </w:pPr>
      <w:r>
        <w:rPr>
          <w:lang w:val="it-IT"/>
        </w:rPr>
        <w:lastRenderedPageBreak/>
        <w:t>Strategie di investimento</w:t>
      </w:r>
      <w:r w:rsidR="000253AF">
        <w:rPr>
          <w:rStyle w:val="FootnoteReference"/>
          <w:lang w:val="it-IT"/>
        </w:rPr>
        <w:footnoteReference w:id="4"/>
      </w:r>
    </w:p>
    <w:p w14:paraId="4D6CDF36" w14:textId="5062BB66" w:rsidR="00FC47D7" w:rsidRPr="000253AF" w:rsidRDefault="00FC47D7" w:rsidP="00094F9B">
      <w:pPr>
        <w:jc w:val="both"/>
        <w:rPr>
          <w:lang w:val="it-IT"/>
        </w:rPr>
      </w:pPr>
      <w:r>
        <w:rPr>
          <w:lang w:val="it-IT"/>
        </w:rPr>
        <w:t xml:space="preserve">Le strategie di investimento prendono in considerazione </w:t>
      </w:r>
      <w:r w:rsidR="000253AF">
        <w:rPr>
          <w:lang w:val="it-IT"/>
        </w:rPr>
        <w:t xml:space="preserve">la rischiosità della tipologia di investimento stesso e si classificano secondo quattro </w:t>
      </w:r>
      <w:r w:rsidR="000253AF">
        <w:rPr>
          <w:i/>
          <w:lang w:val="it-IT"/>
        </w:rPr>
        <w:t>asset class</w:t>
      </w:r>
      <w:r w:rsidR="000253AF">
        <w:rPr>
          <w:lang w:val="it-IT"/>
        </w:rPr>
        <w:t>:</w:t>
      </w:r>
    </w:p>
    <w:p w14:paraId="75B9AFA2" w14:textId="3DAE3E88" w:rsidR="000253AF" w:rsidRDefault="000253AF" w:rsidP="00094F9B">
      <w:pPr>
        <w:pStyle w:val="ListParagraph"/>
        <w:numPr>
          <w:ilvl w:val="0"/>
          <w:numId w:val="4"/>
        </w:numPr>
        <w:jc w:val="both"/>
        <w:rPr>
          <w:lang w:val="it-IT"/>
        </w:rPr>
      </w:pPr>
      <w:r>
        <w:rPr>
          <w:lang w:val="it-IT"/>
        </w:rPr>
        <w:t xml:space="preserve">Core: Asset di alta qualità che si trovano in </w:t>
      </w:r>
      <w:proofErr w:type="gramStart"/>
      <w:r>
        <w:rPr>
          <w:lang w:val="it-IT"/>
        </w:rPr>
        <w:t>location</w:t>
      </w:r>
      <w:proofErr w:type="gramEnd"/>
      <w:r>
        <w:rPr>
          <w:lang w:val="it-IT"/>
        </w:rPr>
        <w:t xml:space="preserve"> di pregio (nelle vie principali delle grandi città)</w:t>
      </w:r>
    </w:p>
    <w:p w14:paraId="74174DD6" w14:textId="349848C3" w:rsidR="000253AF" w:rsidRDefault="000253AF" w:rsidP="00094F9B">
      <w:pPr>
        <w:pStyle w:val="ListParagraph"/>
        <w:numPr>
          <w:ilvl w:val="0"/>
          <w:numId w:val="4"/>
        </w:numPr>
        <w:jc w:val="both"/>
        <w:rPr>
          <w:lang w:val="it-IT"/>
        </w:rPr>
      </w:pPr>
      <w:r>
        <w:rPr>
          <w:lang w:val="it-IT"/>
        </w:rPr>
        <w:t>Core+: Asset di alta qualità che hanno bisogno di leggere manutenzioni, hanno contratti di affitto a breve o presentano un minimo tasso di vacancy</w:t>
      </w:r>
    </w:p>
    <w:p w14:paraId="512C2433" w14:textId="7E2C72FF" w:rsidR="000253AF" w:rsidRDefault="000253AF" w:rsidP="00094F9B">
      <w:pPr>
        <w:pStyle w:val="ListParagraph"/>
        <w:numPr>
          <w:ilvl w:val="0"/>
          <w:numId w:val="4"/>
        </w:numPr>
        <w:jc w:val="both"/>
        <w:rPr>
          <w:lang w:val="it-IT"/>
        </w:rPr>
      </w:pPr>
      <w:r>
        <w:rPr>
          <w:lang w:val="it-IT"/>
        </w:rPr>
        <w:t>Value-</w:t>
      </w:r>
      <w:proofErr w:type="spellStart"/>
      <w:r>
        <w:rPr>
          <w:lang w:val="it-IT"/>
        </w:rPr>
        <w:t>Add</w:t>
      </w:r>
      <w:proofErr w:type="spellEnd"/>
      <w:r>
        <w:rPr>
          <w:lang w:val="it-IT"/>
        </w:rPr>
        <w:t>: Asset che necessitano di importanti ristrutturazioni e sono solitamente sfitti o presentano un alto tasso di vacancy</w:t>
      </w:r>
    </w:p>
    <w:p w14:paraId="4D528330" w14:textId="1514C998" w:rsidR="000253AF" w:rsidRDefault="000253AF" w:rsidP="00094F9B">
      <w:pPr>
        <w:pStyle w:val="ListParagraph"/>
        <w:numPr>
          <w:ilvl w:val="0"/>
          <w:numId w:val="4"/>
        </w:numPr>
        <w:jc w:val="both"/>
        <w:rPr>
          <w:lang w:val="it-IT"/>
        </w:rPr>
      </w:pPr>
      <w:proofErr w:type="spellStart"/>
      <w:r>
        <w:rPr>
          <w:lang w:val="it-IT"/>
        </w:rPr>
        <w:t>Opportunistic</w:t>
      </w:r>
      <w:proofErr w:type="spellEnd"/>
      <w:r>
        <w:rPr>
          <w:lang w:val="it-IT"/>
        </w:rPr>
        <w:t xml:space="preserve">: Comprende i progetti di investimento più complessi come ground-up </w:t>
      </w:r>
      <w:proofErr w:type="spellStart"/>
      <w:r>
        <w:rPr>
          <w:lang w:val="it-IT"/>
        </w:rPr>
        <w:t>developments</w:t>
      </w:r>
      <w:proofErr w:type="spellEnd"/>
      <w:r>
        <w:rPr>
          <w:lang w:val="it-IT"/>
        </w:rPr>
        <w:t xml:space="preserve">, </w:t>
      </w:r>
      <w:proofErr w:type="spellStart"/>
      <w:r>
        <w:rPr>
          <w:lang w:val="it-IT"/>
        </w:rPr>
        <w:t>land</w:t>
      </w:r>
      <w:proofErr w:type="spellEnd"/>
      <w:r>
        <w:rPr>
          <w:lang w:val="it-IT"/>
        </w:rPr>
        <w:t xml:space="preserve"> </w:t>
      </w:r>
      <w:proofErr w:type="spellStart"/>
      <w:r>
        <w:rPr>
          <w:lang w:val="it-IT"/>
        </w:rPr>
        <w:t>development</w:t>
      </w:r>
      <w:proofErr w:type="spellEnd"/>
      <w:r>
        <w:rPr>
          <w:lang w:val="it-IT"/>
        </w:rPr>
        <w:t xml:space="preserve"> e riposizionamento funzionale degli edifici.</w:t>
      </w:r>
    </w:p>
    <w:p w14:paraId="598682FD" w14:textId="12F89C1E" w:rsidR="00086211" w:rsidRDefault="00086211" w:rsidP="00094F9B">
      <w:pPr>
        <w:pStyle w:val="Heading2"/>
        <w:jc w:val="both"/>
        <w:rPr>
          <w:lang w:val="it-IT"/>
        </w:rPr>
      </w:pPr>
      <w:r>
        <w:rPr>
          <w:lang w:val="it-IT"/>
        </w:rPr>
        <w:t>Caratteristiche del mercato immobiliare</w:t>
      </w:r>
    </w:p>
    <w:p w14:paraId="315C1B5A" w14:textId="288CC825" w:rsidR="00094F9B" w:rsidRDefault="00AA6073" w:rsidP="00094F9B">
      <w:pPr>
        <w:jc w:val="both"/>
        <w:rPr>
          <w:lang w:val="it-IT"/>
        </w:rPr>
      </w:pPr>
      <w:r>
        <w:rPr>
          <w:lang w:val="it-IT"/>
        </w:rPr>
        <w:t>Il mercato immobiliare ha delle sue particolarità che lo distinguono dagli altri:</w:t>
      </w:r>
    </w:p>
    <w:p w14:paraId="3BE6F920" w14:textId="17BF5374" w:rsidR="00AA6073" w:rsidRDefault="00AA6073" w:rsidP="00AA6073">
      <w:pPr>
        <w:pStyle w:val="ListParagraph"/>
        <w:numPr>
          <w:ilvl w:val="0"/>
          <w:numId w:val="23"/>
        </w:numPr>
        <w:jc w:val="both"/>
        <w:rPr>
          <w:lang w:val="it-IT"/>
        </w:rPr>
      </w:pPr>
      <w:r>
        <w:rPr>
          <w:lang w:val="it-IT"/>
        </w:rPr>
        <w:t xml:space="preserve">RE non è un prodotto omogeneo: I vari immobili differiscono l’uno dall’altro non solo per caratteristiche edilizie ma soprattutto per </w:t>
      </w:r>
      <w:proofErr w:type="gramStart"/>
      <w:r>
        <w:rPr>
          <w:lang w:val="it-IT"/>
        </w:rPr>
        <w:t>la location</w:t>
      </w:r>
      <w:proofErr w:type="gramEnd"/>
    </w:p>
    <w:p w14:paraId="21F1380C" w14:textId="28DAF04D" w:rsidR="00AA6073" w:rsidRDefault="006B583F" w:rsidP="00AA6073">
      <w:pPr>
        <w:pStyle w:val="ListParagraph"/>
        <w:numPr>
          <w:ilvl w:val="0"/>
          <w:numId w:val="23"/>
        </w:numPr>
        <w:jc w:val="both"/>
        <w:rPr>
          <w:lang w:val="it-IT"/>
        </w:rPr>
      </w:pPr>
      <w:r>
        <w:rPr>
          <w:lang w:val="it-IT"/>
        </w:rPr>
        <w:t xml:space="preserve">L’eterogeneità del mercato e la sua decentralizzazione rende difficile ottenere informazioni accurate per valutare gli asset. </w:t>
      </w:r>
    </w:p>
    <w:p w14:paraId="72417730" w14:textId="31417411" w:rsidR="00781F9B" w:rsidRDefault="00781F9B" w:rsidP="00AA6073">
      <w:pPr>
        <w:pStyle w:val="ListParagraph"/>
        <w:numPr>
          <w:ilvl w:val="0"/>
          <w:numId w:val="23"/>
        </w:numPr>
        <w:jc w:val="both"/>
        <w:rPr>
          <w:lang w:val="it-IT"/>
        </w:rPr>
      </w:pPr>
      <w:r>
        <w:rPr>
          <w:lang w:val="it-IT"/>
        </w:rPr>
        <w:t>Definito come mercato monopolistico-competitivo</w:t>
      </w:r>
    </w:p>
    <w:p w14:paraId="370E7F4D" w14:textId="27D9A9BC" w:rsidR="00781F9B" w:rsidRDefault="00781F9B" w:rsidP="00AA6073">
      <w:pPr>
        <w:pStyle w:val="ListParagraph"/>
        <w:numPr>
          <w:ilvl w:val="0"/>
          <w:numId w:val="23"/>
        </w:numPr>
        <w:jc w:val="both"/>
        <w:rPr>
          <w:lang w:val="it-IT"/>
        </w:rPr>
      </w:pPr>
      <w:r>
        <w:rPr>
          <w:lang w:val="it-IT"/>
        </w:rPr>
        <w:t>Pesantemente regolamentato</w:t>
      </w:r>
    </w:p>
    <w:p w14:paraId="64515841" w14:textId="58859D8F" w:rsidR="00781F9B" w:rsidRDefault="00781F9B" w:rsidP="00AA6073">
      <w:pPr>
        <w:pStyle w:val="ListParagraph"/>
        <w:numPr>
          <w:ilvl w:val="0"/>
          <w:numId w:val="23"/>
        </w:numPr>
        <w:jc w:val="both"/>
        <w:rPr>
          <w:lang w:val="it-IT"/>
        </w:rPr>
      </w:pPr>
      <w:r>
        <w:rPr>
          <w:lang w:val="it-IT"/>
        </w:rPr>
        <w:t xml:space="preserve">Ad oggi è difficile suddividere la proprietà degli immobili. </w:t>
      </w:r>
    </w:p>
    <w:p w14:paraId="2F76C39C" w14:textId="4AA1445C" w:rsidR="00781F9B" w:rsidRDefault="00781F9B" w:rsidP="00AA6073">
      <w:pPr>
        <w:pStyle w:val="ListParagraph"/>
        <w:numPr>
          <w:ilvl w:val="0"/>
          <w:numId w:val="23"/>
        </w:numPr>
        <w:jc w:val="both"/>
        <w:rPr>
          <w:lang w:val="it-IT"/>
        </w:rPr>
      </w:pPr>
      <w:r>
        <w:rPr>
          <w:lang w:val="it-IT"/>
        </w:rPr>
        <w:t>Caratterizzato da informazione imperfetta</w:t>
      </w:r>
    </w:p>
    <w:p w14:paraId="31A63D92" w14:textId="0C80F5BF" w:rsidR="000253AF" w:rsidRDefault="000253AF" w:rsidP="00094F9B">
      <w:pPr>
        <w:pStyle w:val="Heading2"/>
        <w:jc w:val="both"/>
        <w:rPr>
          <w:lang w:val="it-IT"/>
        </w:rPr>
      </w:pPr>
      <w:r w:rsidRPr="000253AF">
        <w:rPr>
          <w:lang w:val="it-IT"/>
        </w:rPr>
        <w:t xml:space="preserve">Interazione tra </w:t>
      </w:r>
      <w:r>
        <w:rPr>
          <w:lang w:val="it-IT"/>
        </w:rPr>
        <w:t>mercato immobiliare ed economia</w:t>
      </w:r>
    </w:p>
    <w:p w14:paraId="45A6E59B" w14:textId="6901BA8A" w:rsidR="000253AF" w:rsidRDefault="000253AF" w:rsidP="00094F9B">
      <w:pPr>
        <w:jc w:val="both"/>
        <w:rPr>
          <w:lang w:val="it-IT"/>
        </w:rPr>
      </w:pPr>
    </w:p>
    <w:p w14:paraId="025E272A" w14:textId="17AB9060" w:rsidR="000253AF" w:rsidRDefault="00086211" w:rsidP="00094F9B">
      <w:pPr>
        <w:jc w:val="center"/>
        <w:rPr>
          <w:lang w:val="it-IT"/>
        </w:rPr>
      </w:pPr>
      <w:r>
        <w:rPr>
          <w:noProof/>
        </w:rPr>
        <w:drawing>
          <wp:inline distT="0" distB="0" distL="0" distR="0" wp14:anchorId="689231C5" wp14:editId="49766B86">
            <wp:extent cx="3310709" cy="198120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4527" t="24267" r="11358" b="15363"/>
                    <a:stretch/>
                  </pic:blipFill>
                  <pic:spPr bwMode="auto">
                    <a:xfrm>
                      <a:off x="0" y="0"/>
                      <a:ext cx="3311940" cy="1981937"/>
                    </a:xfrm>
                    <a:prstGeom prst="rect">
                      <a:avLst/>
                    </a:prstGeom>
                    <a:ln>
                      <a:noFill/>
                    </a:ln>
                    <a:extLst>
                      <a:ext uri="{53640926-AAD7-44D8-BBD7-CCE9431645EC}">
                        <a14:shadowObscured xmlns:a14="http://schemas.microsoft.com/office/drawing/2010/main"/>
                      </a:ext>
                    </a:extLst>
                  </pic:spPr>
                </pic:pic>
              </a:graphicData>
            </a:graphic>
          </wp:inline>
        </w:drawing>
      </w:r>
    </w:p>
    <w:p w14:paraId="344230FE" w14:textId="0F158EFB" w:rsidR="00086211" w:rsidRDefault="00086211" w:rsidP="00F8392B">
      <w:pPr>
        <w:jc w:val="center"/>
        <w:rPr>
          <w:lang w:val="it-IT"/>
        </w:rPr>
      </w:pPr>
      <w:r>
        <w:rPr>
          <w:lang w:val="it-IT"/>
        </w:rPr>
        <w:t>Figura 3: Dall’interazione domanda-offerta al PIL e i mercati finanziari</w:t>
      </w:r>
    </w:p>
    <w:p w14:paraId="4533A0B1" w14:textId="43FAFFA8" w:rsidR="00094F9B" w:rsidRDefault="00094F9B" w:rsidP="00094F9B">
      <w:pPr>
        <w:jc w:val="both"/>
        <w:rPr>
          <w:lang w:val="it-IT"/>
        </w:rPr>
      </w:pPr>
      <w:r>
        <w:rPr>
          <w:lang w:val="it-IT"/>
        </w:rPr>
        <w:t xml:space="preserve">Il mercato immobiliare contribuisce significativamente sia al PIL che all’occupazione. </w:t>
      </w:r>
    </w:p>
    <w:p w14:paraId="68A88109" w14:textId="77777777" w:rsidR="00094F9B" w:rsidRDefault="00094F9B" w:rsidP="00094F9B">
      <w:pPr>
        <w:jc w:val="both"/>
        <w:rPr>
          <w:lang w:val="it-IT"/>
        </w:rPr>
      </w:pPr>
      <w:r>
        <w:rPr>
          <w:lang w:val="it-IT"/>
        </w:rPr>
        <w:t xml:space="preserve">La sua natura additiva implica che la spesa in RE contribuisce alla formazione del PIL per un fattore maggiore di uno. Quindi per ogni 10€ investiti, il PIL sale di un valore maggiore di 10€. </w:t>
      </w:r>
    </w:p>
    <w:p w14:paraId="236B3533" w14:textId="77777777" w:rsidR="00094F9B" w:rsidRDefault="00094F9B" w:rsidP="00094F9B">
      <w:pPr>
        <w:jc w:val="both"/>
        <w:rPr>
          <w:lang w:val="it-IT"/>
        </w:rPr>
      </w:pPr>
      <w:r>
        <w:rPr>
          <w:lang w:val="it-IT"/>
        </w:rPr>
        <w:t xml:space="preserve">Da notare che la natura moltiplicatrice è strettamente legata agli investimenti in RE e non ai flussi generati dagli affitti o dagli </w:t>
      </w:r>
      <w:proofErr w:type="spellStart"/>
      <w:r>
        <w:rPr>
          <w:i/>
          <w:lang w:val="it-IT"/>
        </w:rPr>
        <w:t>imputed</w:t>
      </w:r>
      <w:proofErr w:type="spellEnd"/>
      <w:r>
        <w:rPr>
          <w:i/>
          <w:lang w:val="it-IT"/>
        </w:rPr>
        <w:t xml:space="preserve"> </w:t>
      </w:r>
      <w:proofErr w:type="spellStart"/>
      <w:r>
        <w:rPr>
          <w:i/>
          <w:lang w:val="it-IT"/>
        </w:rPr>
        <w:t>rents</w:t>
      </w:r>
      <w:proofErr w:type="spellEnd"/>
      <w:r>
        <w:rPr>
          <w:i/>
          <w:lang w:val="it-IT"/>
        </w:rPr>
        <w:t xml:space="preserve"> </w:t>
      </w:r>
      <w:r>
        <w:rPr>
          <w:lang w:val="it-IT"/>
        </w:rPr>
        <w:t xml:space="preserve">(affitti potenziali, quelli che si genererebbero se i proprietari degli immobili pagassero un affitto). Questi ricavi (dal momento che gli affitti </w:t>
      </w:r>
      <w:r>
        <w:rPr>
          <w:i/>
          <w:lang w:val="it-IT"/>
        </w:rPr>
        <w:t>sono</w:t>
      </w:r>
      <w:r>
        <w:rPr>
          <w:lang w:val="it-IT"/>
        </w:rPr>
        <w:t xml:space="preserve"> dei ricavi) incrementano il PIL in maniera additiva senza creare processi produttivi (come le costruzioni) che si interconnettono ad altri processi </w:t>
      </w:r>
      <w:r>
        <w:rPr>
          <w:lang w:val="it-IT"/>
        </w:rPr>
        <w:lastRenderedPageBreak/>
        <w:t xml:space="preserve">produttivi (materiali per costruzioni e tutti i prodotti correlati) che invece inciderebbero sul PIL come moltiplicatori. </w:t>
      </w:r>
    </w:p>
    <w:p w14:paraId="62E4B3D3" w14:textId="77777777" w:rsidR="00094F9B" w:rsidRDefault="00094F9B" w:rsidP="00094F9B">
      <w:pPr>
        <w:jc w:val="both"/>
        <w:rPr>
          <w:lang w:val="it-IT"/>
        </w:rPr>
      </w:pPr>
      <w:r>
        <w:rPr>
          <w:lang w:val="it-IT"/>
        </w:rPr>
        <w:t>In generale il mercato immobiliare contribuisce al PIL e al livello di occupazione come segue:</w:t>
      </w:r>
    </w:p>
    <w:p w14:paraId="7AD39EBC" w14:textId="77777777" w:rsidR="00094F9B" w:rsidRDefault="00094F9B" w:rsidP="00094F9B">
      <w:pPr>
        <w:pStyle w:val="ListParagraph"/>
        <w:numPr>
          <w:ilvl w:val="0"/>
          <w:numId w:val="5"/>
        </w:numPr>
        <w:jc w:val="both"/>
        <w:rPr>
          <w:lang w:val="it-IT"/>
        </w:rPr>
      </w:pPr>
      <w:r>
        <w:rPr>
          <w:lang w:val="it-IT"/>
        </w:rPr>
        <w:t>Valore aggiunto derivante da nuove costruzioni e ristrutturazioni. Questa attività genera occupazione per operai, ingegneri, architetti, designer, contabili, economisti, manager e altro staff di supporto</w:t>
      </w:r>
    </w:p>
    <w:p w14:paraId="237D8085" w14:textId="77777777" w:rsidR="00094F9B" w:rsidRDefault="00094F9B" w:rsidP="00094F9B">
      <w:pPr>
        <w:pStyle w:val="ListParagraph"/>
        <w:numPr>
          <w:ilvl w:val="0"/>
          <w:numId w:val="5"/>
        </w:numPr>
        <w:jc w:val="both"/>
        <w:rPr>
          <w:lang w:val="it-IT"/>
        </w:rPr>
      </w:pPr>
      <w:r>
        <w:rPr>
          <w:lang w:val="it-IT"/>
        </w:rPr>
        <w:t>Valore aggiunto per le imprese che forniscono i progetti immobiliari di materiali e attrezzature</w:t>
      </w:r>
    </w:p>
    <w:p w14:paraId="20B8294A" w14:textId="77777777" w:rsidR="00094F9B" w:rsidRDefault="00094F9B" w:rsidP="00094F9B">
      <w:pPr>
        <w:pStyle w:val="ListParagraph"/>
        <w:numPr>
          <w:ilvl w:val="0"/>
          <w:numId w:val="5"/>
        </w:numPr>
        <w:jc w:val="both"/>
        <w:rPr>
          <w:lang w:val="it-IT"/>
        </w:rPr>
      </w:pPr>
      <w:r>
        <w:rPr>
          <w:lang w:val="it-IT"/>
        </w:rPr>
        <w:t xml:space="preserve">Valore aggiunto per le imprese di intermediazione e gestione degli immobili come amministratori di condominio, agenti immobiliari, periti e notai. </w:t>
      </w:r>
    </w:p>
    <w:p w14:paraId="5414AD7C" w14:textId="208D3F3F" w:rsidR="00094F9B" w:rsidRDefault="00094F9B" w:rsidP="00094F9B">
      <w:pPr>
        <w:pStyle w:val="ListParagraph"/>
        <w:numPr>
          <w:ilvl w:val="0"/>
          <w:numId w:val="5"/>
        </w:numPr>
        <w:jc w:val="both"/>
        <w:rPr>
          <w:lang w:val="it-IT"/>
        </w:rPr>
      </w:pPr>
      <w:r>
        <w:rPr>
          <w:lang w:val="it-IT"/>
        </w:rPr>
        <w:t>Valore aggiunto nella produzione di reddito derivante dagli affitti</w:t>
      </w:r>
    </w:p>
    <w:p w14:paraId="65C01812" w14:textId="77777777" w:rsidR="00453A55" w:rsidRPr="00453A55" w:rsidRDefault="00453A55" w:rsidP="00453A55">
      <w:pPr>
        <w:jc w:val="both"/>
        <w:rPr>
          <w:lang w:val="it-IT"/>
        </w:rPr>
      </w:pPr>
    </w:p>
    <w:p w14:paraId="3A846114" w14:textId="69971E31" w:rsidR="00094F9B" w:rsidRDefault="00094F9B" w:rsidP="00094F9B">
      <w:pPr>
        <w:jc w:val="center"/>
        <w:rPr>
          <w:lang w:val="it-IT"/>
        </w:rPr>
      </w:pPr>
      <w:r>
        <w:rPr>
          <w:noProof/>
        </w:rPr>
        <w:drawing>
          <wp:inline distT="0" distB="0" distL="0" distR="0" wp14:anchorId="11194456" wp14:editId="0CB2561F">
            <wp:extent cx="4572000" cy="2743200"/>
            <wp:effectExtent l="0" t="0" r="0"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91AF74B" w14:textId="122A637D" w:rsidR="00094F9B" w:rsidRDefault="00F8392B" w:rsidP="009A190D">
      <w:pPr>
        <w:jc w:val="center"/>
        <w:rPr>
          <w:lang w:val="it-IT"/>
        </w:rPr>
      </w:pPr>
      <w:r>
        <w:rPr>
          <w:lang w:val="it-IT"/>
        </w:rPr>
        <w:t xml:space="preserve">Figura 4: </w:t>
      </w:r>
      <w:r w:rsidRPr="00F8392B">
        <w:rPr>
          <w:lang w:val="it-IT"/>
        </w:rPr>
        <w:t>Quota di PIL relativa al RE</w:t>
      </w:r>
      <w:r w:rsidR="00453A55">
        <w:rPr>
          <w:lang w:val="it-IT"/>
        </w:rPr>
        <w:t xml:space="preserve"> - Italia 2020</w:t>
      </w:r>
      <w:r w:rsidR="009A7CA3">
        <w:rPr>
          <w:lang w:val="it-IT"/>
        </w:rPr>
        <w:t xml:space="preserve"> </w:t>
      </w:r>
      <w:r w:rsidR="009A7CA3">
        <w:rPr>
          <w:rStyle w:val="FootnoteReference"/>
          <w:lang w:val="it-IT"/>
        </w:rPr>
        <w:footnoteReference w:id="5"/>
      </w:r>
    </w:p>
    <w:p w14:paraId="599BE0B4" w14:textId="1508B114" w:rsidR="009A190D" w:rsidRDefault="009A190D" w:rsidP="009A190D">
      <w:pPr>
        <w:jc w:val="both"/>
        <w:rPr>
          <w:lang w:val="it-IT"/>
        </w:rPr>
      </w:pPr>
    </w:p>
    <w:p w14:paraId="7FEA06C4" w14:textId="411D730A" w:rsidR="009A190D" w:rsidRPr="00696B8D" w:rsidRDefault="009A190D" w:rsidP="00E449C2">
      <w:pPr>
        <w:pStyle w:val="Heading3"/>
        <w:jc w:val="both"/>
        <w:rPr>
          <w:lang w:val="it-IT"/>
        </w:rPr>
      </w:pPr>
      <w:r w:rsidRPr="00696B8D">
        <w:rPr>
          <w:lang w:val="it-IT"/>
        </w:rPr>
        <w:t>RE è demand-</w:t>
      </w:r>
      <w:proofErr w:type="spellStart"/>
      <w:r w:rsidRPr="00696B8D">
        <w:rPr>
          <w:lang w:val="it-IT"/>
        </w:rPr>
        <w:t>driven</w:t>
      </w:r>
      <w:proofErr w:type="spellEnd"/>
    </w:p>
    <w:p w14:paraId="0A42E0B4" w14:textId="78A011CD" w:rsidR="00DD26D7" w:rsidRDefault="00DD26D7" w:rsidP="00E449C2">
      <w:pPr>
        <w:jc w:val="both"/>
        <w:rPr>
          <w:lang w:val="it-IT"/>
        </w:rPr>
      </w:pPr>
      <w:r>
        <w:rPr>
          <w:lang w:val="it-IT"/>
        </w:rPr>
        <w:t>Come si sviluppa il mercato immobiliare? Cosa determina la variazione dell’offerta di immobili? Vi sono quattro possibili spiegazioni, non mutualmente escludibili, il cui fil-rouge è che l’offerta di immobili è prevalentemente demand-</w:t>
      </w:r>
      <w:proofErr w:type="spellStart"/>
      <w:r>
        <w:rPr>
          <w:lang w:val="it-IT"/>
        </w:rPr>
        <w:t>driven</w:t>
      </w:r>
      <w:proofErr w:type="spellEnd"/>
      <w:r>
        <w:rPr>
          <w:lang w:val="it-IT"/>
        </w:rPr>
        <w:t xml:space="preserve">. </w:t>
      </w:r>
    </w:p>
    <w:p w14:paraId="31E00CC0" w14:textId="21432B14" w:rsidR="00DD26D7" w:rsidRDefault="00DD26D7" w:rsidP="00E449C2">
      <w:pPr>
        <w:pStyle w:val="Heading4"/>
        <w:jc w:val="both"/>
        <w:rPr>
          <w:lang w:val="it-IT"/>
        </w:rPr>
      </w:pPr>
      <w:r>
        <w:rPr>
          <w:lang w:val="it-IT"/>
        </w:rPr>
        <w:t>Investimento Utility-</w:t>
      </w:r>
      <w:proofErr w:type="spellStart"/>
      <w:r>
        <w:rPr>
          <w:lang w:val="it-IT"/>
        </w:rPr>
        <w:t>driven</w:t>
      </w:r>
      <w:proofErr w:type="spellEnd"/>
      <w:r>
        <w:rPr>
          <w:lang w:val="it-IT"/>
        </w:rPr>
        <w:t xml:space="preserve"> </w:t>
      </w:r>
    </w:p>
    <w:p w14:paraId="28D857AA" w14:textId="068E67AE" w:rsidR="00DD26D7" w:rsidRDefault="00DD26D7" w:rsidP="00E449C2">
      <w:pPr>
        <w:jc w:val="both"/>
        <w:rPr>
          <w:lang w:val="it-IT"/>
        </w:rPr>
      </w:pPr>
      <w:r>
        <w:rPr>
          <w:lang w:val="it-IT"/>
        </w:rPr>
        <w:t xml:space="preserve">La prima teoria è che l’offerta di immobili non raggiungerà l’equilibrio offerta-domanda fintanto che l’utilità che gli acquirenti ricavano dall’ultima unità di immobile eguaglia il prezzo. Quindi fintanto che l’utilità marginale (MU) per ogni unità immobiliare è maggiore del prezzo per la stessa, vi sarà domanda da soddisfare e quindi l’offerta dovrà adeguarsi. </w:t>
      </w:r>
    </w:p>
    <w:p w14:paraId="202C26F9" w14:textId="4DD1C1D0" w:rsidR="00E45A27" w:rsidRDefault="00E45A27" w:rsidP="00E449C2">
      <w:pPr>
        <w:jc w:val="both"/>
        <w:rPr>
          <w:lang w:val="it-IT"/>
        </w:rPr>
      </w:pPr>
      <w:r>
        <w:rPr>
          <w:lang w:val="it-IT"/>
        </w:rPr>
        <w:t>Per esempio, se vi è un incremento della popolazione l’utilità marginale dello stock esistente di immobili aumenterà più del prezzo di equilibrio P</w:t>
      </w:r>
      <w:r>
        <w:rPr>
          <w:vertAlign w:val="subscript"/>
          <w:lang w:val="it-IT"/>
        </w:rPr>
        <w:t>e</w:t>
      </w:r>
      <w:r>
        <w:rPr>
          <w:lang w:val="it-IT"/>
        </w:rPr>
        <w:t xml:space="preserve"> presente nello steady state precedente. </w:t>
      </w:r>
      <w:r w:rsidR="00E449C2">
        <w:rPr>
          <w:lang w:val="it-IT"/>
        </w:rPr>
        <w:t xml:space="preserve">A quel punto, le imprese di costruzioni, spinte dai prezzi più alti, pomperanno l’offerta costruendo nuovi immobili. </w:t>
      </w:r>
    </w:p>
    <w:p w14:paraId="030528B3" w14:textId="57638BE7" w:rsidR="00E449C2" w:rsidRDefault="00E449C2" w:rsidP="00E449C2">
      <w:pPr>
        <w:jc w:val="both"/>
        <w:rPr>
          <w:lang w:val="it-IT"/>
        </w:rPr>
      </w:pPr>
      <w:r>
        <w:rPr>
          <w:lang w:val="it-IT"/>
        </w:rPr>
        <w:t xml:space="preserve">Aumentando l’offerta di immobili, l’utilità marginale scende </w:t>
      </w:r>
      <w:proofErr w:type="spellStart"/>
      <w:r>
        <w:rPr>
          <w:lang w:val="it-IT"/>
        </w:rPr>
        <w:t>finchè</w:t>
      </w:r>
      <w:proofErr w:type="spellEnd"/>
      <w:r>
        <w:rPr>
          <w:lang w:val="it-IT"/>
        </w:rPr>
        <w:t xml:space="preserve"> non arriva ad un prezzo di equilibrio MU = P</w:t>
      </w:r>
      <w:r>
        <w:rPr>
          <w:vertAlign w:val="subscript"/>
          <w:lang w:val="it-IT"/>
        </w:rPr>
        <w:t>e</w:t>
      </w:r>
      <w:r>
        <w:rPr>
          <w:lang w:val="it-IT"/>
        </w:rPr>
        <w:t>.</w:t>
      </w:r>
    </w:p>
    <w:p w14:paraId="1345EC9A" w14:textId="17D7C94D" w:rsidR="00E45A27" w:rsidRDefault="00E449C2" w:rsidP="00F119F7">
      <w:pPr>
        <w:jc w:val="center"/>
        <w:rPr>
          <w:lang w:val="it-IT"/>
        </w:rPr>
      </w:pPr>
      <w:r>
        <w:rPr>
          <w:noProof/>
        </w:rPr>
        <w:lastRenderedPageBreak/>
        <w:drawing>
          <wp:inline distT="0" distB="0" distL="0" distR="0" wp14:anchorId="275ECF79" wp14:editId="389C942D">
            <wp:extent cx="3089159" cy="20978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8422" t="46315" r="21081" b="21724"/>
                    <a:stretch/>
                  </pic:blipFill>
                  <pic:spPr bwMode="auto">
                    <a:xfrm>
                      <a:off x="0" y="0"/>
                      <a:ext cx="3090460" cy="2098748"/>
                    </a:xfrm>
                    <a:prstGeom prst="rect">
                      <a:avLst/>
                    </a:prstGeom>
                    <a:ln>
                      <a:noFill/>
                    </a:ln>
                    <a:extLst>
                      <a:ext uri="{53640926-AAD7-44D8-BBD7-CCE9431645EC}">
                        <a14:shadowObscured xmlns:a14="http://schemas.microsoft.com/office/drawing/2010/main"/>
                      </a:ext>
                    </a:extLst>
                  </pic:spPr>
                </pic:pic>
              </a:graphicData>
            </a:graphic>
          </wp:inline>
        </w:drawing>
      </w:r>
    </w:p>
    <w:p w14:paraId="48F382B2" w14:textId="4B7063A8" w:rsidR="00E449C2" w:rsidRDefault="002E0EA3" w:rsidP="00F119F7">
      <w:pPr>
        <w:pStyle w:val="Heading4"/>
        <w:jc w:val="both"/>
        <w:rPr>
          <w:lang w:val="it-IT"/>
        </w:rPr>
      </w:pPr>
      <w:r>
        <w:rPr>
          <w:lang w:val="it-IT"/>
        </w:rPr>
        <w:t>q</w:t>
      </w:r>
      <w:r w:rsidR="00E449C2">
        <w:rPr>
          <w:lang w:val="it-IT"/>
        </w:rPr>
        <w:t xml:space="preserve"> di Tobin</w:t>
      </w:r>
    </w:p>
    <w:p w14:paraId="441B659B" w14:textId="67586751" w:rsidR="00E449C2" w:rsidRDefault="00E449C2" w:rsidP="00F119F7">
      <w:pPr>
        <w:jc w:val="both"/>
        <w:rPr>
          <w:lang w:val="it-IT"/>
        </w:rPr>
      </w:pPr>
      <w:r>
        <w:rPr>
          <w:lang w:val="it-IT"/>
        </w:rPr>
        <w:t xml:space="preserve">Una alternativa alla teoria precedente è quella secondo cui gli investimenti verranno intrapresi se </w:t>
      </w:r>
      <w:proofErr w:type="gramStart"/>
      <w:r>
        <w:rPr>
          <w:lang w:val="it-IT"/>
        </w:rPr>
        <w:t>il ratio</w:t>
      </w:r>
      <w:proofErr w:type="gramEnd"/>
      <w:r>
        <w:rPr>
          <w:lang w:val="it-IT"/>
        </w:rPr>
        <w:t xml:space="preserve"> tra i prezzi delle case e i costi di costruzione è maggiore di 1. Questa è l’applicazione al Real Estate della q di Tobin. Nella formulazione tipica, il numeratore è il </w:t>
      </w:r>
      <w:r w:rsidRPr="00E449C2">
        <w:rPr>
          <w:lang w:val="it-IT"/>
        </w:rPr>
        <w:t>valore di mercato dell'impresa acquistata sul mercato finanziario</w:t>
      </w:r>
      <w:r>
        <w:rPr>
          <w:lang w:val="it-IT"/>
        </w:rPr>
        <w:t xml:space="preserve"> e il denominatore è il </w:t>
      </w:r>
      <w:r w:rsidRPr="00E449C2">
        <w:rPr>
          <w:lang w:val="it-IT"/>
        </w:rPr>
        <w:t>valore della stessa impresa se si volesse riacquistare il suo stock di capitale sul mercato dei beni</w:t>
      </w:r>
      <w:r>
        <w:rPr>
          <w:lang w:val="it-IT"/>
        </w:rPr>
        <w:t>.</w:t>
      </w:r>
    </w:p>
    <w:p w14:paraId="513BEC79" w14:textId="1CB18D9C" w:rsidR="000D4BE5" w:rsidRDefault="000D4BE5" w:rsidP="00F119F7">
      <w:pPr>
        <w:jc w:val="both"/>
        <w:rPr>
          <w:lang w:val="it-IT"/>
        </w:rPr>
      </w:pPr>
      <w:proofErr w:type="spellStart"/>
      <w:r>
        <w:rPr>
          <w:lang w:val="it-IT"/>
        </w:rPr>
        <w:t>Jud</w:t>
      </w:r>
      <w:proofErr w:type="spellEnd"/>
      <w:r>
        <w:rPr>
          <w:lang w:val="it-IT"/>
        </w:rPr>
        <w:t xml:space="preserve"> e Winkler</w:t>
      </w:r>
      <w:r>
        <w:rPr>
          <w:rStyle w:val="FootnoteReference"/>
          <w:lang w:val="it-IT"/>
        </w:rPr>
        <w:footnoteReference w:id="6"/>
      </w:r>
      <w:r w:rsidR="002E0EA3">
        <w:rPr>
          <w:lang w:val="it-IT"/>
        </w:rPr>
        <w:t xml:space="preserve"> hanno corroborato con dati empirici la teoria della q di Tobin </w:t>
      </w:r>
      <w:r w:rsidR="00B80503">
        <w:rPr>
          <w:lang w:val="it-IT"/>
        </w:rPr>
        <w:t>usando i dati sugli investimenti USA dal 1979 al 2000. La q di Tobin che hanno usato per condurre il loro studio era definita come segue:</w:t>
      </w:r>
    </w:p>
    <w:p w14:paraId="62925B88" w14:textId="45B3F01F" w:rsidR="00B80503" w:rsidRDefault="00B80503" w:rsidP="00F119F7">
      <w:pPr>
        <w:jc w:val="both"/>
        <w:rPr>
          <w:rFonts w:eastAsiaTheme="minorEastAsia"/>
          <w:lang w:val="it-IT"/>
        </w:rPr>
      </w:pPr>
      <m:oMathPara>
        <m:oMath>
          <m:r>
            <w:rPr>
              <w:rFonts w:ascii="Cambria Math" w:hAnsi="Cambria Math"/>
              <w:lang w:val="it-IT"/>
            </w:rPr>
            <m:t xml:space="preserve">q= </m:t>
          </m:r>
          <m:f>
            <m:fPr>
              <m:ctrlPr>
                <w:rPr>
                  <w:rFonts w:ascii="Cambria Math" w:hAnsi="Cambria Math"/>
                  <w:i/>
                  <w:lang w:val="it-IT"/>
                </w:rPr>
              </m:ctrlPr>
            </m:fPr>
            <m:num>
              <m:r>
                <w:rPr>
                  <w:rFonts w:ascii="Cambria Math" w:hAnsi="Cambria Math"/>
                  <w:lang w:val="it-IT"/>
                </w:rPr>
                <m:t>OFHEO price index for existing homes</m:t>
              </m:r>
            </m:num>
            <m:den>
              <m:r>
                <w:rPr>
                  <w:rFonts w:ascii="Cambria Math" w:hAnsi="Cambria Math"/>
                  <w:lang w:val="it-IT"/>
                </w:rPr>
                <m:t>Census Burea</m:t>
              </m:r>
              <m:sSup>
                <m:sSupPr>
                  <m:ctrlPr>
                    <w:rPr>
                      <w:rFonts w:ascii="Cambria Math" w:hAnsi="Cambria Math"/>
                      <w:i/>
                      <w:lang w:val="it-IT"/>
                    </w:rPr>
                  </m:ctrlPr>
                </m:sSupPr>
                <m:e>
                  <m:r>
                    <w:rPr>
                      <w:rFonts w:ascii="Cambria Math" w:hAnsi="Cambria Math"/>
                      <w:lang w:val="it-IT"/>
                    </w:rPr>
                    <m:t>u</m:t>
                  </m:r>
                </m:e>
                <m:sup>
                  <m:r>
                    <w:rPr>
                      <w:rFonts w:ascii="Cambria Math" w:hAnsi="Cambria Math"/>
                      <w:lang w:val="it-IT"/>
                    </w:rPr>
                    <m:t>'</m:t>
                  </m:r>
                </m:sup>
              </m:sSup>
              <m:r>
                <w:rPr>
                  <w:rFonts w:ascii="Cambria Math" w:hAnsi="Cambria Math"/>
                  <w:lang w:val="it-IT"/>
                </w:rPr>
                <m:t>s quality-adjusted series for new home prices</m:t>
              </m:r>
            </m:den>
          </m:f>
        </m:oMath>
      </m:oMathPara>
    </w:p>
    <w:p w14:paraId="6BA323E5" w14:textId="1AE8DCD8" w:rsidR="00B80503" w:rsidRDefault="00B80503" w:rsidP="00F119F7">
      <w:pPr>
        <w:jc w:val="both"/>
        <w:rPr>
          <w:rFonts w:eastAsiaTheme="minorEastAsia"/>
        </w:rPr>
      </w:pPr>
      <w:r w:rsidRPr="00B80503">
        <w:rPr>
          <w:rFonts w:eastAsiaTheme="minorEastAsia"/>
        </w:rPr>
        <w:t xml:space="preserve">dove OFHEO è </w:t>
      </w:r>
      <w:proofErr w:type="spellStart"/>
      <w:r w:rsidRPr="00B80503">
        <w:rPr>
          <w:rFonts w:eastAsiaTheme="minorEastAsia"/>
        </w:rPr>
        <w:t>l’acronimo</w:t>
      </w:r>
      <w:proofErr w:type="spellEnd"/>
      <w:r w:rsidRPr="00B80503">
        <w:rPr>
          <w:rFonts w:eastAsiaTheme="minorEastAsia"/>
        </w:rPr>
        <w:t xml:space="preserve"> di “Office of Federal Housing Enterprise Oversight</w:t>
      </w:r>
      <w:r>
        <w:rPr>
          <w:rFonts w:eastAsiaTheme="minorEastAsia"/>
        </w:rPr>
        <w:t>”.</w:t>
      </w:r>
    </w:p>
    <w:p w14:paraId="726D12C6" w14:textId="71852590" w:rsidR="00B80503" w:rsidRDefault="00B80503" w:rsidP="00F119F7">
      <w:pPr>
        <w:jc w:val="both"/>
        <w:rPr>
          <w:rFonts w:eastAsiaTheme="minorEastAsia"/>
          <w:lang w:val="it-IT"/>
        </w:rPr>
      </w:pPr>
      <w:proofErr w:type="gramStart"/>
      <w:r w:rsidRPr="00B80503">
        <w:rPr>
          <w:rFonts w:eastAsiaTheme="minorEastAsia"/>
          <w:lang w:val="it-IT"/>
        </w:rPr>
        <w:t>Il ratio</w:t>
      </w:r>
      <w:proofErr w:type="gramEnd"/>
      <w:r w:rsidRPr="00B80503">
        <w:rPr>
          <w:rFonts w:eastAsiaTheme="minorEastAsia"/>
          <w:lang w:val="it-IT"/>
        </w:rPr>
        <w:t xml:space="preserve"> veniva poi </w:t>
      </w:r>
      <w:r>
        <w:rPr>
          <w:rFonts w:eastAsiaTheme="minorEastAsia"/>
          <w:lang w:val="it-IT"/>
        </w:rPr>
        <w:t xml:space="preserve">comparato con i permessi di costruzione, l’inizio dei lavori e le spese di investimento in nuove costruzioni nel periodo considerato. </w:t>
      </w:r>
    </w:p>
    <w:p w14:paraId="1BFEEE70" w14:textId="5F5567A9" w:rsidR="00232A5D" w:rsidRDefault="00232A5D" w:rsidP="00F119F7">
      <w:pPr>
        <w:jc w:val="both"/>
        <w:rPr>
          <w:rFonts w:eastAsiaTheme="minorEastAsia"/>
          <w:lang w:val="it-IT"/>
        </w:rPr>
      </w:pPr>
      <w:r>
        <w:rPr>
          <w:rFonts w:eastAsiaTheme="minorEastAsia"/>
          <w:lang w:val="it-IT"/>
        </w:rPr>
        <w:t xml:space="preserve">Gli autori hanno concluso il loro studio facendo notare come il mercato immobiliare funzioni proprio come Tobin ha teorizzato. L’offerta di immobili si adegua alla domanda costruendo più edifici quando i prezzi degli immobili esistenti superano quelli delle nuove costruzioni. </w:t>
      </w:r>
    </w:p>
    <w:p w14:paraId="6A7698FB" w14:textId="7599B56B" w:rsidR="00232A5D" w:rsidRDefault="00232A5D" w:rsidP="00F119F7">
      <w:pPr>
        <w:jc w:val="both"/>
        <w:rPr>
          <w:rFonts w:eastAsiaTheme="minorEastAsia"/>
          <w:lang w:val="it-IT"/>
        </w:rPr>
      </w:pPr>
      <w:r>
        <w:rPr>
          <w:rFonts w:eastAsiaTheme="minorEastAsia"/>
          <w:lang w:val="it-IT"/>
        </w:rPr>
        <w:t xml:space="preserve">Da non confondere questa teoria con l’osservazione empirica dei prezzi dei nuovi immobili che solitamente hanno prezzi maggiori rispetto a quelli più vecchi. </w:t>
      </w:r>
    </w:p>
    <w:p w14:paraId="564ADA72" w14:textId="46621A28" w:rsidR="00232A5D" w:rsidRDefault="00232A5D" w:rsidP="00F119F7">
      <w:pPr>
        <w:jc w:val="both"/>
        <w:rPr>
          <w:rFonts w:eastAsiaTheme="minorEastAsia"/>
          <w:lang w:val="it-IT"/>
        </w:rPr>
      </w:pPr>
      <w:r>
        <w:rPr>
          <w:rFonts w:eastAsiaTheme="minorEastAsia"/>
          <w:lang w:val="it-IT"/>
        </w:rPr>
        <w:t xml:space="preserve">Questo perché gli immobili nuovi sono tecnologicamente più avanzati e hanno una vita attesa maggiore. </w:t>
      </w:r>
      <w:proofErr w:type="gramStart"/>
      <w:r>
        <w:rPr>
          <w:rFonts w:eastAsiaTheme="minorEastAsia"/>
          <w:lang w:val="it-IT"/>
        </w:rPr>
        <w:t>Tuttavia</w:t>
      </w:r>
      <w:proofErr w:type="gramEnd"/>
      <w:r>
        <w:rPr>
          <w:rFonts w:eastAsiaTheme="minorEastAsia"/>
          <w:lang w:val="it-IT"/>
        </w:rPr>
        <w:t xml:space="preserve"> la loro costruzione comporta un aumento dell’offerta e quindi sul lungo termine i prezzi si adeguano fino a riportare la q di Tobin ad un valore </w:t>
      </w:r>
      <w:r>
        <w:rPr>
          <w:rFonts w:eastAsiaTheme="minorEastAsia" w:cstheme="minorHAnsi"/>
          <w:lang w:val="it-IT"/>
        </w:rPr>
        <w:t xml:space="preserve">≤ </w:t>
      </w:r>
      <w:r>
        <w:rPr>
          <w:rFonts w:eastAsiaTheme="minorEastAsia"/>
          <w:lang w:val="it-IT"/>
        </w:rPr>
        <w:t>1.</w:t>
      </w:r>
    </w:p>
    <w:p w14:paraId="3C9245F3" w14:textId="49BDCFE9" w:rsidR="00232A5D" w:rsidRDefault="00232A5D" w:rsidP="00F119F7">
      <w:pPr>
        <w:pStyle w:val="Heading4"/>
        <w:jc w:val="both"/>
        <w:rPr>
          <w:rFonts w:eastAsiaTheme="minorEastAsia"/>
          <w:lang w:val="it-IT"/>
        </w:rPr>
      </w:pPr>
      <w:r>
        <w:rPr>
          <w:rFonts w:eastAsiaTheme="minorEastAsia"/>
          <w:lang w:val="it-IT"/>
        </w:rPr>
        <w:t>Copertura dall’inflazione</w:t>
      </w:r>
    </w:p>
    <w:p w14:paraId="2AD7BB4C" w14:textId="4793FC96" w:rsidR="00232A5D" w:rsidRDefault="00232A5D" w:rsidP="00F119F7">
      <w:pPr>
        <w:jc w:val="both"/>
        <w:rPr>
          <w:lang w:val="it-IT"/>
        </w:rPr>
      </w:pPr>
      <w:r>
        <w:rPr>
          <w:lang w:val="it-IT"/>
        </w:rPr>
        <w:t xml:space="preserve">Dal momento che gli immobili vengono considerati rifugio dall’inflazione, in presenza di politiche monetarie fuori controllo la domanda di immobili si alza vertiginosamente portando con sé l’offerta. </w:t>
      </w:r>
    </w:p>
    <w:p w14:paraId="134DCFA0" w14:textId="7C563306" w:rsidR="00232A5D" w:rsidRDefault="00232A5D" w:rsidP="00F119F7">
      <w:pPr>
        <w:jc w:val="both"/>
        <w:rPr>
          <w:lang w:val="it-IT"/>
        </w:rPr>
      </w:pPr>
      <w:proofErr w:type="gramStart"/>
      <w:r>
        <w:rPr>
          <w:lang w:val="it-IT"/>
        </w:rPr>
        <w:t>Infatti</w:t>
      </w:r>
      <w:proofErr w:type="gramEnd"/>
      <w:r>
        <w:rPr>
          <w:lang w:val="it-IT"/>
        </w:rPr>
        <w:t xml:space="preserve"> vi sono almeno </w:t>
      </w:r>
      <w:r w:rsidR="006046CD">
        <w:rPr>
          <w:lang w:val="it-IT"/>
        </w:rPr>
        <w:t>quattro</w:t>
      </w:r>
      <w:r>
        <w:rPr>
          <w:lang w:val="it-IT"/>
        </w:rPr>
        <w:t xml:space="preserve"> ragioni per cui il mercato immobiliare viene usato per </w:t>
      </w:r>
      <w:r w:rsidR="006771CC">
        <w:rPr>
          <w:lang w:val="it-IT"/>
        </w:rPr>
        <w:t>coprirsi</w:t>
      </w:r>
      <w:r>
        <w:rPr>
          <w:lang w:val="it-IT"/>
        </w:rPr>
        <w:t xml:space="preserve"> dall’inflazione</w:t>
      </w:r>
      <w:r w:rsidR="006046CD">
        <w:rPr>
          <w:rStyle w:val="FootnoteReference"/>
          <w:lang w:val="it-IT"/>
        </w:rPr>
        <w:footnoteReference w:id="7"/>
      </w:r>
      <w:r>
        <w:rPr>
          <w:lang w:val="it-IT"/>
        </w:rPr>
        <w:t>:</w:t>
      </w:r>
    </w:p>
    <w:p w14:paraId="4664C50F" w14:textId="2A00529B" w:rsidR="00232A5D" w:rsidRDefault="00232A5D" w:rsidP="00F119F7">
      <w:pPr>
        <w:pStyle w:val="ListParagraph"/>
        <w:numPr>
          <w:ilvl w:val="0"/>
          <w:numId w:val="6"/>
        </w:numPr>
        <w:jc w:val="both"/>
        <w:rPr>
          <w:lang w:val="it-IT"/>
        </w:rPr>
      </w:pPr>
      <w:r>
        <w:rPr>
          <w:lang w:val="it-IT"/>
        </w:rPr>
        <w:t>I costi di costruzione tendono ad aumentare per via dell’inflazione</w:t>
      </w:r>
    </w:p>
    <w:p w14:paraId="696DD11C" w14:textId="0279F6A8" w:rsidR="00232A5D" w:rsidRDefault="00232A5D" w:rsidP="00F119F7">
      <w:pPr>
        <w:pStyle w:val="ListParagraph"/>
        <w:numPr>
          <w:ilvl w:val="0"/>
          <w:numId w:val="6"/>
        </w:numPr>
        <w:jc w:val="both"/>
        <w:rPr>
          <w:lang w:val="it-IT"/>
        </w:rPr>
      </w:pPr>
      <w:r>
        <w:rPr>
          <w:lang w:val="it-IT"/>
        </w:rPr>
        <w:t>Gli affitti aumentano quando il valore immobiliare aumenta</w:t>
      </w:r>
    </w:p>
    <w:p w14:paraId="4A47246A" w14:textId="680C8087" w:rsidR="00232A5D" w:rsidRDefault="00232A5D" w:rsidP="00F119F7">
      <w:pPr>
        <w:pStyle w:val="ListParagraph"/>
        <w:numPr>
          <w:ilvl w:val="0"/>
          <w:numId w:val="6"/>
        </w:numPr>
        <w:jc w:val="both"/>
        <w:rPr>
          <w:lang w:val="it-IT"/>
        </w:rPr>
      </w:pPr>
      <w:r>
        <w:rPr>
          <w:lang w:val="it-IT"/>
        </w:rPr>
        <w:t xml:space="preserve">Quando domanda e offerta sono equilibrate, le forze dell’equilibrio di mercato tendono ad eguagliare </w:t>
      </w:r>
      <w:proofErr w:type="gramStart"/>
      <w:r>
        <w:rPr>
          <w:lang w:val="it-IT"/>
        </w:rPr>
        <w:t>i il</w:t>
      </w:r>
      <w:proofErr w:type="gramEnd"/>
      <w:r>
        <w:rPr>
          <w:lang w:val="it-IT"/>
        </w:rPr>
        <w:t xml:space="preserve"> valore degli edifici con il loro costo</w:t>
      </w:r>
    </w:p>
    <w:p w14:paraId="42ABAD89" w14:textId="4A0DD690" w:rsidR="006046CD" w:rsidRPr="006046CD" w:rsidRDefault="006046CD" w:rsidP="00F119F7">
      <w:pPr>
        <w:pStyle w:val="ListParagraph"/>
        <w:numPr>
          <w:ilvl w:val="0"/>
          <w:numId w:val="6"/>
        </w:numPr>
        <w:jc w:val="both"/>
        <w:rPr>
          <w:lang w:val="it-IT"/>
        </w:rPr>
      </w:pPr>
      <w:r>
        <w:rPr>
          <w:lang w:val="it-IT"/>
        </w:rPr>
        <w:lastRenderedPageBreak/>
        <w:t xml:space="preserve">I contratti di affitto possono essere indicizzati all’inflazione. </w:t>
      </w:r>
    </w:p>
    <w:p w14:paraId="3286762E" w14:textId="77E6B57D" w:rsidR="00232A5D" w:rsidRDefault="006771CC" w:rsidP="00F119F7">
      <w:pPr>
        <w:pStyle w:val="Heading2"/>
        <w:jc w:val="both"/>
        <w:rPr>
          <w:rFonts w:eastAsiaTheme="minorEastAsia"/>
          <w:lang w:val="it-IT"/>
        </w:rPr>
      </w:pPr>
      <w:r>
        <w:rPr>
          <w:rFonts w:eastAsiaTheme="minorEastAsia"/>
          <w:lang w:val="it-IT"/>
        </w:rPr>
        <w:t>La crescita del RE negli anni</w:t>
      </w:r>
      <w:r w:rsidR="00AC74F5">
        <w:rPr>
          <w:rFonts w:eastAsiaTheme="minorEastAsia"/>
          <w:lang w:val="it-IT"/>
        </w:rPr>
        <w:t xml:space="preserve"> </w:t>
      </w:r>
      <w:r w:rsidR="00AC74F5" w:rsidRPr="00AC74F5">
        <w:rPr>
          <w:rFonts w:eastAsiaTheme="minorEastAsia"/>
          <w:lang w:val="it-IT"/>
        </w:rPr>
        <w:sym w:font="Wingdings" w:char="F0E0"/>
      </w:r>
      <w:r w:rsidR="00AC74F5" w:rsidRPr="00824C92">
        <w:rPr>
          <w:rFonts w:eastAsiaTheme="minorEastAsia"/>
          <w:highlight w:val="yellow"/>
          <w:lang w:val="it-IT"/>
        </w:rPr>
        <w:t>riscrivere in base a C:\Users\e67495\OneDrive - BNP Paribas\</w:t>
      </w:r>
      <w:proofErr w:type="spellStart"/>
      <w:r w:rsidR="00AC74F5" w:rsidRPr="00824C92">
        <w:rPr>
          <w:rFonts w:eastAsiaTheme="minorEastAsia"/>
          <w:highlight w:val="yellow"/>
          <w:lang w:val="it-IT"/>
        </w:rPr>
        <w:t>Documents</w:t>
      </w:r>
      <w:proofErr w:type="spellEnd"/>
      <w:r w:rsidR="00AC74F5" w:rsidRPr="00824C92">
        <w:rPr>
          <w:rFonts w:eastAsiaTheme="minorEastAsia"/>
          <w:highlight w:val="yellow"/>
          <w:lang w:val="it-IT"/>
        </w:rPr>
        <w:t>\f\Return vs risk\SBBI\ff.xlsx</w:t>
      </w:r>
    </w:p>
    <w:p w14:paraId="603281B7" w14:textId="3502F415" w:rsidR="00CF5367" w:rsidRDefault="00596936" w:rsidP="00F119F7">
      <w:pPr>
        <w:jc w:val="both"/>
        <w:rPr>
          <w:color w:val="FF0000"/>
          <w:lang w:val="it-IT"/>
        </w:rPr>
      </w:pPr>
      <w:r>
        <w:rPr>
          <w:lang w:val="it-IT"/>
        </w:rPr>
        <w:t>Il RE rappresenta una porzione sostanziale della ricc</w:t>
      </w:r>
      <w:r w:rsidR="00C92D96">
        <w:rPr>
          <w:lang w:val="it-IT"/>
        </w:rPr>
        <w:t>hezza di una nazione, nonostante sia u</w:t>
      </w:r>
      <w:r w:rsidR="00EF6AA0">
        <w:rPr>
          <w:lang w:val="it-IT"/>
        </w:rPr>
        <w:t>na asset-class molto illiquida.</w:t>
      </w:r>
    </w:p>
    <w:p w14:paraId="1745390A" w14:textId="1AC061B9" w:rsidR="00D60A39" w:rsidRDefault="00D60A39" w:rsidP="00F119F7">
      <w:pPr>
        <w:jc w:val="both"/>
        <w:rPr>
          <w:lang w:val="it-IT"/>
        </w:rPr>
      </w:pPr>
      <w:r w:rsidRPr="00EF6AA0">
        <w:rPr>
          <w:lang w:val="it-IT"/>
        </w:rPr>
        <w:t>Negli USA il valore degli immobili posseduti dalle famiglie e dalle organizzazioni non-profit a fine 2021 ammonta a $42.4 trilioni</w:t>
      </w:r>
      <w:r w:rsidRPr="00EF6AA0">
        <w:rPr>
          <w:rStyle w:val="FootnoteReference"/>
          <w:lang w:val="it-IT"/>
        </w:rPr>
        <w:footnoteReference w:id="8"/>
      </w:r>
      <w:r w:rsidRPr="00EF6AA0">
        <w:rPr>
          <w:lang w:val="it-IT"/>
        </w:rPr>
        <w:t xml:space="preserve">, mentre il valore dei </w:t>
      </w:r>
      <w:proofErr w:type="spellStart"/>
      <w:r w:rsidRPr="00EF6AA0">
        <w:rPr>
          <w:lang w:val="it-IT"/>
        </w:rPr>
        <w:t>directly</w:t>
      </w:r>
      <w:proofErr w:type="spellEnd"/>
      <w:r w:rsidRPr="00EF6AA0">
        <w:rPr>
          <w:lang w:val="it-IT"/>
        </w:rPr>
        <w:t xml:space="preserve"> </w:t>
      </w:r>
      <w:proofErr w:type="spellStart"/>
      <w:r w:rsidRPr="00EF6AA0">
        <w:rPr>
          <w:lang w:val="it-IT"/>
        </w:rPr>
        <w:t>held</w:t>
      </w:r>
      <w:proofErr w:type="spellEnd"/>
      <w:r w:rsidRPr="00EF6AA0">
        <w:rPr>
          <w:lang w:val="it-IT"/>
        </w:rPr>
        <w:t xml:space="preserve"> Corporate Equities ammontava a $32.5 trilioni</w:t>
      </w:r>
      <w:r w:rsidRPr="00EF6AA0">
        <w:rPr>
          <w:rStyle w:val="FootnoteReference"/>
          <w:lang w:val="it-IT"/>
        </w:rPr>
        <w:footnoteReference w:id="9"/>
      </w:r>
      <w:r w:rsidRPr="00EF6AA0">
        <w:rPr>
          <w:lang w:val="it-IT"/>
        </w:rPr>
        <w:t xml:space="preserve">. </w:t>
      </w:r>
    </w:p>
    <w:p w14:paraId="6171BC6A" w14:textId="3EE0F2E8" w:rsidR="00EF6AA0" w:rsidRPr="00EF6AA0" w:rsidRDefault="00653D7F" w:rsidP="00EF6AA0">
      <w:pPr>
        <w:jc w:val="center"/>
        <w:rPr>
          <w:lang w:val="it-IT"/>
        </w:rPr>
      </w:pPr>
      <w:r>
        <w:rPr>
          <w:noProof/>
        </w:rPr>
        <w:drawing>
          <wp:inline distT="0" distB="0" distL="0" distR="0" wp14:anchorId="42B7C016" wp14:editId="3A1FDA42">
            <wp:extent cx="4480560" cy="1840230"/>
            <wp:effectExtent l="0" t="0" r="15240" b="762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3975A3E8" w14:textId="6ABDF038" w:rsidR="006771CC" w:rsidRDefault="00B57B02" w:rsidP="00F119F7">
      <w:pPr>
        <w:jc w:val="both"/>
        <w:rPr>
          <w:lang w:val="it-IT"/>
        </w:rPr>
      </w:pPr>
      <w:r>
        <w:rPr>
          <w:lang w:val="it-IT"/>
        </w:rPr>
        <w:t xml:space="preserve">Dal momento che il settore Real Estate è caratterizzato da una totale decentralizzazione degli scambi, è difficile tenere traccia dei rendimenti nel corso degli anni. </w:t>
      </w:r>
    </w:p>
    <w:p w14:paraId="13B57F58" w14:textId="7A445788" w:rsidR="00C92D96" w:rsidRDefault="00C92D96" w:rsidP="00F119F7">
      <w:pPr>
        <w:jc w:val="both"/>
        <w:rPr>
          <w:lang w:val="it-IT"/>
        </w:rPr>
      </w:pPr>
      <w:r>
        <w:rPr>
          <w:lang w:val="it-IT"/>
        </w:rPr>
        <w:t xml:space="preserve">Gli indici immobiliari, come il S&amp;P/Case-Shiller (SCS), sono aggiornati mensilmente e quindi non riescono a dare una indicazione precisa, di alta frequenza, dei movimenti del mercato. </w:t>
      </w:r>
    </w:p>
    <w:p w14:paraId="2ADEF03F" w14:textId="6D6C23BC" w:rsidR="00C92D96" w:rsidRDefault="00C92D96" w:rsidP="00F119F7">
      <w:pPr>
        <w:jc w:val="both"/>
        <w:rPr>
          <w:lang w:val="it-IT"/>
        </w:rPr>
      </w:pPr>
      <w:r>
        <w:rPr>
          <w:lang w:val="it-IT"/>
        </w:rPr>
        <w:t xml:space="preserve">Gli unici veicoli veramente liquidi, che hanno una relazione con il RE, sono i “Real Estate Investment Trust” o REIT. I </w:t>
      </w:r>
      <w:proofErr w:type="gramStart"/>
      <w:r>
        <w:rPr>
          <w:lang w:val="it-IT"/>
        </w:rPr>
        <w:t>REIT infatti</w:t>
      </w:r>
      <w:proofErr w:type="gramEnd"/>
      <w:r>
        <w:rPr>
          <w:lang w:val="it-IT"/>
        </w:rPr>
        <w:t xml:space="preserve"> sono quotati sui maggiori mercati e vengono scambiati continuamente.  Come fossero una proxy, i REIT rendono possibile osservare il comportamento dei prezzi del mercato immobiliare reale.</w:t>
      </w:r>
      <w:r w:rsidR="0082563B">
        <w:rPr>
          <w:rStyle w:val="FootnoteReference"/>
          <w:lang w:val="it-IT"/>
        </w:rPr>
        <w:footnoteReference w:id="10"/>
      </w:r>
      <w:r w:rsidR="0082563B">
        <w:rPr>
          <w:lang w:val="it-IT"/>
        </w:rPr>
        <w:t xml:space="preserve"> </w:t>
      </w:r>
      <w:r w:rsidR="0082563B">
        <w:rPr>
          <w:rStyle w:val="FootnoteReference"/>
          <w:lang w:val="it-IT"/>
        </w:rPr>
        <w:footnoteReference w:id="11"/>
      </w:r>
    </w:p>
    <w:p w14:paraId="49A7294F" w14:textId="2EF07817" w:rsidR="00B57B02" w:rsidRDefault="00B57B02" w:rsidP="00F119F7">
      <w:pPr>
        <w:jc w:val="both"/>
        <w:rPr>
          <w:lang w:val="it-IT"/>
        </w:rPr>
      </w:pPr>
      <w:r>
        <w:rPr>
          <w:lang w:val="it-IT"/>
        </w:rPr>
        <w:t xml:space="preserve">Si prendono in considerazione due indici che cercano di replicare le performance del mercato Real Estate americano: </w:t>
      </w:r>
    </w:p>
    <w:p w14:paraId="5A3BE1CC" w14:textId="27135C07" w:rsidR="00B57B02" w:rsidRDefault="00B57B02" w:rsidP="00F119F7">
      <w:pPr>
        <w:pStyle w:val="ListParagraph"/>
        <w:numPr>
          <w:ilvl w:val="0"/>
          <w:numId w:val="7"/>
        </w:numPr>
        <w:jc w:val="both"/>
        <w:rPr>
          <w:lang w:val="it-IT"/>
        </w:rPr>
      </w:pPr>
      <w:r w:rsidRPr="00B57B02">
        <w:rPr>
          <w:lang w:val="it-IT"/>
        </w:rPr>
        <w:t>Vanguard Real Estate ETF</w:t>
      </w:r>
    </w:p>
    <w:p w14:paraId="2CBE2D5E" w14:textId="2AF38B23" w:rsidR="00B57B02" w:rsidRDefault="00B57B02" w:rsidP="00F119F7">
      <w:pPr>
        <w:pStyle w:val="ListParagraph"/>
        <w:numPr>
          <w:ilvl w:val="0"/>
          <w:numId w:val="7"/>
        </w:numPr>
        <w:jc w:val="both"/>
      </w:pPr>
      <w:r w:rsidRPr="00B57B02">
        <w:t>Dow Jones U.S. Real Estate Index</w:t>
      </w:r>
    </w:p>
    <w:p w14:paraId="5C2D8532" w14:textId="0F77B9BC" w:rsidR="00B57B02" w:rsidRDefault="00F119F7" w:rsidP="00F119F7">
      <w:pPr>
        <w:jc w:val="both"/>
        <w:rPr>
          <w:lang w:val="it-IT"/>
        </w:rPr>
      </w:pPr>
      <w:r w:rsidRPr="00F119F7">
        <w:rPr>
          <w:lang w:val="it-IT"/>
        </w:rPr>
        <w:t>La crisi del 2008 h</w:t>
      </w:r>
      <w:r w:rsidR="0082563B">
        <w:rPr>
          <w:lang w:val="it-IT"/>
        </w:rPr>
        <w:t>a inciso pesantemente sui rendi</w:t>
      </w:r>
      <w:r w:rsidRPr="00F119F7">
        <w:rPr>
          <w:lang w:val="it-IT"/>
        </w:rPr>
        <w:t xml:space="preserve">menti dei </w:t>
      </w:r>
      <w:r>
        <w:rPr>
          <w:lang w:val="it-IT"/>
        </w:rPr>
        <w:t xml:space="preserve">REIT. </w:t>
      </w:r>
    </w:p>
    <w:p w14:paraId="35D2BB4E" w14:textId="6CFF6DA1" w:rsidR="00F119F7" w:rsidRDefault="00F119F7" w:rsidP="00F119F7">
      <w:pPr>
        <w:jc w:val="center"/>
        <w:rPr>
          <w:lang w:val="it-IT"/>
        </w:rPr>
      </w:pPr>
      <w:r>
        <w:rPr>
          <w:noProof/>
        </w:rPr>
        <w:lastRenderedPageBreak/>
        <w:drawing>
          <wp:inline distT="0" distB="0" distL="0" distR="0" wp14:anchorId="54BF61EE" wp14:editId="64640ACE">
            <wp:extent cx="4572000" cy="2743200"/>
            <wp:effectExtent l="0" t="0" r="0"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1E1DAFCD" w14:textId="40B14ED7" w:rsidR="00F119F7" w:rsidRDefault="00F119F7" w:rsidP="00F119F7">
      <w:pPr>
        <w:jc w:val="both"/>
        <w:rPr>
          <w:lang w:val="it-IT"/>
        </w:rPr>
      </w:pPr>
      <w:r>
        <w:rPr>
          <w:lang w:val="it-IT"/>
        </w:rPr>
        <w:t xml:space="preserve">Si nota come prima del 2008 il Dow Jones </w:t>
      </w:r>
      <w:r w:rsidRPr="00F119F7">
        <w:rPr>
          <w:lang w:val="it-IT"/>
        </w:rPr>
        <w:t>U.S. Real Estate Index</w:t>
      </w:r>
      <w:r>
        <w:rPr>
          <w:lang w:val="it-IT"/>
        </w:rPr>
        <w:t xml:space="preserve"> riportasse rendimenti superiori rispetto all’indice S&amp;P 500.</w:t>
      </w:r>
    </w:p>
    <w:p w14:paraId="57B45334" w14:textId="1B56FBE8" w:rsidR="00F119F7" w:rsidRDefault="00F119F7" w:rsidP="00F119F7">
      <w:pPr>
        <w:jc w:val="center"/>
        <w:rPr>
          <w:lang w:val="it-IT"/>
        </w:rPr>
      </w:pPr>
      <w:r>
        <w:rPr>
          <w:noProof/>
        </w:rPr>
        <w:drawing>
          <wp:inline distT="0" distB="0" distL="0" distR="0" wp14:anchorId="284BC154" wp14:editId="45DF1C8C">
            <wp:extent cx="4572000" cy="2743200"/>
            <wp:effectExtent l="0" t="0" r="0" b="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354819CF" w14:textId="3220ACB7" w:rsidR="00F119F7" w:rsidRDefault="00F119F7" w:rsidP="00F119F7">
      <w:pPr>
        <w:jc w:val="center"/>
        <w:rPr>
          <w:lang w:val="it-IT"/>
        </w:rPr>
      </w:pPr>
    </w:p>
    <w:p w14:paraId="4177F069" w14:textId="07E17B43" w:rsidR="00F119F7" w:rsidRDefault="00F119F7" w:rsidP="00F119F7">
      <w:pPr>
        <w:jc w:val="both"/>
        <w:rPr>
          <w:lang w:val="it-IT"/>
        </w:rPr>
      </w:pPr>
      <w:r>
        <w:rPr>
          <w:lang w:val="it-IT"/>
        </w:rPr>
        <w:t xml:space="preserve">Da dopo il 2008 i REIT hanno subito un pesante ridimensionamento dei rendimenti dal quale non si sono più ripresi. </w:t>
      </w:r>
    </w:p>
    <w:p w14:paraId="704261A6" w14:textId="3AA8B30A" w:rsidR="00F119F7" w:rsidRDefault="003D44DF" w:rsidP="00F119F7">
      <w:pPr>
        <w:jc w:val="both"/>
        <w:rPr>
          <w:lang w:val="it-IT"/>
        </w:rPr>
      </w:pPr>
      <w:r w:rsidRPr="003D44DF">
        <w:rPr>
          <w:lang w:val="it-IT"/>
        </w:rPr>
        <w:t xml:space="preserve">È possibile fare un confronto fra i </w:t>
      </w:r>
      <w:proofErr w:type="spellStart"/>
      <w:r w:rsidRPr="003D44DF">
        <w:rPr>
          <w:lang w:val="it-IT"/>
        </w:rPr>
        <w:t>returns</w:t>
      </w:r>
      <w:proofErr w:type="spellEnd"/>
      <w:r w:rsidRPr="003D44DF">
        <w:rPr>
          <w:lang w:val="it-IT"/>
        </w:rPr>
        <w:t xml:space="preserve"> dei REIT e il “</w:t>
      </w:r>
      <w:proofErr w:type="spellStart"/>
      <w:r w:rsidRPr="003D44DF">
        <w:rPr>
          <w:lang w:val="it-IT"/>
        </w:rPr>
        <w:t>All-Transactions</w:t>
      </w:r>
      <w:proofErr w:type="spellEnd"/>
      <w:r w:rsidRPr="003D44DF">
        <w:rPr>
          <w:lang w:val="it-IT"/>
        </w:rPr>
        <w:t xml:space="preserve"> House Price Index for the United States” redatto dalla “U.S. Federal Housing Finance Agency” trimestralmente che misura le variazioni dei prezzi per abitazioni unifamiliari in 50 stati americani e oltre 400 città.</w:t>
      </w:r>
    </w:p>
    <w:p w14:paraId="74E95588" w14:textId="16B81D41" w:rsidR="003D44DF" w:rsidRDefault="003D44DF" w:rsidP="003D44DF">
      <w:pPr>
        <w:jc w:val="center"/>
        <w:rPr>
          <w:lang w:val="it-IT"/>
        </w:rPr>
      </w:pPr>
      <w:r>
        <w:rPr>
          <w:noProof/>
        </w:rPr>
        <w:lastRenderedPageBreak/>
        <w:drawing>
          <wp:inline distT="0" distB="0" distL="0" distR="0" wp14:anchorId="45CA44C6" wp14:editId="2289ACD5">
            <wp:extent cx="4572000" cy="2743200"/>
            <wp:effectExtent l="0" t="0" r="0"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30471118" w14:textId="022802D6" w:rsidR="003D44DF" w:rsidRDefault="003D44DF" w:rsidP="003D44DF">
      <w:pPr>
        <w:jc w:val="center"/>
        <w:rPr>
          <w:lang w:val="it-IT"/>
        </w:rPr>
      </w:pPr>
    </w:p>
    <w:p w14:paraId="54017C72" w14:textId="692CB642" w:rsidR="003D44DF" w:rsidRDefault="003D44DF" w:rsidP="003D44DF">
      <w:pPr>
        <w:jc w:val="both"/>
        <w:rPr>
          <w:lang w:val="it-IT"/>
        </w:rPr>
      </w:pPr>
      <w:r>
        <w:rPr>
          <w:lang w:val="it-IT"/>
        </w:rPr>
        <w:t>Prima 2008</w:t>
      </w:r>
    </w:p>
    <w:p w14:paraId="7358E27B" w14:textId="0E2EB378" w:rsidR="003D44DF" w:rsidRDefault="003D44DF" w:rsidP="003D44DF">
      <w:pPr>
        <w:jc w:val="center"/>
        <w:rPr>
          <w:lang w:val="it-IT"/>
        </w:rPr>
      </w:pPr>
      <w:r>
        <w:rPr>
          <w:noProof/>
        </w:rPr>
        <w:drawing>
          <wp:inline distT="0" distB="0" distL="0" distR="0" wp14:anchorId="563AB731" wp14:editId="069145C8">
            <wp:extent cx="4572000" cy="2743200"/>
            <wp:effectExtent l="0" t="0" r="0"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30A7C3B5" w14:textId="718C4C41" w:rsidR="003D44DF" w:rsidRDefault="003D44DF" w:rsidP="003D44DF">
      <w:pPr>
        <w:jc w:val="center"/>
        <w:rPr>
          <w:lang w:val="it-IT"/>
        </w:rPr>
      </w:pPr>
      <w:r>
        <w:rPr>
          <w:lang w:val="it-IT"/>
        </w:rPr>
        <w:t>Dopo 2008</w:t>
      </w:r>
    </w:p>
    <w:p w14:paraId="2E564BA8" w14:textId="4E10B51F" w:rsidR="003D44DF" w:rsidRDefault="00F708E8" w:rsidP="003D44DF">
      <w:pPr>
        <w:jc w:val="both"/>
        <w:rPr>
          <w:lang w:val="it-IT"/>
        </w:rPr>
      </w:pPr>
      <w:r w:rsidRPr="00F708E8">
        <w:rPr>
          <w:noProof/>
        </w:rPr>
        <w:lastRenderedPageBreak/>
        <mc:AlternateContent>
          <mc:Choice Requires="wps">
            <w:drawing>
              <wp:anchor distT="45720" distB="45720" distL="114300" distR="114300" simplePos="0" relativeHeight="251661312" behindDoc="0" locked="0" layoutInCell="1" allowOverlap="1" wp14:anchorId="69D3969D" wp14:editId="0AB7F3CD">
                <wp:simplePos x="0" y="0"/>
                <wp:positionH relativeFrom="column">
                  <wp:posOffset>2152182</wp:posOffset>
                </wp:positionH>
                <wp:positionV relativeFrom="paragraph">
                  <wp:posOffset>1083465</wp:posOffset>
                </wp:positionV>
                <wp:extent cx="2360930" cy="1404620"/>
                <wp:effectExtent l="0" t="0" r="15240" b="2476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3BEF9AD" w14:textId="088B9623" w:rsidR="00D60A39" w:rsidRDefault="00D60A39">
                            <w:r w:rsidRPr="00F708E8">
                              <w:rPr>
                                <w:highlight w:val="yellow"/>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69D3969D" id="_x0000_t202" coordsize="21600,21600" o:spt="202" path="m,l,21600r21600,l21600,xe">
                <v:stroke joinstyle="miter"/>
                <v:path gradientshapeok="t" o:connecttype="rect"/>
              </v:shapetype>
              <v:shape id="Text Box 2" o:spid="_x0000_s1026" type="#_x0000_t202" style="position:absolute;left:0;text-align:left;margin-left:169.45pt;margin-top:85.3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">
                <v:textbox style="mso-fit-shape-to-text:t">
                  <w:txbxContent>
                    <w:p w14:paraId="33BEF9AD" w14:textId="088B9623" w:rsidR="00D60A39" w:rsidRDefault="00D60A39">
                      <w:r w:rsidRPr="00F708E8">
                        <w:rPr>
                          <w:highlight w:val="yellow"/>
                        </w:rPr>
                        <w:t>??????????????????</w:t>
                      </w:r>
                    </w:p>
                  </w:txbxContent>
                </v:textbox>
              </v:shape>
            </w:pict>
          </mc:Fallback>
        </mc:AlternateContent>
      </w:r>
      <w:r w:rsidR="003D44DF">
        <w:rPr>
          <w:noProof/>
        </w:rPr>
        <w:drawing>
          <wp:inline distT="0" distB="0" distL="0" distR="0" wp14:anchorId="3D785529" wp14:editId="468F1186">
            <wp:extent cx="6120130" cy="66300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120130" cy="6630035"/>
                    </a:xfrm>
                    <a:prstGeom prst="rect">
                      <a:avLst/>
                    </a:prstGeom>
                  </pic:spPr>
                </pic:pic>
              </a:graphicData>
            </a:graphic>
          </wp:inline>
        </w:drawing>
      </w:r>
    </w:p>
    <w:p w14:paraId="3384D897" w14:textId="62B02676" w:rsidR="00F708E8" w:rsidRDefault="00BB5742" w:rsidP="00EF6AA0">
      <w:pPr>
        <w:jc w:val="both"/>
        <w:rPr>
          <w:lang w:val="it-IT"/>
        </w:rPr>
      </w:pPr>
      <w:hyperlink r:id="rId19" w:history="1">
        <w:r w:rsidR="00F708E8" w:rsidRPr="00632F08">
          <w:rPr>
            <w:rStyle w:val="Hyperlink"/>
            <w:lang w:val="it-IT"/>
          </w:rPr>
          <w:t>https://www.mckinsey.com/industries/real-estate/our-insights/understanding-real-estate-as-an-investment-class</w:t>
        </w:r>
      </w:hyperlink>
    </w:p>
    <w:p w14:paraId="6F03A5C0" w14:textId="4BD995DC" w:rsidR="00007004" w:rsidRDefault="00007004" w:rsidP="00F708E8">
      <w:pPr>
        <w:jc w:val="center"/>
        <w:rPr>
          <w:lang w:val="it-IT"/>
        </w:rPr>
      </w:pPr>
    </w:p>
    <w:p w14:paraId="031D7114" w14:textId="62F95538" w:rsidR="009605CE" w:rsidRPr="00845990" w:rsidRDefault="00845990" w:rsidP="00845990">
      <w:pPr>
        <w:pStyle w:val="Heading2"/>
        <w:rPr>
          <w:lang w:val="it-IT"/>
        </w:rPr>
      </w:pPr>
      <w:r w:rsidRPr="00845990">
        <w:rPr>
          <w:lang w:val="it-IT"/>
        </w:rPr>
        <w:t xml:space="preserve">Regolamentazione </w:t>
      </w:r>
      <w:r w:rsidR="003E296D">
        <w:rPr>
          <w:lang w:val="it-IT"/>
        </w:rPr>
        <w:t>fondi di investimento immobiliare</w:t>
      </w:r>
    </w:p>
    <w:p w14:paraId="58FB2BD6" w14:textId="4BC3E0F0" w:rsidR="00845990" w:rsidRDefault="00845990" w:rsidP="00845990">
      <w:pPr>
        <w:rPr>
          <w:lang w:val="it-IT"/>
        </w:rPr>
      </w:pPr>
      <w:r>
        <w:rPr>
          <w:lang w:val="it-IT"/>
        </w:rPr>
        <w:t>L’art. 32-</w:t>
      </w:r>
      <w:r>
        <w:rPr>
          <w:i/>
          <w:lang w:val="it-IT"/>
        </w:rPr>
        <w:t xml:space="preserve">quater </w:t>
      </w:r>
      <w:r>
        <w:rPr>
          <w:lang w:val="it-IT"/>
        </w:rPr>
        <w:t xml:space="preserve">TUF riserva l’esercizio in via professionale di gestione collettiva del risparmio alle SGR, alle SICAV, alle SICAF, alle società di gestione UE che gestiscono OICVM italiani, ai GEFIA UE che gestiscono un FIA italiano, attribuendo alla Banca d’Italia, sentita la Consob, il potere di adottare norme di attuazione, nel rispetto delle disposizioni comunitarie. </w:t>
      </w:r>
    </w:p>
    <w:p w14:paraId="34994449" w14:textId="255930F5" w:rsidR="00845990" w:rsidRDefault="00845990" w:rsidP="00845990">
      <w:pPr>
        <w:rPr>
          <w:lang w:val="it-IT"/>
        </w:rPr>
      </w:pPr>
      <w:r>
        <w:rPr>
          <w:lang w:val="it-IT"/>
        </w:rPr>
        <w:lastRenderedPageBreak/>
        <w:t xml:space="preserve">Secondo il TUF, il servizio di gestione collettiva del risparmio si realizza attraverso la gestione di OICR e dei relativi rischi (art. 1, lett. n.). Tale attività è svolta direttamente dal gestore, ferma restando la possibilità di delegare a terzi specifiche funzioni nei limiti previsti dall’ordinamento. </w:t>
      </w:r>
    </w:p>
    <w:p w14:paraId="69B7E498" w14:textId="693A5BCD" w:rsidR="00C13DB9" w:rsidRDefault="00C13DB9" w:rsidP="00C13DB9">
      <w:pPr>
        <w:pStyle w:val="Heading3"/>
        <w:rPr>
          <w:lang w:val="it-IT"/>
        </w:rPr>
      </w:pPr>
      <w:r>
        <w:rPr>
          <w:lang w:val="it-IT"/>
        </w:rPr>
        <w:t>Gli OICR</w:t>
      </w:r>
    </w:p>
    <w:p w14:paraId="2A68A710" w14:textId="44EA4B45" w:rsidR="00845990" w:rsidRDefault="00845990" w:rsidP="00845990">
      <w:pPr>
        <w:rPr>
          <w:lang w:val="it-IT"/>
        </w:rPr>
      </w:pPr>
      <w:r>
        <w:rPr>
          <w:lang w:val="it-IT"/>
        </w:rPr>
        <w:t>L’articolo 1, comma 1, lettera k del TUF fornisce la definizione di OICR: “</w:t>
      </w:r>
      <w:r w:rsidRPr="00845990">
        <w:rPr>
          <w:i/>
          <w:lang w:val="it-IT"/>
        </w:rPr>
        <w:t>l'organismo istituito per la prestazione del servizio di gestione collettiva del risparmio, il cui patrimonio è raccolto tra una pluralità di investitori mediante l'emissione e l'offerta di quote o azioni, gestito in monte nell'interesse degli investitori e in autonomia dai medesimi nonché investito in strumenti finanziari, crediti, inclusi quelli erogati, a favore di soggetti diversi da consumatori, a valere sul patrimonio dell'OICR, partecipazioni o altri beni mobili o immobili, in base a una politica di investimento predeterminata</w:t>
      </w:r>
      <w:r>
        <w:rPr>
          <w:lang w:val="it-IT"/>
        </w:rPr>
        <w:t>”.</w:t>
      </w:r>
    </w:p>
    <w:p w14:paraId="6B5678E5" w14:textId="5FC39EB9" w:rsidR="00845990" w:rsidRDefault="00845990" w:rsidP="00845990">
      <w:pPr>
        <w:rPr>
          <w:lang w:val="it-IT"/>
        </w:rPr>
      </w:pPr>
      <w:r>
        <w:rPr>
          <w:lang w:val="it-IT"/>
        </w:rPr>
        <w:t xml:space="preserve">Vi sono diversi tipi di OICR: aperti/chiusi, OICVM italiani/OICVM UE, FIA italiani/FIA italiani riservati, </w:t>
      </w:r>
      <w:r w:rsidR="00BE26DD">
        <w:rPr>
          <w:lang w:val="it-IT"/>
        </w:rPr>
        <w:t xml:space="preserve">FIA </w:t>
      </w:r>
      <w:r>
        <w:rPr>
          <w:lang w:val="it-IT"/>
        </w:rPr>
        <w:t>UE/non UE.</w:t>
      </w:r>
    </w:p>
    <w:p w14:paraId="2EC6294D" w14:textId="020054FA" w:rsidR="00845990" w:rsidRDefault="00845990" w:rsidP="00845990">
      <w:pPr>
        <w:rPr>
          <w:lang w:val="it-IT"/>
        </w:rPr>
      </w:pPr>
      <w:r>
        <w:rPr>
          <w:lang w:val="it-IT"/>
        </w:rPr>
        <w:t>OICR aperto: “</w:t>
      </w:r>
      <w:r w:rsidRPr="00845990">
        <w:rPr>
          <w:i/>
          <w:lang w:val="it-IT"/>
        </w:rPr>
        <w:t>l’OICR i cui partecipanti hanno il diritto di chiedere il rimborso delle quote o azioni a valere sul patrimonio dello stesso, secondo le modalità e con la frequenza previste dal regolamento, dallo statuto e dalla documentazione d’offerta dell’OICR</w:t>
      </w:r>
      <w:r>
        <w:rPr>
          <w:lang w:val="it-IT"/>
        </w:rPr>
        <w:t>”;</w:t>
      </w:r>
    </w:p>
    <w:p w14:paraId="26ED8B28" w14:textId="331EE6FA" w:rsidR="00845990" w:rsidRDefault="00845990" w:rsidP="00845990">
      <w:pPr>
        <w:rPr>
          <w:lang w:val="it-IT"/>
        </w:rPr>
      </w:pPr>
      <w:r w:rsidRPr="00845990">
        <w:rPr>
          <w:lang w:val="it-IT"/>
        </w:rPr>
        <w:t xml:space="preserve">OICR </w:t>
      </w:r>
      <w:r>
        <w:rPr>
          <w:lang w:val="it-IT"/>
        </w:rPr>
        <w:t>chiuso</w:t>
      </w:r>
      <w:r w:rsidRPr="00845990">
        <w:rPr>
          <w:lang w:val="it-IT"/>
        </w:rPr>
        <w:t>: “</w:t>
      </w:r>
      <w:r w:rsidRPr="00845990">
        <w:rPr>
          <w:i/>
          <w:lang w:val="it-IT"/>
        </w:rPr>
        <w:t>l’OICR diverso da quello aperto</w:t>
      </w:r>
      <w:r w:rsidRPr="00845990">
        <w:rPr>
          <w:lang w:val="it-IT"/>
        </w:rPr>
        <w:t>”;</w:t>
      </w:r>
    </w:p>
    <w:p w14:paraId="438FD2BF" w14:textId="35FF3394" w:rsidR="00845990" w:rsidRDefault="00BE26DD" w:rsidP="00BE26DD">
      <w:pPr>
        <w:rPr>
          <w:lang w:val="it-IT"/>
        </w:rPr>
      </w:pPr>
      <w:r>
        <w:rPr>
          <w:lang w:val="it-IT"/>
        </w:rPr>
        <w:t>OICVM italiani: “</w:t>
      </w:r>
      <w:r w:rsidRPr="00BE26DD">
        <w:rPr>
          <w:i/>
          <w:lang w:val="it-IT"/>
        </w:rPr>
        <w:t>il fondo comune di investimento e la Sicav rientranti nell’ambito di applicazione della direttiva 2009/65/CE</w:t>
      </w:r>
      <w:r>
        <w:rPr>
          <w:lang w:val="it-IT"/>
        </w:rPr>
        <w:t>.” Per la citata direttiva per OICVM si intendono gli organismi:</w:t>
      </w:r>
    </w:p>
    <w:p w14:paraId="1A6A7F2C" w14:textId="796C8DB7" w:rsidR="00BE26DD" w:rsidRDefault="00BE26DD" w:rsidP="00BE26DD">
      <w:pPr>
        <w:pStyle w:val="ListParagraph"/>
        <w:numPr>
          <w:ilvl w:val="0"/>
          <w:numId w:val="8"/>
        </w:numPr>
        <w:rPr>
          <w:lang w:val="it-IT"/>
        </w:rPr>
      </w:pPr>
      <w:r w:rsidRPr="00BE26DD">
        <w:rPr>
          <w:lang w:val="it-IT"/>
        </w:rPr>
        <w:t>il cui oggetto esclusivo è l’investimento collettivo dei capitali raccolti presso il pubblico in v</w:t>
      </w:r>
      <w:r>
        <w:rPr>
          <w:lang w:val="it-IT"/>
        </w:rPr>
        <w:t>alori mobiliari o in altre atti</w:t>
      </w:r>
      <w:r w:rsidRPr="00BE26DD">
        <w:rPr>
          <w:lang w:val="it-IT"/>
        </w:rPr>
        <w:t>vità finanziarie liquide di cui all’articolo 50, paragrafo 1, e il cui funzionamento è soggetto al principio della ripartizione dei rischi;</w:t>
      </w:r>
    </w:p>
    <w:p w14:paraId="5485A7A1" w14:textId="3498A4CD" w:rsidR="00BE26DD" w:rsidRDefault="00BE26DD" w:rsidP="00BE26DD">
      <w:pPr>
        <w:pStyle w:val="ListParagraph"/>
        <w:numPr>
          <w:ilvl w:val="0"/>
          <w:numId w:val="8"/>
        </w:numPr>
        <w:rPr>
          <w:lang w:val="it-IT"/>
        </w:rPr>
      </w:pPr>
      <w:r>
        <w:rPr>
          <w:lang w:val="it-IT"/>
        </w:rPr>
        <w:t xml:space="preserve">le cui quote </w:t>
      </w:r>
      <w:r w:rsidRPr="00BE26DD">
        <w:rPr>
          <w:lang w:val="it-IT"/>
        </w:rPr>
        <w:t>sono, su richiesta dei detentori, riacquistate o rimborsate, direttamente o ind</w:t>
      </w:r>
      <w:r>
        <w:rPr>
          <w:lang w:val="it-IT"/>
        </w:rPr>
        <w:t>irettamente, a valere sul patri</w:t>
      </w:r>
      <w:r w:rsidRPr="00BE26DD">
        <w:rPr>
          <w:lang w:val="it-IT"/>
        </w:rPr>
        <w:t>monio dei suddetti organismi. È</w:t>
      </w:r>
      <w:r>
        <w:rPr>
          <w:lang w:val="it-IT"/>
        </w:rPr>
        <w:t xml:space="preserve"> assimilato a tali riacquisti o </w:t>
      </w:r>
      <w:r w:rsidRPr="00BE26DD">
        <w:rPr>
          <w:lang w:val="it-IT"/>
        </w:rPr>
        <w:t xml:space="preserve">rimborsi il fatto che un OICVM </w:t>
      </w:r>
      <w:proofErr w:type="gramStart"/>
      <w:r w:rsidRPr="00BE26DD">
        <w:rPr>
          <w:lang w:val="it-IT"/>
        </w:rPr>
        <w:t>agisca</w:t>
      </w:r>
      <w:proofErr w:type="gramEnd"/>
      <w:r w:rsidRPr="00BE26DD">
        <w:rPr>
          <w:lang w:val="it-IT"/>
        </w:rPr>
        <w:t xml:space="preserve"> per impedire che il valore delle sue quote sul mercato si allontani sensibilmente dal valore patrimoniale netto</w:t>
      </w:r>
      <w:r>
        <w:rPr>
          <w:lang w:val="it-IT"/>
        </w:rPr>
        <w:t>.</w:t>
      </w:r>
    </w:p>
    <w:p w14:paraId="5EF72D47" w14:textId="67DF6E90" w:rsidR="00BE26DD" w:rsidRDefault="00BE26DD" w:rsidP="00BE26DD">
      <w:pPr>
        <w:rPr>
          <w:lang w:val="it-IT"/>
        </w:rPr>
      </w:pPr>
      <w:r>
        <w:rPr>
          <w:lang w:val="it-IT"/>
        </w:rPr>
        <w:t>OICVM europei: “</w:t>
      </w:r>
      <w:r w:rsidRPr="00BE26DD">
        <w:rPr>
          <w:i/>
          <w:lang w:val="it-IT"/>
        </w:rPr>
        <w:t>gli OICR rientranti nell’ambito di applicazione della direttiva 2009/65/CE, costituiti in uno Stato dell’UE diverso dall’Italia</w:t>
      </w:r>
      <w:r>
        <w:rPr>
          <w:lang w:val="it-IT"/>
        </w:rPr>
        <w:t>”;</w:t>
      </w:r>
    </w:p>
    <w:p w14:paraId="01A168A7" w14:textId="5867EDCC" w:rsidR="00BE26DD" w:rsidRDefault="00BE26DD" w:rsidP="00BE26DD">
      <w:pPr>
        <w:rPr>
          <w:lang w:val="it-IT"/>
        </w:rPr>
      </w:pPr>
      <w:r>
        <w:rPr>
          <w:lang w:val="it-IT"/>
        </w:rPr>
        <w:t>FIA italiano: “</w:t>
      </w:r>
      <w:r w:rsidRPr="00BE26DD">
        <w:rPr>
          <w:i/>
          <w:lang w:val="it-IT"/>
        </w:rPr>
        <w:t xml:space="preserve">il fondo comune di investimento, la Sicav e la </w:t>
      </w:r>
      <w:proofErr w:type="spellStart"/>
      <w:r w:rsidRPr="00BE26DD">
        <w:rPr>
          <w:i/>
          <w:lang w:val="it-IT"/>
        </w:rPr>
        <w:t>Sicaf</w:t>
      </w:r>
      <w:proofErr w:type="spellEnd"/>
      <w:r w:rsidRPr="00BE26DD">
        <w:rPr>
          <w:i/>
          <w:lang w:val="it-IT"/>
        </w:rPr>
        <w:t xml:space="preserve"> rientranti nell’ambito di applicazione della direttiva 2011/61/UE</w:t>
      </w:r>
      <w:r>
        <w:rPr>
          <w:lang w:val="it-IT"/>
        </w:rPr>
        <w:t>”;</w:t>
      </w:r>
    </w:p>
    <w:p w14:paraId="4C99DA55" w14:textId="1E6B6BB8" w:rsidR="00BE26DD" w:rsidRDefault="00BE26DD" w:rsidP="00BE26DD">
      <w:pPr>
        <w:rPr>
          <w:lang w:val="it-IT"/>
        </w:rPr>
      </w:pPr>
      <w:r>
        <w:rPr>
          <w:lang w:val="it-IT"/>
        </w:rPr>
        <w:t>FIA italiano riservato: “</w:t>
      </w:r>
      <w:r w:rsidRPr="00BE26DD">
        <w:rPr>
          <w:i/>
          <w:lang w:val="it-IT"/>
        </w:rPr>
        <w:t>il FIA italiano la cui partecipazione è riservata a investitori professionali e alle categorie di investitori individuate dal regolamento di cui all’articolo 39</w:t>
      </w:r>
      <w:r>
        <w:rPr>
          <w:lang w:val="it-IT"/>
        </w:rPr>
        <w:t>”;</w:t>
      </w:r>
    </w:p>
    <w:p w14:paraId="6E876163" w14:textId="1BA74584" w:rsidR="00BE26DD" w:rsidRDefault="00BE26DD" w:rsidP="00BE26DD">
      <w:pPr>
        <w:rPr>
          <w:lang w:val="it-IT"/>
        </w:rPr>
      </w:pPr>
      <w:r w:rsidRPr="00BE26DD">
        <w:rPr>
          <w:lang w:val="it-IT"/>
        </w:rPr>
        <w:t>FIA UE</w:t>
      </w:r>
      <w:r>
        <w:rPr>
          <w:lang w:val="it-IT"/>
        </w:rPr>
        <w:t>: “</w:t>
      </w:r>
      <w:r w:rsidRPr="00BE26DD">
        <w:rPr>
          <w:i/>
          <w:lang w:val="it-IT"/>
        </w:rPr>
        <w:t>gli OICR rientranti nell’ambito di applicazione della direttiva 2011/61/UE, costituiti in uno Stato dell’UE diverso dall’Italia</w:t>
      </w:r>
      <w:r>
        <w:rPr>
          <w:lang w:val="it-IT"/>
        </w:rPr>
        <w:t>”;</w:t>
      </w:r>
    </w:p>
    <w:p w14:paraId="22BD0686" w14:textId="261A8C71" w:rsidR="00BE26DD" w:rsidRDefault="00BE26DD" w:rsidP="00BE26DD">
      <w:pPr>
        <w:rPr>
          <w:lang w:val="it-IT"/>
        </w:rPr>
      </w:pPr>
      <w:r>
        <w:rPr>
          <w:lang w:val="it-IT"/>
        </w:rPr>
        <w:t>FIA non UE: “</w:t>
      </w:r>
      <w:r w:rsidRPr="00BE26DD">
        <w:rPr>
          <w:i/>
          <w:lang w:val="it-IT"/>
        </w:rPr>
        <w:t>gli OICR rientranti nell’ambito di applicazione della direttiva 2011/61/UE, costituiti in uno Stato non appartenente all’UE</w:t>
      </w:r>
      <w:r>
        <w:rPr>
          <w:lang w:val="it-IT"/>
        </w:rPr>
        <w:t>”;</w:t>
      </w:r>
    </w:p>
    <w:p w14:paraId="638AA304" w14:textId="5CF10642" w:rsidR="00BE26DD" w:rsidRDefault="00C13DB9" w:rsidP="00C13DB9">
      <w:pPr>
        <w:pStyle w:val="Heading3"/>
        <w:rPr>
          <w:lang w:val="it-IT"/>
        </w:rPr>
      </w:pPr>
      <w:r>
        <w:rPr>
          <w:lang w:val="it-IT"/>
        </w:rPr>
        <w:t>Caratteri generali</w:t>
      </w:r>
    </w:p>
    <w:p w14:paraId="3ABA4C1D" w14:textId="47F82EB1" w:rsidR="00C13DB9" w:rsidRPr="00C13DB9" w:rsidRDefault="00C13DB9" w:rsidP="00C13DB9">
      <w:pPr>
        <w:rPr>
          <w:lang w:val="it-IT"/>
        </w:rPr>
      </w:pPr>
      <w:r w:rsidRPr="00C13DB9">
        <w:rPr>
          <w:lang w:val="it-IT"/>
        </w:rPr>
        <w:t>Il servizio di gestione collettiva del rispa</w:t>
      </w:r>
      <w:r>
        <w:rPr>
          <w:lang w:val="it-IT"/>
        </w:rPr>
        <w:t xml:space="preserve">rmio è svolto con carattere di </w:t>
      </w:r>
      <w:r w:rsidRPr="00C13DB9">
        <w:rPr>
          <w:lang w:val="it-IT"/>
        </w:rPr>
        <w:t>professionalità ed è, pertanto, organizzato per essere e</w:t>
      </w:r>
      <w:r>
        <w:rPr>
          <w:lang w:val="it-IT"/>
        </w:rPr>
        <w:t xml:space="preserve">sercitato nei confronti di una </w:t>
      </w:r>
      <w:r w:rsidRPr="00C13DB9">
        <w:rPr>
          <w:lang w:val="it-IT"/>
        </w:rPr>
        <w:t xml:space="preserve">platea indeterminata di soggetti in modo sistematico e non meramente occasionale. </w:t>
      </w:r>
    </w:p>
    <w:p w14:paraId="2589F8C8" w14:textId="6A636D0E" w:rsidR="00C13DB9" w:rsidRDefault="00C13DB9" w:rsidP="00C13DB9">
      <w:pPr>
        <w:rPr>
          <w:lang w:val="it-IT"/>
        </w:rPr>
      </w:pPr>
      <w:r w:rsidRPr="00C13DB9">
        <w:rPr>
          <w:lang w:val="it-IT"/>
        </w:rPr>
        <w:t>La gestione collettiva del risparmio si caratt</w:t>
      </w:r>
      <w:r>
        <w:rPr>
          <w:lang w:val="it-IT"/>
        </w:rPr>
        <w:t xml:space="preserve">erizza, in particolare, per la </w:t>
      </w:r>
      <w:r w:rsidRPr="00C13DB9">
        <w:rPr>
          <w:lang w:val="it-IT"/>
        </w:rPr>
        <w:t>sussistenza di tre elementi tra loro strettamente connessi:</w:t>
      </w:r>
    </w:p>
    <w:p w14:paraId="035BA435" w14:textId="4ED90D39" w:rsidR="00C13DB9" w:rsidRDefault="00C13DB9" w:rsidP="00C13DB9">
      <w:pPr>
        <w:pStyle w:val="ListParagraph"/>
        <w:numPr>
          <w:ilvl w:val="0"/>
          <w:numId w:val="9"/>
        </w:numPr>
        <w:rPr>
          <w:lang w:val="it-IT"/>
        </w:rPr>
      </w:pPr>
      <w:r>
        <w:rPr>
          <w:lang w:val="it-IT"/>
        </w:rPr>
        <w:lastRenderedPageBreak/>
        <w:t>gestione di un patrimonio;</w:t>
      </w:r>
    </w:p>
    <w:p w14:paraId="4FB240B3" w14:textId="5DB293FB" w:rsidR="00C13DB9" w:rsidRDefault="00C13DB9" w:rsidP="00C13DB9">
      <w:pPr>
        <w:pStyle w:val="ListParagraph"/>
        <w:numPr>
          <w:ilvl w:val="0"/>
          <w:numId w:val="9"/>
        </w:numPr>
        <w:rPr>
          <w:lang w:val="it-IT"/>
        </w:rPr>
      </w:pPr>
      <w:r>
        <w:rPr>
          <w:lang w:val="it-IT"/>
        </w:rPr>
        <w:t>gestione dei rischi di tale patrimonio;</w:t>
      </w:r>
    </w:p>
    <w:p w14:paraId="1C7E1AD6" w14:textId="088C4CA1" w:rsidR="00C13DB9" w:rsidRDefault="00C13DB9" w:rsidP="00C13DB9">
      <w:pPr>
        <w:pStyle w:val="ListParagraph"/>
        <w:numPr>
          <w:ilvl w:val="0"/>
          <w:numId w:val="9"/>
        </w:numPr>
        <w:rPr>
          <w:lang w:val="it-IT"/>
        </w:rPr>
      </w:pPr>
      <w:r>
        <w:rPr>
          <w:lang w:val="it-IT"/>
        </w:rPr>
        <w:t>carattere collettivo dell’attività, caratterizzata dalla gestione di OICR.</w:t>
      </w:r>
    </w:p>
    <w:p w14:paraId="41D77F22" w14:textId="2CA21957" w:rsidR="00735E6B" w:rsidRDefault="00C13DB9" w:rsidP="00C13DB9">
      <w:pPr>
        <w:rPr>
          <w:lang w:val="it-IT"/>
        </w:rPr>
      </w:pPr>
      <w:r>
        <w:rPr>
          <w:lang w:val="it-IT"/>
        </w:rPr>
        <w:t xml:space="preserve">Il fine della </w:t>
      </w:r>
      <w:r w:rsidR="00735E6B">
        <w:rPr>
          <w:lang w:val="it-IT"/>
        </w:rPr>
        <w:t xml:space="preserve">gestione collettiva è quello di </w:t>
      </w:r>
      <w:r w:rsidR="00735E6B" w:rsidRPr="00735E6B">
        <w:rPr>
          <w:lang w:val="it-IT"/>
        </w:rPr>
        <w:t>generare un rendimento per gli investitori derivante dall’acquisto, dalla detenzione o dalla vendita delle attività in cui è investito il patrimonio stesso e dalle operazioni volte a ottimizzare o incrementare il valore delle suddette attività.</w:t>
      </w:r>
    </w:p>
    <w:p w14:paraId="104725D2" w14:textId="61B2F260" w:rsidR="00C13DB9" w:rsidRDefault="00C13DB9" w:rsidP="00C13DB9">
      <w:pPr>
        <w:rPr>
          <w:lang w:val="it-IT"/>
        </w:rPr>
      </w:pPr>
      <w:r>
        <w:rPr>
          <w:lang w:val="it-IT"/>
        </w:rPr>
        <w:t xml:space="preserve">È richiesto che il gestore valuti, </w:t>
      </w:r>
      <w:r w:rsidRPr="00C13DB9">
        <w:rPr>
          <w:lang w:val="it-IT"/>
        </w:rPr>
        <w:t>prima dell’investimento e nel continuo</w:t>
      </w:r>
      <w:r>
        <w:rPr>
          <w:lang w:val="it-IT"/>
        </w:rPr>
        <w:t xml:space="preserve">, la coerenza delle singole </w:t>
      </w:r>
      <w:r w:rsidRPr="00C13DB9">
        <w:rPr>
          <w:lang w:val="it-IT"/>
        </w:rPr>
        <w:t>operazioni e del portafoglio nel suo complesso con gli obiettivi della gestione</w:t>
      </w:r>
      <w:r>
        <w:rPr>
          <w:lang w:val="it-IT"/>
        </w:rPr>
        <w:t xml:space="preserve">, la disciplina di riferimento o i limiti prudenziali previsti dal regolamento o dallo statuto. </w:t>
      </w:r>
    </w:p>
    <w:p w14:paraId="29092990" w14:textId="33F0E3F2" w:rsidR="00735E6B" w:rsidRPr="00E80635" w:rsidRDefault="003E296D" w:rsidP="003E296D">
      <w:pPr>
        <w:pStyle w:val="Heading3"/>
        <w:rPr>
          <w:highlight w:val="yellow"/>
          <w:lang w:val="it-IT"/>
        </w:rPr>
      </w:pPr>
      <w:r w:rsidRPr="00E80635">
        <w:rPr>
          <w:highlight w:val="yellow"/>
          <w:lang w:val="it-IT"/>
        </w:rPr>
        <w:t>Regolamento FIA immobiliari</w:t>
      </w:r>
    </w:p>
    <w:p w14:paraId="44FF0CBA" w14:textId="709CAD43" w:rsidR="003E296D" w:rsidRPr="00E80635" w:rsidRDefault="003E296D" w:rsidP="003E296D">
      <w:pPr>
        <w:rPr>
          <w:highlight w:val="yellow"/>
          <w:lang w:val="it-IT"/>
        </w:rPr>
      </w:pPr>
    </w:p>
    <w:p w14:paraId="45AFD801" w14:textId="4C138A9E" w:rsidR="003E296D" w:rsidRPr="00E80635" w:rsidRDefault="003E296D" w:rsidP="003E296D">
      <w:pPr>
        <w:rPr>
          <w:highlight w:val="yellow"/>
          <w:lang w:val="it-IT"/>
        </w:rPr>
      </w:pPr>
      <w:r w:rsidRPr="00E80635">
        <w:rPr>
          <w:highlight w:val="yellow"/>
          <w:lang w:val="it-IT"/>
        </w:rPr>
        <w:t>Il regolamento si compone di tre parti:</w:t>
      </w:r>
    </w:p>
    <w:p w14:paraId="24B99FF3" w14:textId="05F89941" w:rsidR="003E296D" w:rsidRPr="00E80635" w:rsidRDefault="003E296D" w:rsidP="003E296D">
      <w:pPr>
        <w:pStyle w:val="ListParagraph"/>
        <w:numPr>
          <w:ilvl w:val="0"/>
          <w:numId w:val="10"/>
        </w:numPr>
        <w:rPr>
          <w:highlight w:val="yellow"/>
          <w:lang w:val="it-IT"/>
        </w:rPr>
      </w:pPr>
      <w:r w:rsidRPr="00E80635">
        <w:rPr>
          <w:i/>
          <w:highlight w:val="yellow"/>
          <w:lang w:val="it-IT"/>
        </w:rPr>
        <w:t>Scheda identificativa</w:t>
      </w:r>
      <w:r w:rsidRPr="00E80635">
        <w:rPr>
          <w:highlight w:val="yellow"/>
          <w:lang w:val="it-IT"/>
        </w:rPr>
        <w:t>: contiene gli elementi essenziali di identificazione del fondo e fornisce al sottoscrittore i riferimenti principali in ordine al fondo, alla società che lo gestisce e al depositario;</w:t>
      </w:r>
    </w:p>
    <w:p w14:paraId="2D1C0B8F" w14:textId="4F0CFCD8" w:rsidR="003E296D" w:rsidRPr="00E80635" w:rsidRDefault="003E296D" w:rsidP="003E296D">
      <w:pPr>
        <w:pStyle w:val="ListParagraph"/>
        <w:numPr>
          <w:ilvl w:val="0"/>
          <w:numId w:val="10"/>
        </w:numPr>
        <w:rPr>
          <w:highlight w:val="yellow"/>
          <w:lang w:val="it-IT"/>
        </w:rPr>
      </w:pPr>
      <w:r w:rsidRPr="00E80635">
        <w:rPr>
          <w:i/>
          <w:highlight w:val="yellow"/>
          <w:lang w:val="it-IT"/>
        </w:rPr>
        <w:t>Caratteristiche del prodotto</w:t>
      </w:r>
      <w:r w:rsidRPr="00E80635">
        <w:rPr>
          <w:highlight w:val="yellow"/>
          <w:lang w:val="it-IT"/>
        </w:rPr>
        <w:t>: sono descritte le caratteristiche fondamentali del fondo, con particolare riferimento all’oggetto, alla politica di investimento e al regime dei proventi e delle spese;</w:t>
      </w:r>
    </w:p>
    <w:p w14:paraId="28FF9870" w14:textId="28CC9A57" w:rsidR="003E296D" w:rsidRPr="00E80635" w:rsidRDefault="003E296D" w:rsidP="003E296D">
      <w:pPr>
        <w:pStyle w:val="ListParagraph"/>
        <w:numPr>
          <w:ilvl w:val="0"/>
          <w:numId w:val="10"/>
        </w:numPr>
        <w:rPr>
          <w:highlight w:val="yellow"/>
          <w:lang w:val="it-IT"/>
        </w:rPr>
      </w:pPr>
      <w:r w:rsidRPr="00E80635">
        <w:rPr>
          <w:i/>
          <w:highlight w:val="yellow"/>
          <w:lang w:val="it-IT"/>
        </w:rPr>
        <w:t>Modalità di funzionamento</w:t>
      </w:r>
      <w:r w:rsidRPr="00E80635">
        <w:rPr>
          <w:highlight w:val="yellow"/>
          <w:lang w:val="it-IT"/>
        </w:rPr>
        <w:t>: contiene le regole di funzionamento del fondo.</w:t>
      </w:r>
    </w:p>
    <w:p w14:paraId="4C49CC14" w14:textId="3ACBCBB1" w:rsidR="003E296D" w:rsidRPr="00E80635" w:rsidRDefault="003E296D" w:rsidP="003E296D">
      <w:pPr>
        <w:pStyle w:val="Heading4"/>
        <w:rPr>
          <w:highlight w:val="yellow"/>
          <w:lang w:val="it-IT"/>
        </w:rPr>
      </w:pPr>
      <w:r w:rsidRPr="00E80635">
        <w:rPr>
          <w:highlight w:val="yellow"/>
          <w:lang w:val="it-IT"/>
        </w:rPr>
        <w:t>Scheda identificativa</w:t>
      </w:r>
    </w:p>
    <w:p w14:paraId="32BBC682" w14:textId="77777777" w:rsidR="003E296D" w:rsidRPr="00E80635" w:rsidRDefault="003E296D" w:rsidP="003E296D">
      <w:pPr>
        <w:rPr>
          <w:highlight w:val="yellow"/>
          <w:lang w:val="it-IT"/>
        </w:rPr>
      </w:pPr>
      <w:r w:rsidRPr="00E80635">
        <w:rPr>
          <w:highlight w:val="yellow"/>
          <w:lang w:val="it-IT"/>
        </w:rPr>
        <w:t xml:space="preserve">La scheda identificativa contiene: </w:t>
      </w:r>
    </w:p>
    <w:p w14:paraId="375208D0" w14:textId="62E6ECD0" w:rsidR="003E296D" w:rsidRPr="00E80635" w:rsidRDefault="003E296D" w:rsidP="003E296D">
      <w:pPr>
        <w:pStyle w:val="ListParagraph"/>
        <w:numPr>
          <w:ilvl w:val="0"/>
          <w:numId w:val="11"/>
        </w:numPr>
        <w:rPr>
          <w:i/>
          <w:highlight w:val="yellow"/>
          <w:lang w:val="it-IT"/>
        </w:rPr>
      </w:pPr>
      <w:r w:rsidRPr="00E80635">
        <w:rPr>
          <w:i/>
          <w:highlight w:val="yellow"/>
          <w:lang w:val="it-IT"/>
        </w:rPr>
        <w:t>la denominazione e la tipologia del fondo</w:t>
      </w:r>
      <w:r w:rsidRPr="00E80635">
        <w:rPr>
          <w:highlight w:val="yellow"/>
          <w:lang w:val="it-IT"/>
        </w:rPr>
        <w:t>:</w:t>
      </w:r>
    </w:p>
    <w:p w14:paraId="5017C153" w14:textId="6647C34A" w:rsidR="003E296D" w:rsidRPr="00E80635" w:rsidRDefault="003E296D" w:rsidP="003E296D">
      <w:pPr>
        <w:pStyle w:val="ListParagraph"/>
        <w:numPr>
          <w:ilvl w:val="0"/>
          <w:numId w:val="12"/>
        </w:numPr>
        <w:rPr>
          <w:highlight w:val="yellow"/>
          <w:lang w:val="it-IT"/>
        </w:rPr>
      </w:pPr>
      <w:r w:rsidRPr="00E80635">
        <w:rPr>
          <w:highlight w:val="yellow"/>
          <w:lang w:val="it-IT"/>
        </w:rPr>
        <w:t>Denominazione del fondo e dei comparti ove previsti;</w:t>
      </w:r>
    </w:p>
    <w:p w14:paraId="4E080604" w14:textId="5E4B35B9" w:rsidR="003E296D" w:rsidRPr="00E80635" w:rsidRDefault="003E296D" w:rsidP="003E296D">
      <w:pPr>
        <w:pStyle w:val="ListParagraph"/>
        <w:numPr>
          <w:ilvl w:val="0"/>
          <w:numId w:val="12"/>
        </w:numPr>
        <w:rPr>
          <w:highlight w:val="yellow"/>
          <w:lang w:val="it-IT"/>
        </w:rPr>
      </w:pPr>
      <w:r w:rsidRPr="00E80635">
        <w:rPr>
          <w:highlight w:val="yellow"/>
          <w:lang w:val="it-IT"/>
        </w:rPr>
        <w:t>Tipologia del fondo, tra quelle previste dalla vigente disciplina (ad esempio FIA immobiliare non riservato).</w:t>
      </w:r>
    </w:p>
    <w:p w14:paraId="0658E249" w14:textId="63E893A8" w:rsidR="003E296D" w:rsidRPr="00E80635" w:rsidRDefault="003E296D" w:rsidP="003E296D">
      <w:pPr>
        <w:pStyle w:val="ListParagraph"/>
        <w:numPr>
          <w:ilvl w:val="0"/>
          <w:numId w:val="11"/>
        </w:numPr>
        <w:rPr>
          <w:i/>
          <w:highlight w:val="yellow"/>
          <w:lang w:val="it-IT"/>
        </w:rPr>
      </w:pPr>
      <w:r w:rsidRPr="00E80635">
        <w:rPr>
          <w:i/>
          <w:highlight w:val="yellow"/>
          <w:lang w:val="it-IT"/>
        </w:rPr>
        <w:t>Durata del fondo:</w:t>
      </w:r>
    </w:p>
    <w:p w14:paraId="5E94F1FA" w14:textId="321A8899" w:rsidR="003E296D" w:rsidRPr="00E80635" w:rsidRDefault="003E296D" w:rsidP="003E296D">
      <w:pPr>
        <w:pStyle w:val="ListParagraph"/>
        <w:rPr>
          <w:highlight w:val="yellow"/>
          <w:lang w:val="it-IT"/>
        </w:rPr>
      </w:pPr>
      <w:r w:rsidRPr="00E80635">
        <w:rPr>
          <w:highlight w:val="yellow"/>
          <w:lang w:val="it-IT"/>
        </w:rPr>
        <w:t>La durata del fondo va definita entro i limiti previsti dal regolamento del Ministero dell’Economia e delle finanze, adottato ai sensi dell’art. 39 TUF e va esplicitato se sia prevista la possibilità di prorogare la durata iniziale</w:t>
      </w:r>
    </w:p>
    <w:p w14:paraId="3EF7247B" w14:textId="6598CE35" w:rsidR="003E296D" w:rsidRPr="00E80635" w:rsidRDefault="003E296D" w:rsidP="003E296D">
      <w:pPr>
        <w:pStyle w:val="ListParagraph"/>
        <w:numPr>
          <w:ilvl w:val="0"/>
          <w:numId w:val="11"/>
        </w:numPr>
        <w:rPr>
          <w:i/>
          <w:highlight w:val="yellow"/>
          <w:lang w:val="it-IT"/>
        </w:rPr>
      </w:pPr>
      <w:r w:rsidRPr="00E80635">
        <w:rPr>
          <w:i/>
          <w:highlight w:val="yellow"/>
          <w:lang w:val="it-IT"/>
        </w:rPr>
        <w:t>Depositario:</w:t>
      </w:r>
    </w:p>
    <w:p w14:paraId="322BB1F4" w14:textId="1D9C9CF1" w:rsidR="003E296D" w:rsidRPr="00E80635" w:rsidRDefault="003E296D" w:rsidP="003E296D">
      <w:pPr>
        <w:pStyle w:val="ListParagraph"/>
        <w:rPr>
          <w:highlight w:val="yellow"/>
          <w:lang w:val="it-IT"/>
        </w:rPr>
      </w:pPr>
      <w:r w:rsidRPr="00E80635">
        <w:rPr>
          <w:highlight w:val="yellow"/>
          <w:lang w:val="it-IT"/>
        </w:rPr>
        <w:t>L’ente che si occupa di costudire gli attivi del fondo di investimento. Il suo ruolo è fondamentale per controllare la legittimità e la regolarità delle operazioni effettuate dal gestore del fondo d’investimento.</w:t>
      </w:r>
    </w:p>
    <w:p w14:paraId="1C3D7D41" w14:textId="49574950" w:rsidR="003E296D" w:rsidRPr="00E80635" w:rsidRDefault="003E296D" w:rsidP="003E296D">
      <w:pPr>
        <w:pStyle w:val="ListParagraph"/>
        <w:numPr>
          <w:ilvl w:val="0"/>
          <w:numId w:val="11"/>
        </w:numPr>
        <w:rPr>
          <w:highlight w:val="yellow"/>
          <w:lang w:val="it-IT"/>
        </w:rPr>
      </w:pPr>
      <w:r w:rsidRPr="00E80635">
        <w:rPr>
          <w:i/>
          <w:highlight w:val="yellow"/>
          <w:lang w:val="it-IT"/>
        </w:rPr>
        <w:t>Calcolo del valore della quota</w:t>
      </w:r>
      <w:r w:rsidRPr="00E80635">
        <w:rPr>
          <w:highlight w:val="yellow"/>
          <w:lang w:val="it-IT"/>
        </w:rPr>
        <w:t>:</w:t>
      </w:r>
    </w:p>
    <w:p w14:paraId="047B9D13" w14:textId="77777777" w:rsidR="003E296D" w:rsidRPr="00E80635" w:rsidRDefault="003E296D" w:rsidP="003E296D">
      <w:pPr>
        <w:pStyle w:val="ListParagraph"/>
        <w:rPr>
          <w:highlight w:val="yellow"/>
          <w:lang w:val="it-IT"/>
        </w:rPr>
      </w:pPr>
      <w:r w:rsidRPr="00E80635">
        <w:rPr>
          <w:highlight w:val="yellow"/>
          <w:lang w:val="it-IT"/>
        </w:rPr>
        <w:t xml:space="preserve">È indicata la periodicità di calcolo del valore della quota, specificando i </w:t>
      </w:r>
    </w:p>
    <w:p w14:paraId="1545A69D" w14:textId="77777777" w:rsidR="003E296D" w:rsidRPr="00E80635" w:rsidRDefault="003E296D" w:rsidP="003E296D">
      <w:pPr>
        <w:pStyle w:val="ListParagraph"/>
        <w:rPr>
          <w:highlight w:val="yellow"/>
          <w:lang w:val="it-IT"/>
        </w:rPr>
      </w:pPr>
      <w:r w:rsidRPr="00E80635">
        <w:rPr>
          <w:highlight w:val="yellow"/>
          <w:lang w:val="it-IT"/>
        </w:rPr>
        <w:t xml:space="preserve">giorni di valorizzazione, nonché le fonti dalle quali è possibile rilevare il valore della </w:t>
      </w:r>
    </w:p>
    <w:p w14:paraId="74E64BDF" w14:textId="0DBB5FD9" w:rsidR="003E296D" w:rsidRPr="00E80635" w:rsidRDefault="003E296D" w:rsidP="003E296D">
      <w:pPr>
        <w:pStyle w:val="ListParagraph"/>
        <w:rPr>
          <w:highlight w:val="yellow"/>
          <w:lang w:val="it-IT"/>
        </w:rPr>
      </w:pPr>
      <w:r w:rsidRPr="00E80635">
        <w:rPr>
          <w:highlight w:val="yellow"/>
          <w:lang w:val="it-IT"/>
        </w:rPr>
        <w:t>quota.</w:t>
      </w:r>
    </w:p>
    <w:p w14:paraId="6858B4A3" w14:textId="151EA88F" w:rsidR="003E296D" w:rsidRPr="00E80635" w:rsidRDefault="003E296D" w:rsidP="003E296D">
      <w:pPr>
        <w:pStyle w:val="Heading4"/>
        <w:rPr>
          <w:highlight w:val="yellow"/>
          <w:lang w:val="it-IT"/>
        </w:rPr>
      </w:pPr>
      <w:r w:rsidRPr="00E80635">
        <w:rPr>
          <w:highlight w:val="yellow"/>
          <w:lang w:val="it-IT"/>
        </w:rPr>
        <w:t>Caratteristiche del prodotto</w:t>
      </w:r>
    </w:p>
    <w:p w14:paraId="54354286" w14:textId="3A8B0AF5" w:rsidR="003E296D" w:rsidRPr="00E80635" w:rsidRDefault="003E296D" w:rsidP="003E296D">
      <w:pPr>
        <w:rPr>
          <w:highlight w:val="yellow"/>
          <w:lang w:val="it-IT"/>
        </w:rPr>
      </w:pPr>
      <w:r w:rsidRPr="00E80635">
        <w:rPr>
          <w:highlight w:val="yellow"/>
          <w:lang w:val="it-IT"/>
        </w:rPr>
        <w:t>Questa sezione contiene:</w:t>
      </w:r>
    </w:p>
    <w:p w14:paraId="58AC5BC1" w14:textId="6C298DFB" w:rsidR="003E296D" w:rsidRPr="00E80635" w:rsidRDefault="003E296D" w:rsidP="003E296D">
      <w:pPr>
        <w:pStyle w:val="ListParagraph"/>
        <w:numPr>
          <w:ilvl w:val="0"/>
          <w:numId w:val="13"/>
        </w:numPr>
        <w:rPr>
          <w:i/>
          <w:highlight w:val="yellow"/>
          <w:lang w:val="it-IT"/>
        </w:rPr>
      </w:pPr>
      <w:r w:rsidRPr="00E80635">
        <w:rPr>
          <w:i/>
          <w:highlight w:val="yellow"/>
          <w:lang w:val="it-IT"/>
        </w:rPr>
        <w:t>L’oggetto:</w:t>
      </w:r>
    </w:p>
    <w:p w14:paraId="137373B7" w14:textId="6F836287" w:rsidR="003E296D" w:rsidRPr="00E80635" w:rsidRDefault="003E296D" w:rsidP="003E296D">
      <w:pPr>
        <w:pStyle w:val="ListParagraph"/>
        <w:rPr>
          <w:highlight w:val="yellow"/>
          <w:lang w:val="it-IT"/>
        </w:rPr>
      </w:pPr>
      <w:r w:rsidRPr="00E80635">
        <w:rPr>
          <w:highlight w:val="yellow"/>
          <w:lang w:val="it-IT"/>
        </w:rPr>
        <w:t>Dal regolamento risulta il tipo di beni in cui è possibile investire il patrimonio del fondo.</w:t>
      </w:r>
    </w:p>
    <w:p w14:paraId="1E67B9E6" w14:textId="7CD80C6C" w:rsidR="003E296D" w:rsidRPr="00E80635" w:rsidRDefault="003E296D" w:rsidP="003E296D">
      <w:pPr>
        <w:pStyle w:val="ListParagraph"/>
        <w:rPr>
          <w:highlight w:val="yellow"/>
          <w:lang w:val="it-IT"/>
        </w:rPr>
      </w:pPr>
      <w:r w:rsidRPr="00E80635">
        <w:rPr>
          <w:highlight w:val="yellow"/>
          <w:lang w:val="it-IT"/>
        </w:rPr>
        <w:t>Nei FIA immobiliari il regolamento indica le caratteristiche e la destinazione dei beni immobili e se il fondo può investire anche in partecipazioni di società aventi a oggetto l’attività di costruzione.</w:t>
      </w:r>
    </w:p>
    <w:p w14:paraId="07618539" w14:textId="4C4ED7F1" w:rsidR="003E296D" w:rsidRPr="00E80635" w:rsidRDefault="003E296D" w:rsidP="003E296D">
      <w:pPr>
        <w:pStyle w:val="ListParagraph"/>
        <w:numPr>
          <w:ilvl w:val="0"/>
          <w:numId w:val="13"/>
        </w:numPr>
        <w:rPr>
          <w:i/>
          <w:highlight w:val="yellow"/>
          <w:lang w:val="it-IT"/>
        </w:rPr>
      </w:pPr>
      <w:r w:rsidRPr="00E80635">
        <w:rPr>
          <w:i/>
          <w:highlight w:val="yellow"/>
          <w:lang w:val="it-IT"/>
        </w:rPr>
        <w:t>Politica di investimento e altre caratteristiche:</w:t>
      </w:r>
    </w:p>
    <w:p w14:paraId="5A9F7839" w14:textId="363C889F" w:rsidR="003E296D" w:rsidRPr="00E80635" w:rsidRDefault="003E296D" w:rsidP="003E296D">
      <w:pPr>
        <w:pStyle w:val="ListParagraph"/>
        <w:rPr>
          <w:highlight w:val="yellow"/>
          <w:lang w:val="it-IT"/>
        </w:rPr>
      </w:pPr>
      <w:r w:rsidRPr="00E80635">
        <w:rPr>
          <w:highlight w:val="yellow"/>
          <w:lang w:val="it-IT"/>
        </w:rPr>
        <w:lastRenderedPageBreak/>
        <w:t xml:space="preserve">La politica di investimento riguarda gli indirizzi e i limiti seguiti nella scelta delle attività oggetto di investimento. </w:t>
      </w:r>
    </w:p>
    <w:p w14:paraId="07BF2833" w14:textId="27089EB6" w:rsidR="003E296D" w:rsidRPr="00E80635" w:rsidRDefault="003E296D" w:rsidP="003E296D">
      <w:pPr>
        <w:pStyle w:val="ListParagraph"/>
        <w:rPr>
          <w:highlight w:val="yellow"/>
          <w:lang w:val="it-IT"/>
        </w:rPr>
      </w:pPr>
      <w:r w:rsidRPr="00E80635">
        <w:rPr>
          <w:highlight w:val="yellow"/>
          <w:lang w:val="it-IT"/>
        </w:rPr>
        <w:t xml:space="preserve">Le indicazioni concernenti la politica di investimento devono formare un quadro coerente in modo da far emergere con chiarezza il profilo di </w:t>
      </w:r>
      <w:proofErr w:type="spellStart"/>
      <w:r w:rsidRPr="00E80635">
        <w:rPr>
          <w:highlight w:val="yellow"/>
          <w:lang w:val="it-IT"/>
        </w:rPr>
        <w:t>rischiorendimento</w:t>
      </w:r>
      <w:proofErr w:type="spellEnd"/>
      <w:r w:rsidRPr="00E80635">
        <w:rPr>
          <w:highlight w:val="yellow"/>
          <w:lang w:val="it-IT"/>
        </w:rPr>
        <w:t xml:space="preserve"> atteso del fondo.</w:t>
      </w:r>
    </w:p>
    <w:p w14:paraId="0043C784" w14:textId="7D997ACC" w:rsidR="003E296D" w:rsidRPr="00E80635" w:rsidRDefault="003E296D" w:rsidP="003E296D">
      <w:pPr>
        <w:pStyle w:val="ListParagraph"/>
        <w:rPr>
          <w:highlight w:val="yellow"/>
          <w:lang w:val="it-IT"/>
        </w:rPr>
      </w:pPr>
    </w:p>
    <w:p w14:paraId="1AA0A00D" w14:textId="69981E36" w:rsidR="00E42BF2" w:rsidRPr="00E80635" w:rsidRDefault="003E296D" w:rsidP="00E42BF2">
      <w:pPr>
        <w:pStyle w:val="ListParagraph"/>
        <w:rPr>
          <w:highlight w:val="yellow"/>
          <w:lang w:val="it-IT"/>
        </w:rPr>
      </w:pPr>
      <w:r w:rsidRPr="00E80635">
        <w:rPr>
          <w:highlight w:val="yellow"/>
          <w:lang w:val="it-IT"/>
        </w:rPr>
        <w:t>La SGR indica nel regolamento almeno:</w:t>
      </w:r>
    </w:p>
    <w:p w14:paraId="0BCBF1D6" w14:textId="0483BE3D" w:rsidR="00E42BF2" w:rsidRPr="00E80635" w:rsidRDefault="00E42BF2" w:rsidP="00E42BF2">
      <w:pPr>
        <w:pStyle w:val="ListParagraph"/>
        <w:numPr>
          <w:ilvl w:val="0"/>
          <w:numId w:val="16"/>
        </w:numPr>
        <w:rPr>
          <w:highlight w:val="yellow"/>
          <w:lang w:val="it-IT"/>
        </w:rPr>
      </w:pPr>
      <w:r w:rsidRPr="00E80635">
        <w:rPr>
          <w:highlight w:val="yellow"/>
          <w:lang w:val="it-IT"/>
        </w:rPr>
        <w:t>se sia ammessa la sottoscrizione delle quote, sia in fase costitutiva che successivamente alla costituzione del fondo, mediante il conferimento di beni;</w:t>
      </w:r>
    </w:p>
    <w:p w14:paraId="4D25E0A2" w14:textId="1A280DAA" w:rsidR="00E42BF2" w:rsidRPr="00E80635" w:rsidRDefault="00E42BF2" w:rsidP="00E42BF2">
      <w:pPr>
        <w:pStyle w:val="ListParagraph"/>
        <w:numPr>
          <w:ilvl w:val="0"/>
          <w:numId w:val="16"/>
        </w:numPr>
        <w:rPr>
          <w:highlight w:val="yellow"/>
          <w:lang w:val="it-IT"/>
        </w:rPr>
      </w:pPr>
      <w:r w:rsidRPr="00E80635">
        <w:rPr>
          <w:highlight w:val="yellow"/>
          <w:lang w:val="it-IT"/>
        </w:rPr>
        <w:t>se il FIA è costituito attraverso il conferimento di beni immobili, di diritti reali immobiliari, partecipazioni in società immobiliari o parti di FIA immobiliari da parte di un socio titolare di partecipazioni qualificate;</w:t>
      </w:r>
    </w:p>
    <w:p w14:paraId="0DA0F3B9" w14:textId="55EF4BAB" w:rsidR="00E42BF2" w:rsidRPr="00E80635" w:rsidRDefault="00E42BF2" w:rsidP="00E42BF2">
      <w:pPr>
        <w:pStyle w:val="ListParagraph"/>
        <w:numPr>
          <w:ilvl w:val="0"/>
          <w:numId w:val="16"/>
        </w:numPr>
        <w:rPr>
          <w:highlight w:val="yellow"/>
          <w:lang w:val="it-IT"/>
        </w:rPr>
      </w:pPr>
      <w:r w:rsidRPr="00E80635">
        <w:rPr>
          <w:highlight w:val="yellow"/>
          <w:lang w:val="it-IT"/>
        </w:rPr>
        <w:t>il livello massimo di indebitamento che il fondo può assumere in rapporto al valore complessivo netto;</w:t>
      </w:r>
    </w:p>
    <w:p w14:paraId="5836D37C" w14:textId="5792C7F4" w:rsidR="00143729" w:rsidRPr="00E80635" w:rsidRDefault="00143729" w:rsidP="00143729">
      <w:pPr>
        <w:pStyle w:val="ListParagraph"/>
        <w:numPr>
          <w:ilvl w:val="0"/>
          <w:numId w:val="16"/>
        </w:numPr>
        <w:rPr>
          <w:highlight w:val="yellow"/>
          <w:lang w:val="it-IT"/>
        </w:rPr>
      </w:pPr>
      <w:r w:rsidRPr="00E80635">
        <w:rPr>
          <w:highlight w:val="yellow"/>
          <w:lang w:val="it-IT"/>
        </w:rPr>
        <w:t xml:space="preserve">la possibilità per la SGR di stipulare accordi di esclusiva per lo svolgimento dell’attività di </w:t>
      </w:r>
      <w:proofErr w:type="spellStart"/>
      <w:r w:rsidRPr="00E80635">
        <w:rPr>
          <w:i/>
          <w:highlight w:val="yellow"/>
          <w:lang w:val="it-IT"/>
        </w:rPr>
        <w:t>property</w:t>
      </w:r>
      <w:proofErr w:type="spellEnd"/>
      <w:r w:rsidRPr="00E80635">
        <w:rPr>
          <w:highlight w:val="yellow"/>
          <w:lang w:val="it-IT"/>
        </w:rPr>
        <w:t xml:space="preserve"> e </w:t>
      </w:r>
      <w:r w:rsidRPr="00E80635">
        <w:rPr>
          <w:i/>
          <w:highlight w:val="yellow"/>
          <w:lang w:val="it-IT"/>
        </w:rPr>
        <w:t>facility management</w:t>
      </w:r>
      <w:r w:rsidRPr="00E80635">
        <w:rPr>
          <w:highlight w:val="yellow"/>
          <w:lang w:val="it-IT"/>
        </w:rPr>
        <w:t xml:space="preserve"> con soggetti che conferiscano o vendano beni al fondo;</w:t>
      </w:r>
    </w:p>
    <w:p w14:paraId="350DCE48" w14:textId="4C8C6787" w:rsidR="00143729" w:rsidRPr="00E80635" w:rsidRDefault="00143729" w:rsidP="00143729">
      <w:pPr>
        <w:pStyle w:val="ListParagraph"/>
        <w:numPr>
          <w:ilvl w:val="0"/>
          <w:numId w:val="13"/>
        </w:numPr>
        <w:rPr>
          <w:i/>
          <w:highlight w:val="yellow"/>
          <w:lang w:val="it-IT"/>
        </w:rPr>
      </w:pPr>
      <w:r w:rsidRPr="00E80635">
        <w:rPr>
          <w:i/>
          <w:highlight w:val="yellow"/>
          <w:lang w:val="it-IT"/>
        </w:rPr>
        <w:t>Limiti alle operazioni con parti correlate:</w:t>
      </w:r>
    </w:p>
    <w:p w14:paraId="10CD1B8E" w14:textId="6E80CB1A" w:rsidR="00143729" w:rsidRPr="00E80635" w:rsidRDefault="00143729" w:rsidP="00143729">
      <w:pPr>
        <w:pStyle w:val="ListParagraph"/>
        <w:rPr>
          <w:highlight w:val="yellow"/>
          <w:lang w:val="it-IT"/>
        </w:rPr>
      </w:pPr>
      <w:r w:rsidRPr="00E80635">
        <w:rPr>
          <w:highlight w:val="yellow"/>
          <w:lang w:val="it-IT"/>
        </w:rPr>
        <w:t>In aggiunta ai limiti previsti dalle vigenti disposizioni, il regolamento indica gli eventuali ulteriori limiti volti a contenere i rischi derivanti da rapporti di gruppo, di affari o dalla prestazione congiunta di servizi di gestione collettiva e individuale.</w:t>
      </w:r>
    </w:p>
    <w:p w14:paraId="5DFC9848" w14:textId="5C239EFA" w:rsidR="00143729" w:rsidRPr="00E80635" w:rsidRDefault="00143729" w:rsidP="00143729">
      <w:pPr>
        <w:pStyle w:val="ListParagraph"/>
        <w:numPr>
          <w:ilvl w:val="0"/>
          <w:numId w:val="13"/>
        </w:numPr>
        <w:rPr>
          <w:i/>
          <w:highlight w:val="yellow"/>
          <w:lang w:val="it-IT"/>
        </w:rPr>
      </w:pPr>
      <w:r w:rsidRPr="00E80635">
        <w:rPr>
          <w:i/>
          <w:highlight w:val="yellow"/>
          <w:lang w:val="it-IT"/>
        </w:rPr>
        <w:t>Proventi, risultati della gestione e modalità di ripartizione:</w:t>
      </w:r>
    </w:p>
    <w:p w14:paraId="5D96B708" w14:textId="1E8F1A92" w:rsidR="00143729" w:rsidRPr="00E80635" w:rsidRDefault="00143729" w:rsidP="00143729">
      <w:pPr>
        <w:pStyle w:val="ListParagraph"/>
        <w:rPr>
          <w:highlight w:val="yellow"/>
          <w:lang w:val="it-IT"/>
        </w:rPr>
      </w:pPr>
      <w:r w:rsidRPr="00E80635">
        <w:rPr>
          <w:highlight w:val="yellow"/>
          <w:lang w:val="it-IT"/>
        </w:rPr>
        <w:t>Il regolamento indica se sia prevista l’accumulazione dei proventi nel patrimonio del fondo o la loro distribuzione ai partecipanti. In quest’ultimo caso, sono definiti i criteri e le modalità (procedure, tempi e pubblicità) di determinazione e di distribuzione agli aventi diritto.</w:t>
      </w:r>
    </w:p>
    <w:p w14:paraId="72FB17BF" w14:textId="366650E4" w:rsidR="00143729" w:rsidRPr="00E80635" w:rsidRDefault="00143729" w:rsidP="00143729">
      <w:pPr>
        <w:pStyle w:val="ListParagraph"/>
        <w:numPr>
          <w:ilvl w:val="0"/>
          <w:numId w:val="13"/>
        </w:numPr>
        <w:rPr>
          <w:i/>
          <w:highlight w:val="yellow"/>
          <w:lang w:val="it-IT"/>
        </w:rPr>
      </w:pPr>
      <w:r w:rsidRPr="00E80635">
        <w:rPr>
          <w:i/>
          <w:highlight w:val="yellow"/>
          <w:lang w:val="it-IT"/>
        </w:rPr>
        <w:t>R</w:t>
      </w:r>
      <w:r w:rsidR="00B43F8A" w:rsidRPr="00E80635">
        <w:rPr>
          <w:i/>
          <w:highlight w:val="yellow"/>
          <w:lang w:val="it-IT"/>
        </w:rPr>
        <w:t>egime delle spese:</w:t>
      </w:r>
    </w:p>
    <w:p w14:paraId="0E3A0203" w14:textId="3E550B73" w:rsidR="00B43F8A" w:rsidRPr="00E80635" w:rsidRDefault="00B43F8A" w:rsidP="00B43F8A">
      <w:pPr>
        <w:pStyle w:val="ListParagraph"/>
        <w:rPr>
          <w:highlight w:val="yellow"/>
          <w:lang w:val="it-IT"/>
        </w:rPr>
      </w:pPr>
      <w:r w:rsidRPr="00E80635">
        <w:rPr>
          <w:highlight w:val="yellow"/>
          <w:lang w:val="it-IT"/>
        </w:rPr>
        <w:t>Il regolamento indica:</w:t>
      </w:r>
    </w:p>
    <w:p w14:paraId="5FA52087" w14:textId="0181FDC9" w:rsidR="00B43F8A" w:rsidRPr="00E80635" w:rsidRDefault="00B43F8A" w:rsidP="00B43F8A">
      <w:pPr>
        <w:pStyle w:val="ListParagraph"/>
        <w:numPr>
          <w:ilvl w:val="0"/>
          <w:numId w:val="17"/>
        </w:numPr>
        <w:rPr>
          <w:highlight w:val="yellow"/>
          <w:lang w:val="it-IT"/>
        </w:rPr>
      </w:pPr>
      <w:r w:rsidRPr="00E80635">
        <w:rPr>
          <w:highlight w:val="yellow"/>
          <w:lang w:val="it-IT"/>
        </w:rPr>
        <w:t>Le spese a carico del fondo, di ciascun comparto o classe di quote;</w:t>
      </w:r>
    </w:p>
    <w:p w14:paraId="72F1C35C" w14:textId="7E38B29B" w:rsidR="00B43F8A" w:rsidRPr="00E80635" w:rsidRDefault="00B43F8A" w:rsidP="00B43F8A">
      <w:pPr>
        <w:pStyle w:val="ListParagraph"/>
        <w:numPr>
          <w:ilvl w:val="0"/>
          <w:numId w:val="17"/>
        </w:numPr>
        <w:rPr>
          <w:highlight w:val="yellow"/>
          <w:lang w:val="it-IT"/>
        </w:rPr>
      </w:pPr>
      <w:r w:rsidRPr="00E80635">
        <w:rPr>
          <w:highlight w:val="yellow"/>
          <w:lang w:val="it-IT"/>
        </w:rPr>
        <w:t>Le spese a carico dei partecipanti;</w:t>
      </w:r>
    </w:p>
    <w:p w14:paraId="6028DF1D" w14:textId="0C72EF2F" w:rsidR="00B43F8A" w:rsidRDefault="00B43F8A" w:rsidP="00B43F8A">
      <w:pPr>
        <w:pStyle w:val="ListParagraph"/>
        <w:numPr>
          <w:ilvl w:val="0"/>
          <w:numId w:val="17"/>
        </w:numPr>
        <w:rPr>
          <w:highlight w:val="yellow"/>
          <w:lang w:val="it-IT"/>
        </w:rPr>
      </w:pPr>
      <w:r w:rsidRPr="00E80635">
        <w:rPr>
          <w:highlight w:val="yellow"/>
          <w:lang w:val="it-IT"/>
        </w:rPr>
        <w:t>I criteri di ripartizione delle eventuali spese generali del fondo tra i diversi comparti.</w:t>
      </w:r>
    </w:p>
    <w:p w14:paraId="304E9F90" w14:textId="73783680" w:rsidR="001B6483" w:rsidRPr="001B6483" w:rsidRDefault="001B6483" w:rsidP="001B6483">
      <w:pPr>
        <w:pStyle w:val="Heading1"/>
        <w:rPr>
          <w:lang w:val="it-IT"/>
        </w:rPr>
      </w:pPr>
      <w:r w:rsidRPr="001B6483">
        <w:rPr>
          <w:lang w:val="it-IT"/>
        </w:rPr>
        <w:t>Capitolo 2</w:t>
      </w:r>
    </w:p>
    <w:p w14:paraId="0FFDA7AF" w14:textId="0E265CC1" w:rsidR="00AF709F" w:rsidRDefault="00AF709F" w:rsidP="00BF1C60">
      <w:pPr>
        <w:pStyle w:val="Heading2"/>
        <w:rPr>
          <w:lang w:val="it-IT"/>
        </w:rPr>
      </w:pPr>
      <w:r w:rsidRPr="00AF709F">
        <w:rPr>
          <w:lang w:val="it-IT"/>
        </w:rPr>
        <w:t>Efficienza del mercato immobiliare</w:t>
      </w:r>
    </w:p>
    <w:p w14:paraId="70C10DC2" w14:textId="77777777" w:rsidR="00BF1C60" w:rsidRPr="00BF1C60" w:rsidRDefault="00BF1C60" w:rsidP="00BF1C60">
      <w:pPr>
        <w:rPr>
          <w:lang w:val="it-IT"/>
        </w:rPr>
      </w:pPr>
    </w:p>
    <w:p w14:paraId="49A49FDA" w14:textId="5DFEA98C" w:rsidR="00AF709F" w:rsidRDefault="00AF709F" w:rsidP="00C454AC">
      <w:pPr>
        <w:jc w:val="both"/>
        <w:rPr>
          <w:lang w:val="it-IT"/>
        </w:rPr>
      </w:pPr>
      <w:r>
        <w:rPr>
          <w:lang w:val="it-IT"/>
        </w:rPr>
        <w:t xml:space="preserve">Il concetto di efficienza è fondamentale per capire l’economia del mercato. Gli economisti descrivono l’efficienza come l’ottima allocazione delle risorse tra due o più individui di </w:t>
      </w:r>
      <w:proofErr w:type="gramStart"/>
      <w:r>
        <w:rPr>
          <w:lang w:val="it-IT"/>
        </w:rPr>
        <w:t>beni</w:t>
      </w:r>
      <w:proofErr w:type="gramEnd"/>
      <w:r>
        <w:rPr>
          <w:lang w:val="it-IT"/>
        </w:rPr>
        <w:t xml:space="preserve"> i quali presentano diverse utilità. La teoria sostiene che </w:t>
      </w:r>
      <w:r w:rsidRPr="00AF709F">
        <w:rPr>
          <w:lang w:val="it-IT"/>
        </w:rPr>
        <w:t xml:space="preserve">una particolare allocazione di beni è considerabile </w:t>
      </w:r>
      <w:proofErr w:type="spellStart"/>
      <w:r w:rsidRPr="00AF709F">
        <w:rPr>
          <w:lang w:val="it-IT"/>
        </w:rPr>
        <w:t>pareto</w:t>
      </w:r>
      <w:proofErr w:type="spellEnd"/>
      <w:r w:rsidRPr="00AF709F">
        <w:rPr>
          <w:lang w:val="it-IT"/>
        </w:rPr>
        <w:t xml:space="preserve">-efficiente o ottima in termini paretiani quando non esiste una modifica della stessa capace di </w:t>
      </w:r>
      <w:r>
        <w:rPr>
          <w:lang w:val="it-IT"/>
        </w:rPr>
        <w:t>migliorare la condizione di un soggetto senza</w:t>
      </w:r>
      <w:r w:rsidR="00510439">
        <w:rPr>
          <w:lang w:val="it-IT"/>
        </w:rPr>
        <w:t xml:space="preserve"> peggiorare quella di un altro.</w:t>
      </w:r>
    </w:p>
    <w:p w14:paraId="0DBB532D" w14:textId="01A12B3B" w:rsidR="00510439" w:rsidRDefault="00510439" w:rsidP="00C454AC">
      <w:pPr>
        <w:jc w:val="both"/>
        <w:rPr>
          <w:lang w:val="it-IT"/>
        </w:rPr>
      </w:pPr>
      <w:r>
        <w:rPr>
          <w:lang w:val="it-IT"/>
        </w:rPr>
        <w:t xml:space="preserve">La letteratura economica identifica tre distinte (ma correlate) tipologie di efficienza: informativa, allocativa e operativa. </w:t>
      </w:r>
    </w:p>
    <w:p w14:paraId="19EB0AB4" w14:textId="27819A0D" w:rsidR="00510439" w:rsidRDefault="00510439" w:rsidP="00C454AC">
      <w:pPr>
        <w:jc w:val="both"/>
        <w:rPr>
          <w:lang w:val="it-IT"/>
        </w:rPr>
      </w:pPr>
      <w:r>
        <w:rPr>
          <w:lang w:val="it-IT"/>
        </w:rPr>
        <w:t>Un mercato efficiente, come definito da Fama</w:t>
      </w:r>
      <w:r>
        <w:rPr>
          <w:rStyle w:val="FootnoteReference"/>
          <w:lang w:val="it-IT"/>
        </w:rPr>
        <w:footnoteReference w:id="12"/>
      </w:r>
      <w:r>
        <w:rPr>
          <w:lang w:val="it-IT"/>
        </w:rPr>
        <w:t xml:space="preserve"> implica che tutti i prezzi di mercato riflettano istantaneamente e in pieno tutte le informazioni rilevanti disponibili. Grossman e Stiglitz</w:t>
      </w:r>
      <w:r>
        <w:rPr>
          <w:rStyle w:val="FootnoteReference"/>
          <w:lang w:val="it-IT"/>
        </w:rPr>
        <w:footnoteReference w:id="13"/>
      </w:r>
      <w:r>
        <w:rPr>
          <w:lang w:val="it-IT"/>
        </w:rPr>
        <w:t xml:space="preserve"> dimostrano come, </w:t>
      </w:r>
      <w:proofErr w:type="spellStart"/>
      <w:r>
        <w:rPr>
          <w:lang w:val="it-IT"/>
        </w:rPr>
        <w:t>affinchè</w:t>
      </w:r>
      <w:proofErr w:type="spellEnd"/>
      <w:r>
        <w:rPr>
          <w:lang w:val="it-IT"/>
        </w:rPr>
        <w:t xml:space="preserve"> i mercati siano pienamente efficienti, non vi debbano essere costi associati all’ottenimento delle </w:t>
      </w:r>
      <w:r>
        <w:rPr>
          <w:lang w:val="it-IT"/>
        </w:rPr>
        <w:lastRenderedPageBreak/>
        <w:t>informazioni o all’esecuzione degli ordini. Un’altra definizione di efficienza del mercato è quella secondo cui i prezzi riflettono le informazioni disponibili fino al punto in cui i benefici marginali di agire in base all’informazione sovrastano i costi marginali.</w:t>
      </w:r>
    </w:p>
    <w:p w14:paraId="31FFB81E" w14:textId="65D96049" w:rsidR="00510439" w:rsidRDefault="00510439" w:rsidP="00C454AC">
      <w:pPr>
        <w:jc w:val="both"/>
        <w:rPr>
          <w:lang w:val="it-IT"/>
        </w:rPr>
      </w:pPr>
      <w:r>
        <w:rPr>
          <w:lang w:val="it-IT"/>
        </w:rPr>
        <w:t xml:space="preserve">Se i prezzi riflettono in pieno le informazioni disponibili, tutte le risorse che investono nel mercato verranno allocate nel modo più produttivo, ovvero nei beni che danno il rendimento più alto rispetto al rischio corrispondente. </w:t>
      </w:r>
    </w:p>
    <w:p w14:paraId="6994E624" w14:textId="16B4E2C6" w:rsidR="00ED52C9" w:rsidRDefault="00ED52C9" w:rsidP="00C454AC">
      <w:pPr>
        <w:jc w:val="both"/>
        <w:rPr>
          <w:lang w:val="it-IT"/>
        </w:rPr>
      </w:pPr>
      <w:r>
        <w:rPr>
          <w:lang w:val="it-IT"/>
        </w:rPr>
        <w:t xml:space="preserve">La teoria dell’efficienza del mercato è l’applicazione del teorema del “profitto zero” di un’economia perfettamente competitiva. </w:t>
      </w:r>
      <w:proofErr w:type="gramStart"/>
      <w:r>
        <w:rPr>
          <w:lang w:val="it-IT"/>
        </w:rPr>
        <w:t>Infatti</w:t>
      </w:r>
      <w:proofErr w:type="gramEnd"/>
      <w:r>
        <w:rPr>
          <w:lang w:val="it-IT"/>
        </w:rPr>
        <w:t xml:space="preserve"> in un mercato perfettamente competitivo ogni informazione viene scontata prontamente da tutti gli attori del mercato e ciò non dà spazio allo sfruttamento di profitti.</w:t>
      </w:r>
    </w:p>
    <w:p w14:paraId="59050C2F" w14:textId="6853ACD4" w:rsidR="00510439" w:rsidRDefault="001C47B1" w:rsidP="00C454AC">
      <w:pPr>
        <w:jc w:val="both"/>
        <w:rPr>
          <w:lang w:val="it-IT"/>
        </w:rPr>
      </w:pPr>
      <w:r>
        <w:rPr>
          <w:lang w:val="it-IT"/>
        </w:rPr>
        <w:t xml:space="preserve">Il concetto di arbitraggio e di aspettative razionali rappresentano i concetti di investimento primari necessari per supportare l’ipotesi di efficienza del mercato. </w:t>
      </w:r>
      <w:proofErr w:type="gramStart"/>
      <w:r>
        <w:rPr>
          <w:lang w:val="it-IT"/>
        </w:rPr>
        <w:t>Infatti</w:t>
      </w:r>
      <w:proofErr w:type="gramEnd"/>
      <w:r>
        <w:rPr>
          <w:lang w:val="it-IT"/>
        </w:rPr>
        <w:t xml:space="preserve"> garantiscono che le nuove informazioni rilevanti siano scontate prontam</w:t>
      </w:r>
      <w:r w:rsidR="0029512C">
        <w:rPr>
          <w:lang w:val="it-IT"/>
        </w:rPr>
        <w:t>ente nei prezzi.</w:t>
      </w:r>
    </w:p>
    <w:p w14:paraId="287BD6CA" w14:textId="7A2E11D4" w:rsidR="00F86195" w:rsidRDefault="00C454AC" w:rsidP="00C454AC">
      <w:pPr>
        <w:jc w:val="both"/>
        <w:rPr>
          <w:lang w:val="it-IT"/>
        </w:rPr>
      </w:pPr>
      <w:r>
        <w:rPr>
          <w:lang w:val="it-IT"/>
        </w:rPr>
        <w:t xml:space="preserve">Dal momento che in un mercato efficiente tutte le informazioni disponibili vengono incorporate nei prezzi delle azioni. Un’implicazione dell’ipotesi di mercato efficiente è che i prezzi seguono un random </w:t>
      </w:r>
      <w:proofErr w:type="spellStart"/>
      <w:r>
        <w:rPr>
          <w:lang w:val="it-IT"/>
        </w:rPr>
        <w:t>walk</w:t>
      </w:r>
      <w:proofErr w:type="spellEnd"/>
      <w:r>
        <w:rPr>
          <w:lang w:val="it-IT"/>
        </w:rPr>
        <w:t xml:space="preserve"> </w:t>
      </w:r>
    </w:p>
    <w:p w14:paraId="2AF53E2A" w14:textId="3972305E" w:rsidR="00C454AC" w:rsidRDefault="00BB5742" w:rsidP="00C454AC">
      <w:pPr>
        <w:jc w:val="both"/>
        <w:rPr>
          <w:lang w:val="it-IT"/>
        </w:rPr>
      </w:pPr>
      <m:oMathPara>
        <m:oMath>
          <m:sSub>
            <m:sSubPr>
              <m:ctrlPr>
                <w:rPr>
                  <w:rFonts w:ascii="Cambria Math" w:hAnsi="Cambria Math"/>
                  <w:i/>
                  <w:lang w:val="it-IT"/>
                </w:rPr>
              </m:ctrlPr>
            </m:sSubPr>
            <m:e>
              <m:r>
                <w:rPr>
                  <w:rFonts w:ascii="Cambria Math" w:hAnsi="Cambria Math"/>
                  <w:lang w:val="it-IT"/>
                </w:rPr>
                <m:t>p</m:t>
              </m:r>
            </m:e>
            <m:sub>
              <m:r>
                <w:rPr>
                  <w:rFonts w:ascii="Cambria Math" w:hAnsi="Cambria Math"/>
                  <w:lang w:val="it-IT"/>
                </w:rPr>
                <m:t>t+1</m:t>
              </m:r>
            </m:sub>
          </m:sSub>
          <m:r>
            <w:rPr>
              <w:rFonts w:ascii="Cambria Math" w:hAnsi="Cambria Math"/>
              <w:lang w:val="it-IT"/>
            </w:rPr>
            <m:t>-</m:t>
          </m:r>
          <m:sSub>
            <m:sSubPr>
              <m:ctrlPr>
                <w:rPr>
                  <w:rFonts w:ascii="Cambria Math" w:hAnsi="Cambria Math"/>
                  <w:i/>
                  <w:lang w:val="it-IT"/>
                </w:rPr>
              </m:ctrlPr>
            </m:sSubPr>
            <m:e>
              <m:r>
                <w:rPr>
                  <w:rFonts w:ascii="Cambria Math" w:hAnsi="Cambria Math"/>
                  <w:lang w:val="it-IT"/>
                </w:rPr>
                <m:t>p</m:t>
              </m:r>
            </m:e>
            <m:sub>
              <m:r>
                <w:rPr>
                  <w:rFonts w:ascii="Cambria Math" w:hAnsi="Cambria Math"/>
                  <w:lang w:val="it-IT"/>
                </w:rPr>
                <m:t>t</m:t>
              </m:r>
            </m:sub>
          </m:sSub>
          <m:r>
            <w:rPr>
              <w:rFonts w:ascii="Cambria Math" w:hAnsi="Cambria Math"/>
              <w:lang w:val="it-IT"/>
            </w:rPr>
            <m:t>=</m:t>
          </m:r>
          <m:sSub>
            <m:sSubPr>
              <m:ctrlPr>
                <w:rPr>
                  <w:rFonts w:ascii="Cambria Math" w:hAnsi="Cambria Math"/>
                  <w:i/>
                  <w:lang w:val="it-IT"/>
                </w:rPr>
              </m:ctrlPr>
            </m:sSubPr>
            <m:e>
              <m:r>
                <w:rPr>
                  <w:rFonts w:ascii="Cambria Math" w:hAnsi="Cambria Math"/>
                  <w:lang w:val="it-IT"/>
                </w:rPr>
                <m:t>ε</m:t>
              </m:r>
            </m:e>
            <m:sub>
              <m:r>
                <w:rPr>
                  <w:rFonts w:ascii="Cambria Math" w:hAnsi="Cambria Math"/>
                  <w:lang w:val="it-IT"/>
                </w:rPr>
                <m:t>t+1</m:t>
              </m:r>
            </m:sub>
          </m:sSub>
        </m:oMath>
      </m:oMathPara>
    </w:p>
    <w:p w14:paraId="2C595567" w14:textId="00FCD93E" w:rsidR="00C454AC" w:rsidRDefault="00C454AC" w:rsidP="00C454AC">
      <w:pPr>
        <w:jc w:val="both"/>
        <w:rPr>
          <w:lang w:val="it-IT"/>
        </w:rPr>
      </w:pPr>
      <w:r>
        <w:rPr>
          <w:lang w:val="it-IT"/>
        </w:rPr>
        <w:t>O più genericamente una Martingale</w:t>
      </w:r>
    </w:p>
    <w:p w14:paraId="7F26CFA0" w14:textId="0578923E" w:rsidR="00C454AC" w:rsidRDefault="00C454AC" w:rsidP="00C454AC">
      <w:pPr>
        <w:jc w:val="center"/>
        <w:rPr>
          <w:lang w:val="it-IT"/>
        </w:rPr>
      </w:pPr>
      <m:oMath>
        <m:r>
          <w:rPr>
            <w:rFonts w:ascii="Cambria Math" w:hAnsi="Cambria Math"/>
            <w:lang w:val="it-IT"/>
          </w:rPr>
          <m:t>E</m:t>
        </m:r>
        <m:d>
          <m:dPr>
            <m:endChr m:val="|"/>
            <m:ctrlPr>
              <w:rPr>
                <w:rFonts w:ascii="Cambria Math" w:hAnsi="Cambria Math"/>
                <w:i/>
                <w:lang w:val="it-IT"/>
              </w:rPr>
            </m:ctrlPr>
          </m:dPr>
          <m:e>
            <m:sSub>
              <m:sSubPr>
                <m:ctrlPr>
                  <w:rPr>
                    <w:rFonts w:ascii="Cambria Math" w:hAnsi="Cambria Math"/>
                    <w:i/>
                    <w:lang w:val="it-IT"/>
                  </w:rPr>
                </m:ctrlPr>
              </m:sSubPr>
              <m:e>
                <m:r>
                  <w:rPr>
                    <w:rFonts w:ascii="Cambria Math" w:hAnsi="Cambria Math"/>
                    <w:lang w:val="it-IT"/>
                  </w:rPr>
                  <m:t>p</m:t>
                </m:r>
              </m:e>
              <m:sub>
                <m:r>
                  <w:rPr>
                    <w:rFonts w:ascii="Cambria Math" w:hAnsi="Cambria Math"/>
                    <w:lang w:val="it-IT"/>
                  </w:rPr>
                  <m:t>t+1</m:t>
                </m:r>
              </m:sub>
            </m:sSub>
            <m:r>
              <w:rPr>
                <w:rFonts w:ascii="Cambria Math" w:hAnsi="Cambria Math"/>
                <w:lang w:val="it-IT"/>
              </w:rPr>
              <m:t>-</m:t>
            </m:r>
            <m:sSub>
              <m:sSubPr>
                <m:ctrlPr>
                  <w:rPr>
                    <w:rFonts w:ascii="Cambria Math" w:hAnsi="Cambria Math"/>
                    <w:i/>
                    <w:lang w:val="it-IT"/>
                  </w:rPr>
                </m:ctrlPr>
              </m:sSubPr>
              <m:e>
                <m:r>
                  <w:rPr>
                    <w:rFonts w:ascii="Cambria Math" w:hAnsi="Cambria Math"/>
                    <w:lang w:val="it-IT"/>
                  </w:rPr>
                  <m:t>p</m:t>
                </m:r>
              </m:e>
              <m:sub>
                <m:r>
                  <w:rPr>
                    <w:rFonts w:ascii="Cambria Math" w:hAnsi="Cambria Math"/>
                    <w:lang w:val="it-IT"/>
                  </w:rPr>
                  <m:t>t</m:t>
                </m:r>
              </m:sub>
            </m:sSub>
            <m:r>
              <w:rPr>
                <w:rFonts w:ascii="Cambria Math" w:eastAsiaTheme="minorEastAsia" w:hAnsi="Cambria Math"/>
                <w:lang w:val="it-IT"/>
              </w:rPr>
              <m:t xml:space="preserve"> </m:t>
            </m:r>
            <m:ctrlPr>
              <w:rPr>
                <w:rFonts w:ascii="Cambria Math" w:eastAsiaTheme="minorEastAsia" w:hAnsi="Cambria Math"/>
                <w:i/>
                <w:lang w:val="it-IT"/>
              </w:rPr>
            </m:ctrlPr>
          </m:e>
        </m:d>
        <m:r>
          <w:rPr>
            <w:rFonts w:ascii="Cambria Math" w:eastAsiaTheme="minorEastAsia" w:hAnsi="Cambria Math"/>
            <w:lang w:val="it-IT"/>
          </w:rPr>
          <m:t xml:space="preserve"> </m:t>
        </m:r>
        <m:sSub>
          <m:sSubPr>
            <m:ctrlPr>
              <w:rPr>
                <w:rFonts w:ascii="Cambria Math" w:eastAsiaTheme="minorEastAsia" w:hAnsi="Cambria Math"/>
                <w:i/>
                <w:lang w:val="it-IT"/>
              </w:rPr>
            </m:ctrlPr>
          </m:sSubPr>
          <m:e>
            <m:r>
              <w:rPr>
                <w:rFonts w:ascii="Cambria Math" w:eastAsiaTheme="minorEastAsia" w:hAnsi="Cambria Math"/>
                <w:lang w:val="it-IT"/>
              </w:rPr>
              <m:t>Ω</m:t>
            </m:r>
          </m:e>
          <m:sub>
            <m:r>
              <w:rPr>
                <w:rFonts w:ascii="Cambria Math" w:eastAsiaTheme="minorEastAsia" w:hAnsi="Cambria Math"/>
                <w:lang w:val="it-IT"/>
              </w:rPr>
              <m:t>t</m:t>
            </m:r>
          </m:sub>
        </m:sSub>
        <m:r>
          <w:rPr>
            <w:rFonts w:ascii="Cambria Math" w:eastAsiaTheme="minorEastAsia" w:hAnsi="Cambria Math"/>
            <w:lang w:val="it-IT"/>
          </w:rPr>
          <m:t>)=0</m:t>
        </m:r>
      </m:oMath>
      <w:r>
        <w:rPr>
          <w:rFonts w:eastAsiaTheme="minorEastAsia"/>
          <w:lang w:val="it-IT"/>
        </w:rPr>
        <w:t xml:space="preserve">  </w:t>
      </w:r>
    </w:p>
    <w:p w14:paraId="17660926" w14:textId="540580D1" w:rsidR="00C454AC" w:rsidRDefault="00C454AC" w:rsidP="00C454AC">
      <w:pPr>
        <w:jc w:val="both"/>
        <w:rPr>
          <w:rFonts w:eastAsiaTheme="minorEastAsia"/>
          <w:lang w:val="it-IT"/>
        </w:rPr>
      </w:pPr>
      <w:r>
        <w:rPr>
          <w:lang w:val="it-IT"/>
        </w:rPr>
        <w:t xml:space="preserve">Dove </w:t>
      </w:r>
      <w:proofErr w:type="spellStart"/>
      <w:r>
        <w:rPr>
          <w:rFonts w:cstheme="minorHAnsi"/>
          <w:lang w:val="it-IT"/>
        </w:rPr>
        <w:t>Ω</w:t>
      </w:r>
      <w:r>
        <w:rPr>
          <w:vertAlign w:val="subscript"/>
          <w:lang w:val="it-IT"/>
        </w:rPr>
        <w:t>t</w:t>
      </w:r>
      <w:proofErr w:type="spellEnd"/>
      <w:r>
        <w:rPr>
          <w:lang w:val="it-IT"/>
        </w:rPr>
        <w:t xml:space="preserve"> = {</w:t>
      </w:r>
      <m:oMath>
        <m:sSub>
          <m:sSubPr>
            <m:ctrlPr>
              <w:rPr>
                <w:rFonts w:ascii="Cambria Math" w:hAnsi="Cambria Math"/>
                <w:i/>
                <w:lang w:val="it-IT"/>
              </w:rPr>
            </m:ctrlPr>
          </m:sSubPr>
          <m:e>
            <m:r>
              <w:rPr>
                <w:rFonts w:ascii="Cambria Math" w:hAnsi="Cambria Math"/>
                <w:lang w:val="it-IT"/>
              </w:rPr>
              <m:t>p</m:t>
            </m:r>
          </m:e>
          <m:sub>
            <m:r>
              <w:rPr>
                <w:rFonts w:ascii="Cambria Math" w:hAnsi="Cambria Math"/>
                <w:lang w:val="it-IT"/>
              </w:rPr>
              <m:t>t</m:t>
            </m:r>
          </m:sub>
        </m:sSub>
        <m:r>
          <w:rPr>
            <w:rFonts w:ascii="Cambria Math" w:hAnsi="Cambria Math"/>
            <w:lang w:val="it-IT"/>
          </w:rPr>
          <m:t>,</m:t>
        </m:r>
        <m:sSub>
          <m:sSubPr>
            <m:ctrlPr>
              <w:rPr>
                <w:rFonts w:ascii="Cambria Math" w:hAnsi="Cambria Math"/>
                <w:i/>
                <w:lang w:val="it-IT"/>
              </w:rPr>
            </m:ctrlPr>
          </m:sSubPr>
          <m:e>
            <m:r>
              <w:rPr>
                <w:rFonts w:ascii="Cambria Math" w:hAnsi="Cambria Math"/>
                <w:lang w:val="it-IT"/>
              </w:rPr>
              <m:t>p</m:t>
            </m:r>
          </m:e>
          <m:sub>
            <m:r>
              <w:rPr>
                <w:rFonts w:ascii="Cambria Math" w:hAnsi="Cambria Math"/>
                <w:lang w:val="it-IT"/>
              </w:rPr>
              <m:t>t-1</m:t>
            </m:r>
          </m:sub>
        </m:sSub>
        <m:r>
          <w:rPr>
            <w:rFonts w:ascii="Cambria Math" w:hAnsi="Cambria Math"/>
            <w:lang w:val="it-IT"/>
          </w:rPr>
          <m:t>,</m:t>
        </m:r>
        <m:sSub>
          <m:sSubPr>
            <m:ctrlPr>
              <w:rPr>
                <w:rFonts w:ascii="Cambria Math" w:hAnsi="Cambria Math"/>
                <w:i/>
                <w:lang w:val="it-IT"/>
              </w:rPr>
            </m:ctrlPr>
          </m:sSubPr>
          <m:e>
            <m:r>
              <w:rPr>
                <w:rFonts w:ascii="Cambria Math" w:hAnsi="Cambria Math"/>
                <w:lang w:val="it-IT"/>
              </w:rPr>
              <m:t>p</m:t>
            </m:r>
          </m:e>
          <m:sub>
            <m:r>
              <w:rPr>
                <w:rFonts w:ascii="Cambria Math" w:hAnsi="Cambria Math"/>
                <w:lang w:val="it-IT"/>
              </w:rPr>
              <m:t>t-2</m:t>
            </m:r>
          </m:sub>
        </m:sSub>
        <m:r>
          <w:rPr>
            <w:rFonts w:ascii="Cambria Math" w:hAnsi="Cambria Math"/>
            <w:lang w:val="it-IT"/>
          </w:rPr>
          <m:t>,…</m:t>
        </m:r>
      </m:oMath>
      <w:r>
        <w:rPr>
          <w:rFonts w:eastAsiaTheme="minorEastAsia"/>
          <w:lang w:val="it-IT"/>
        </w:rPr>
        <w:t xml:space="preserve">}. Le Martingale sono delle variabili le cui variazioni future sono completamente imprevedibili dato il corrente set informativo. In altre parole, le direzioni dei futuri movimenti nelle martingale sono impossibili da prevedere. </w:t>
      </w:r>
    </w:p>
    <w:p w14:paraId="722BB2E2" w14:textId="1763483C" w:rsidR="00C454AC" w:rsidRDefault="00C454AC" w:rsidP="00C454AC">
      <w:pPr>
        <w:jc w:val="both"/>
        <w:rPr>
          <w:rFonts w:eastAsiaTheme="minorEastAsia"/>
          <w:lang w:val="it-IT"/>
        </w:rPr>
      </w:pPr>
      <w:proofErr w:type="gramStart"/>
      <w:r>
        <w:rPr>
          <w:rFonts w:eastAsiaTheme="minorEastAsia"/>
          <w:lang w:val="it-IT"/>
        </w:rPr>
        <w:t>Dunque</w:t>
      </w:r>
      <w:proofErr w:type="gramEnd"/>
      <w:r>
        <w:rPr>
          <w:rFonts w:eastAsiaTheme="minorEastAsia"/>
          <w:lang w:val="it-IT"/>
        </w:rPr>
        <w:t xml:space="preserve"> la migliore previsione del prezzo futuro è il prezzo odierno:</w:t>
      </w:r>
    </w:p>
    <w:p w14:paraId="56D6F405" w14:textId="6D1A3587" w:rsidR="00C454AC" w:rsidRPr="0029512C" w:rsidRDefault="00C454AC" w:rsidP="00C454AC">
      <w:pPr>
        <w:jc w:val="center"/>
        <w:rPr>
          <w:rFonts w:eastAsiaTheme="minorEastAsia"/>
          <w:lang w:val="it-IT"/>
        </w:rPr>
      </w:pPr>
      <m:oMathPara>
        <m:oMath>
          <m:r>
            <w:rPr>
              <w:rFonts w:ascii="Cambria Math" w:hAnsi="Cambria Math"/>
              <w:lang w:val="it-IT"/>
            </w:rPr>
            <m:t>E</m:t>
          </m:r>
          <m:d>
            <m:dPr>
              <m:endChr m:val="|"/>
              <m:ctrlPr>
                <w:rPr>
                  <w:rFonts w:ascii="Cambria Math" w:hAnsi="Cambria Math"/>
                  <w:i/>
                  <w:lang w:val="it-IT"/>
                </w:rPr>
              </m:ctrlPr>
            </m:dPr>
            <m:e>
              <m:sSub>
                <m:sSubPr>
                  <m:ctrlPr>
                    <w:rPr>
                      <w:rFonts w:ascii="Cambria Math" w:hAnsi="Cambria Math"/>
                      <w:i/>
                      <w:lang w:val="it-IT"/>
                    </w:rPr>
                  </m:ctrlPr>
                </m:sSubPr>
                <m:e>
                  <m:r>
                    <w:rPr>
                      <w:rFonts w:ascii="Cambria Math" w:hAnsi="Cambria Math"/>
                      <w:lang w:val="it-IT"/>
                    </w:rPr>
                    <m:t>p</m:t>
                  </m:r>
                </m:e>
                <m:sub>
                  <m:r>
                    <w:rPr>
                      <w:rFonts w:ascii="Cambria Math" w:hAnsi="Cambria Math"/>
                      <w:lang w:val="it-IT"/>
                    </w:rPr>
                    <m:t>t+1</m:t>
                  </m:r>
                </m:sub>
              </m:sSub>
              <m:r>
                <w:rPr>
                  <w:rFonts w:ascii="Cambria Math" w:hAnsi="Cambria Math"/>
                  <w:lang w:val="it-IT"/>
                </w:rPr>
                <m:t xml:space="preserve"> </m:t>
              </m:r>
            </m:e>
          </m:d>
          <m:r>
            <w:rPr>
              <w:rFonts w:ascii="Cambria Math" w:hAnsi="Cambria Math"/>
              <w:lang w:val="it-IT"/>
            </w:rPr>
            <m:t xml:space="preserve"> </m:t>
          </m:r>
          <m:sSub>
            <m:sSubPr>
              <m:ctrlPr>
                <w:rPr>
                  <w:rFonts w:ascii="Cambria Math" w:hAnsi="Cambria Math"/>
                  <w:i/>
                  <w:lang w:val="it-IT"/>
                </w:rPr>
              </m:ctrlPr>
            </m:sSubPr>
            <m:e>
              <m:r>
                <w:rPr>
                  <w:rFonts w:ascii="Cambria Math" w:hAnsi="Cambria Math"/>
                  <w:lang w:val="it-IT"/>
                </w:rPr>
                <m:t>Ω</m:t>
              </m:r>
            </m:e>
            <m:sub>
              <m:r>
                <w:rPr>
                  <w:rFonts w:ascii="Cambria Math" w:hAnsi="Cambria Math"/>
                  <w:lang w:val="it-IT"/>
                </w:rPr>
                <m:t>t</m:t>
              </m:r>
            </m:sub>
          </m:sSub>
          <m:r>
            <w:rPr>
              <w:rFonts w:ascii="Cambria Math" w:hAnsi="Cambria Math"/>
              <w:lang w:val="it-IT"/>
            </w:rPr>
            <m:t>)=</m:t>
          </m:r>
          <m:sSub>
            <m:sSubPr>
              <m:ctrlPr>
                <w:rPr>
                  <w:rFonts w:ascii="Cambria Math" w:hAnsi="Cambria Math"/>
                  <w:i/>
                  <w:lang w:val="it-IT"/>
                </w:rPr>
              </m:ctrlPr>
            </m:sSubPr>
            <m:e>
              <m:r>
                <w:rPr>
                  <w:rFonts w:ascii="Cambria Math" w:hAnsi="Cambria Math"/>
                  <w:lang w:val="it-IT"/>
                </w:rPr>
                <m:t>p</m:t>
              </m:r>
            </m:e>
            <m:sub>
              <m:r>
                <w:rPr>
                  <w:rFonts w:ascii="Cambria Math" w:hAnsi="Cambria Math"/>
                  <w:lang w:val="it-IT"/>
                </w:rPr>
                <m:t>t</m:t>
              </m:r>
            </m:sub>
          </m:sSub>
        </m:oMath>
      </m:oMathPara>
    </w:p>
    <w:p w14:paraId="6E9278B3" w14:textId="595E5775" w:rsidR="0029512C" w:rsidRPr="00C454AC" w:rsidRDefault="0029512C" w:rsidP="0029512C">
      <w:pPr>
        <w:jc w:val="both"/>
        <w:rPr>
          <w:rFonts w:eastAsiaTheme="minorEastAsia"/>
          <w:lang w:val="it-IT"/>
        </w:rPr>
      </w:pPr>
      <w:r>
        <w:rPr>
          <w:rFonts w:eastAsiaTheme="minorEastAsia"/>
          <w:lang w:val="it-IT"/>
        </w:rPr>
        <w:t xml:space="preserve">Più un mercato è efficiente più il movimento del prezzo è randomico. </w:t>
      </w:r>
    </w:p>
    <w:p w14:paraId="2429F6F0" w14:textId="53B2C8AE" w:rsidR="00C454AC" w:rsidRDefault="00C454AC" w:rsidP="00C454AC">
      <w:pPr>
        <w:pStyle w:val="Heading2"/>
        <w:rPr>
          <w:lang w:val="it-IT"/>
        </w:rPr>
      </w:pPr>
      <w:r>
        <w:rPr>
          <w:lang w:val="it-IT"/>
        </w:rPr>
        <w:t>Inefficienze del mercato immobiliare</w:t>
      </w:r>
    </w:p>
    <w:p w14:paraId="0CC9A6BD" w14:textId="77777777" w:rsidR="00C454AC" w:rsidRPr="00C454AC" w:rsidRDefault="00C454AC" w:rsidP="00C454AC">
      <w:pPr>
        <w:rPr>
          <w:lang w:val="it-IT"/>
        </w:rPr>
      </w:pPr>
    </w:p>
    <w:p w14:paraId="29C99FD9" w14:textId="6CB6654E" w:rsidR="00103BBF" w:rsidRDefault="00103BBF" w:rsidP="00C454AC">
      <w:pPr>
        <w:jc w:val="both"/>
        <w:rPr>
          <w:lang w:val="it-IT"/>
        </w:rPr>
      </w:pPr>
      <w:r>
        <w:rPr>
          <w:lang w:val="it-IT"/>
        </w:rPr>
        <w:t>Le inefficienze del mercato immobiliare sono</w:t>
      </w:r>
      <w:r w:rsidR="006E49CB">
        <w:rPr>
          <w:rStyle w:val="FootnoteReference"/>
          <w:lang w:val="it-IT"/>
        </w:rPr>
        <w:footnoteReference w:id="14"/>
      </w:r>
      <w:r>
        <w:rPr>
          <w:lang w:val="it-IT"/>
        </w:rPr>
        <w:t>:</w:t>
      </w:r>
    </w:p>
    <w:p w14:paraId="6B52A8A3" w14:textId="3A75D4B0" w:rsidR="00103BBF" w:rsidRDefault="00103BBF" w:rsidP="00C454AC">
      <w:pPr>
        <w:pStyle w:val="ListParagraph"/>
        <w:numPr>
          <w:ilvl w:val="0"/>
          <w:numId w:val="18"/>
        </w:numPr>
        <w:jc w:val="both"/>
        <w:rPr>
          <w:lang w:val="it-IT"/>
        </w:rPr>
      </w:pPr>
      <w:r w:rsidRPr="00103BBF">
        <w:rPr>
          <w:i/>
          <w:lang w:val="it-IT"/>
        </w:rPr>
        <w:t>Prodotti eterogenei</w:t>
      </w:r>
      <w:r>
        <w:rPr>
          <w:lang w:val="it-IT"/>
        </w:rPr>
        <w:t xml:space="preserve">: gli immobili sono ben lontani da essere prodotti omogenei. Ogni immobile differisce dall’altro per molti aspetti, il più importante sicuramente il posizionamento. Il posizionamento definisce anche la tipologia di immobile. In zone industriali difficilmente si troveranno immobili residenziali. È qui che entra </w:t>
      </w:r>
      <w:proofErr w:type="spellStart"/>
      <w:r>
        <w:rPr>
          <w:lang w:val="it-IT"/>
        </w:rPr>
        <w:t>il</w:t>
      </w:r>
      <w:proofErr w:type="spellEnd"/>
      <w:r>
        <w:rPr>
          <w:lang w:val="it-IT"/>
        </w:rPr>
        <w:t xml:space="preserve"> gioco la divisione del RE in </w:t>
      </w:r>
      <w:proofErr w:type="spellStart"/>
      <w:r>
        <w:rPr>
          <w:lang w:val="it-IT"/>
        </w:rPr>
        <w:t>sottomercati</w:t>
      </w:r>
      <w:proofErr w:type="spellEnd"/>
      <w:r>
        <w:rPr>
          <w:lang w:val="it-IT"/>
        </w:rPr>
        <w:t xml:space="preserve"> definiti dalla tipologia, </w:t>
      </w:r>
      <w:proofErr w:type="gramStart"/>
      <w:r>
        <w:rPr>
          <w:lang w:val="it-IT"/>
        </w:rPr>
        <w:t>location</w:t>
      </w:r>
      <w:proofErr w:type="gramEnd"/>
      <w:r>
        <w:rPr>
          <w:lang w:val="it-IT"/>
        </w:rPr>
        <w:t xml:space="preserve"> e caratteristiche intrinseche. Per queste ragioni, il set informativo rilevante può essere molto complesso e non sempre completo. Da notare: questa è una caratteristica anche del mercato azionario. </w:t>
      </w:r>
    </w:p>
    <w:p w14:paraId="68CA44B6" w14:textId="51E48636" w:rsidR="00103BBF" w:rsidRDefault="00103BBF" w:rsidP="00C454AC">
      <w:pPr>
        <w:pStyle w:val="ListParagraph"/>
        <w:numPr>
          <w:ilvl w:val="0"/>
          <w:numId w:val="18"/>
        </w:numPr>
        <w:jc w:val="both"/>
        <w:rPr>
          <w:lang w:val="it-IT"/>
        </w:rPr>
      </w:pPr>
      <w:r>
        <w:rPr>
          <w:i/>
          <w:lang w:val="it-IT"/>
        </w:rPr>
        <w:t>Transazioni caratterizzate da alti costi e basse frequenze</w:t>
      </w:r>
      <w:r w:rsidRPr="00103BBF">
        <w:rPr>
          <w:lang w:val="it-IT"/>
        </w:rPr>
        <w:t>:</w:t>
      </w:r>
      <w:r>
        <w:rPr>
          <w:lang w:val="it-IT"/>
        </w:rPr>
        <w:t xml:space="preserve"> le transazioni nel mercato immobiliare sono caratterizzate da alti costi di intermediazione, sia in forma di tasse che di commissioni private. </w:t>
      </w:r>
      <w:r w:rsidR="006E49CB">
        <w:rPr>
          <w:lang w:val="it-IT"/>
        </w:rPr>
        <w:t xml:space="preserve">Esempi di commissioni private sono quelle dovute ai periti, agenti immobiliari o i notai. Esempi di tasse o imposte sono ad esempio le imposte di registro, catastali, ipotecarie. Dal momento che questi costi sono tanti sia in quantità che in valore le transazioni sono infrequenti. Per questo motivo, i prezzi </w:t>
      </w:r>
      <w:r w:rsidR="006E49CB">
        <w:rPr>
          <w:lang w:val="it-IT"/>
        </w:rPr>
        <w:lastRenderedPageBreak/>
        <w:t xml:space="preserve">non possono cambiare abbastanza frequentemente quanto viene richiesto dal mercato efficiente e non riescono a reagire all’emissione di nuove informazioni. </w:t>
      </w:r>
    </w:p>
    <w:p w14:paraId="46FDAA52" w14:textId="195D9040" w:rsidR="006E49CB" w:rsidRDefault="006E49CB" w:rsidP="00C454AC">
      <w:pPr>
        <w:pStyle w:val="ListParagraph"/>
        <w:numPr>
          <w:ilvl w:val="0"/>
          <w:numId w:val="18"/>
        </w:numPr>
        <w:jc w:val="both"/>
        <w:rPr>
          <w:lang w:val="it-IT"/>
        </w:rPr>
      </w:pPr>
      <w:r>
        <w:rPr>
          <w:i/>
          <w:lang w:val="it-IT"/>
        </w:rPr>
        <w:t>Regolamentazioni</w:t>
      </w:r>
      <w:r w:rsidRPr="006E49CB">
        <w:rPr>
          <w:lang w:val="it-IT"/>
        </w:rPr>
        <w:t>:</w:t>
      </w:r>
      <w:r>
        <w:rPr>
          <w:lang w:val="it-IT"/>
        </w:rPr>
        <w:t xml:space="preserve"> molte delle peculiarità degli immobili e del mercato immobiliare giustificano delle regolamentazioni speciali. Le stesse differiscono sostanzialmente tra nazioni e regioni. Le regolazioni riguardanti il controllo dei prezzi e la protezione degli acquirenti implicano che i prezzi non possano reagire velocemente a variazioni dei fondamentali. In nazioni come l’Italia poi lo stato è attivamente coinvolto nel mercato immobiliare. Tutto ciò impone che i mercati immobiliari nelle varie nazioni differiscano sostanzialmente l’uno dall’altro e quindi questo ha implicazioni in termini di disponibilità delle informazioni. </w:t>
      </w:r>
    </w:p>
    <w:p w14:paraId="3573A990" w14:textId="38349838" w:rsidR="006E49CB" w:rsidRDefault="006E49CB" w:rsidP="00C454AC">
      <w:pPr>
        <w:pStyle w:val="ListParagraph"/>
        <w:numPr>
          <w:ilvl w:val="0"/>
          <w:numId w:val="18"/>
        </w:numPr>
        <w:jc w:val="both"/>
        <w:rPr>
          <w:lang w:val="it-IT"/>
        </w:rPr>
      </w:pPr>
      <w:r>
        <w:rPr>
          <w:i/>
          <w:lang w:val="it-IT"/>
        </w:rPr>
        <w:t>Ritardi nella produzione</w:t>
      </w:r>
      <w:r w:rsidRPr="006E49CB">
        <w:rPr>
          <w:lang w:val="it-IT"/>
        </w:rPr>
        <w:t>:</w:t>
      </w:r>
      <w:r>
        <w:rPr>
          <w:lang w:val="it-IT"/>
        </w:rPr>
        <w:t xml:space="preserve"> L’offerta di immobili non può cambiare velocemente a variazioni della condizione del mercato. In base alla grandezza del progetto, i progetti immobiliari possono necessitare di mesi o anni per completarsi. </w:t>
      </w:r>
    </w:p>
    <w:p w14:paraId="5EAF4C78" w14:textId="1704BBF5" w:rsidR="00214029" w:rsidRDefault="006E49CB" w:rsidP="00C454AC">
      <w:pPr>
        <w:pStyle w:val="ListParagraph"/>
        <w:numPr>
          <w:ilvl w:val="0"/>
          <w:numId w:val="18"/>
        </w:numPr>
        <w:jc w:val="both"/>
        <w:rPr>
          <w:lang w:val="it-IT"/>
        </w:rPr>
      </w:pPr>
      <w:r>
        <w:rPr>
          <w:i/>
          <w:lang w:val="it-IT"/>
        </w:rPr>
        <w:t>Asimmetrie informative</w:t>
      </w:r>
      <w:r w:rsidRPr="006E49CB">
        <w:rPr>
          <w:lang w:val="it-IT"/>
        </w:rPr>
        <w:t>:</w:t>
      </w:r>
      <w:r>
        <w:rPr>
          <w:lang w:val="it-IT"/>
        </w:rPr>
        <w:t xml:space="preserve"> </w:t>
      </w:r>
      <w:r w:rsidR="00B614EB">
        <w:rPr>
          <w:lang w:val="it-IT"/>
        </w:rPr>
        <w:t xml:space="preserve">I punti appena esposti implicano che sia facile per molti partecipanti al mercato di essere non correttamente informati. Questo vuol dire che due controparti hanno set informativi diversi. </w:t>
      </w:r>
      <w:r w:rsidR="00214029">
        <w:rPr>
          <w:lang w:val="it-IT"/>
        </w:rPr>
        <w:t xml:space="preserve">Comprare i servizi di agenti immobiliari o di broker specializzati non risolve necessariamente l’asimmetria informativa. </w:t>
      </w:r>
    </w:p>
    <w:p w14:paraId="64EED956" w14:textId="0EA3921E" w:rsidR="00214029" w:rsidRDefault="00214029" w:rsidP="00C454AC">
      <w:pPr>
        <w:pStyle w:val="ListParagraph"/>
        <w:numPr>
          <w:ilvl w:val="0"/>
          <w:numId w:val="18"/>
        </w:numPr>
        <w:jc w:val="both"/>
        <w:rPr>
          <w:lang w:val="it-IT"/>
        </w:rPr>
      </w:pPr>
      <w:r w:rsidRPr="00214029">
        <w:rPr>
          <w:i/>
          <w:lang w:val="it-IT"/>
        </w:rPr>
        <w:t>Decentralizzazione degli scambi</w:t>
      </w:r>
      <w:r w:rsidRPr="00214029">
        <w:rPr>
          <w:lang w:val="it-IT"/>
        </w:rPr>
        <w:t xml:space="preserve">: Vista la vastità del mercato immobiliare e la difficoltà nel performare gli scambi, il mercato immobiliare è altamente decentralizzato. Questo implica che è difficile per gli investitori tenere traccia dei prezzi in tempo reale di operazioni immobiliari relativi allo stesso immobile o a immobili simili. </w:t>
      </w:r>
    </w:p>
    <w:p w14:paraId="34294E48" w14:textId="3AF4CCDC" w:rsidR="00214029" w:rsidRDefault="00214029" w:rsidP="00C454AC">
      <w:pPr>
        <w:pStyle w:val="ListParagraph"/>
        <w:numPr>
          <w:ilvl w:val="0"/>
          <w:numId w:val="18"/>
        </w:numPr>
        <w:jc w:val="both"/>
        <w:rPr>
          <w:lang w:val="it-IT"/>
        </w:rPr>
      </w:pPr>
      <w:r>
        <w:rPr>
          <w:i/>
          <w:lang w:val="it-IT"/>
        </w:rPr>
        <w:t>Contratti a lungo termine</w:t>
      </w:r>
      <w:r w:rsidRPr="00214029">
        <w:rPr>
          <w:lang w:val="it-IT"/>
        </w:rPr>
        <w:t>:</w:t>
      </w:r>
      <w:r>
        <w:rPr>
          <w:lang w:val="it-IT"/>
        </w:rPr>
        <w:t xml:space="preserve"> in molti mercati le transazioni immobiliari si sostanziano in contratti di lungo termine che limita l’aggiustamento dei prezzi.</w:t>
      </w:r>
      <w:r w:rsidR="002E66E1">
        <w:rPr>
          <w:lang w:val="it-IT"/>
        </w:rPr>
        <w:t xml:space="preserve"> Questo investimento con orizzonte di lungo termine porta alla bassa liquidità del mercato. </w:t>
      </w:r>
    </w:p>
    <w:p w14:paraId="64929CD4" w14:textId="627F0571" w:rsidR="0082563B" w:rsidRDefault="003E5CA1" w:rsidP="003E5CA1">
      <w:pPr>
        <w:pStyle w:val="Heading3"/>
        <w:rPr>
          <w:lang w:val="it-IT"/>
        </w:rPr>
      </w:pPr>
      <w:r>
        <w:rPr>
          <w:lang w:val="it-IT"/>
        </w:rPr>
        <w:t>Costi di transazione</w:t>
      </w:r>
    </w:p>
    <w:p w14:paraId="4BBB152F" w14:textId="2398DF6C" w:rsidR="003E5CA1" w:rsidRDefault="003E5CA1" w:rsidP="003E5CA1">
      <w:pPr>
        <w:rPr>
          <w:lang w:val="it-IT"/>
        </w:rPr>
      </w:pPr>
    </w:p>
    <w:p w14:paraId="30561F62" w14:textId="6D2CF3DF" w:rsidR="00D518AD" w:rsidRDefault="003E5CA1" w:rsidP="003E5CA1">
      <w:pPr>
        <w:rPr>
          <w:lang w:val="it-IT"/>
        </w:rPr>
      </w:pPr>
      <w:r>
        <w:rPr>
          <w:lang w:val="it-IT"/>
        </w:rPr>
        <w:t xml:space="preserve">I costi di ricerca e contrattazione sono sicuramente tra i più ingenti nel mercato immobiliare. Per facilitare </w:t>
      </w:r>
      <w:r w:rsidR="00D518AD">
        <w:rPr>
          <w:lang w:val="it-IT"/>
        </w:rPr>
        <w:t>le transazioni</w:t>
      </w:r>
      <w:r>
        <w:rPr>
          <w:lang w:val="it-IT"/>
        </w:rPr>
        <w:t xml:space="preserve"> gli acquirenti e i venditori si avvalgono dell’ausilio di broker specializzati o agenti immobiliari che, sotto compenso, riescano a sopportare i costi relativi. Le commissioni tipiche richieste dalle agenzie immobiliari variano tra il 3% e 6% del valore di vendita dell’</w:t>
      </w:r>
      <w:r w:rsidR="00D518AD">
        <w:rPr>
          <w:lang w:val="it-IT"/>
        </w:rPr>
        <w:t xml:space="preserve">immobile. </w:t>
      </w:r>
    </w:p>
    <w:p w14:paraId="5BE8B95D" w14:textId="0ECBB09C" w:rsidR="00D518AD" w:rsidRDefault="00D518AD" w:rsidP="003E5CA1">
      <w:pPr>
        <w:rPr>
          <w:lang w:val="it-IT"/>
        </w:rPr>
      </w:pPr>
      <w:r>
        <w:rPr>
          <w:lang w:val="it-IT"/>
        </w:rPr>
        <w:t xml:space="preserve">In uno degli articoli di economia più citati, “The </w:t>
      </w:r>
      <w:proofErr w:type="spellStart"/>
      <w:r>
        <w:rPr>
          <w:lang w:val="it-IT"/>
        </w:rPr>
        <w:t>Problem</w:t>
      </w:r>
      <w:proofErr w:type="spellEnd"/>
      <w:r>
        <w:rPr>
          <w:lang w:val="it-IT"/>
        </w:rPr>
        <w:t xml:space="preserve"> of Social Costs”</w:t>
      </w:r>
      <w:r>
        <w:rPr>
          <w:rStyle w:val="FootnoteReference"/>
          <w:lang w:val="it-IT"/>
        </w:rPr>
        <w:footnoteReference w:id="15"/>
      </w:r>
      <w:r>
        <w:rPr>
          <w:lang w:val="it-IT"/>
        </w:rPr>
        <w:t xml:space="preserve">, </w:t>
      </w:r>
      <w:proofErr w:type="spellStart"/>
      <w:r>
        <w:rPr>
          <w:lang w:val="it-IT"/>
        </w:rPr>
        <w:t>Coase</w:t>
      </w:r>
      <w:proofErr w:type="spellEnd"/>
      <w:r>
        <w:rPr>
          <w:lang w:val="it-IT"/>
        </w:rPr>
        <w:t xml:space="preserve"> sviluppò un framework per studiare il ruolo dei costi di transazione (ovvero tutti i costi associati ad uno scambio economico). Il teorema di </w:t>
      </w:r>
      <w:proofErr w:type="spellStart"/>
      <w:r>
        <w:rPr>
          <w:lang w:val="it-IT"/>
        </w:rPr>
        <w:t>Coase</w:t>
      </w:r>
      <w:proofErr w:type="spellEnd"/>
      <w:r>
        <w:rPr>
          <w:lang w:val="it-IT"/>
        </w:rPr>
        <w:t xml:space="preserve"> enuncia che</w:t>
      </w:r>
      <w:r w:rsidRPr="00D518AD">
        <w:rPr>
          <w:lang w:val="it-IT"/>
        </w:rPr>
        <w:t xml:space="preserve"> se i costi di negoziazione e transazione sono nulli, la contrattazione tra agenti economici porterà a soluzioni efficienti da un punto di vista sociale (dette Pareto-efficienti) anche in presenza di esternalità e a prescindere da chi deteng</w:t>
      </w:r>
      <w:r>
        <w:rPr>
          <w:lang w:val="it-IT"/>
        </w:rPr>
        <w:t xml:space="preserve">a inizialmente i diritti legali. Nell’articolo poi </w:t>
      </w:r>
      <w:proofErr w:type="spellStart"/>
      <w:r>
        <w:rPr>
          <w:lang w:val="it-IT"/>
        </w:rPr>
        <w:t>Coase</w:t>
      </w:r>
      <w:proofErr w:type="spellEnd"/>
      <w:r>
        <w:rPr>
          <w:lang w:val="it-IT"/>
        </w:rPr>
        <w:t xml:space="preserve"> sottolinea l’importanza di includere sempre i costi di transazione all’interno delle analisi economiche, dal momento che questi costi non sono mai trascurabili, soprattutto nel mercato immobiliare. </w:t>
      </w:r>
    </w:p>
    <w:p w14:paraId="69E3397D" w14:textId="6C1AAD4F" w:rsidR="003E5CA1" w:rsidRDefault="00D518AD" w:rsidP="003E5CA1">
      <w:pPr>
        <w:rPr>
          <w:lang w:val="it-IT"/>
        </w:rPr>
      </w:pPr>
      <w:r>
        <w:rPr>
          <w:lang w:val="it-IT"/>
        </w:rPr>
        <w:t xml:space="preserve">Alti costi di transazione possono influenzare non solo la durata della stessa ma anche </w:t>
      </w:r>
      <w:r w:rsidR="001A6857">
        <w:rPr>
          <w:lang w:val="it-IT"/>
        </w:rPr>
        <w:t xml:space="preserve">se l’affare avrà mai luogo. Dal punto di vista dell’efficienza del mercato, gli immobili in vendita che non riescono a trovare un acquirente possono essere sintomo del fallimento di una corretta asset </w:t>
      </w:r>
      <w:proofErr w:type="spellStart"/>
      <w:r w:rsidR="001A6857">
        <w:rPr>
          <w:lang w:val="it-IT"/>
        </w:rPr>
        <w:t>allocation</w:t>
      </w:r>
      <w:proofErr w:type="spellEnd"/>
      <w:r w:rsidR="001A6857">
        <w:rPr>
          <w:lang w:val="it-IT"/>
        </w:rPr>
        <w:t xml:space="preserve"> del mercato.</w:t>
      </w:r>
      <w:r w:rsidR="001A6857">
        <w:rPr>
          <w:rStyle w:val="FootnoteReference"/>
          <w:lang w:val="it-IT"/>
        </w:rPr>
        <w:footnoteReference w:id="16"/>
      </w:r>
    </w:p>
    <w:p w14:paraId="41078E98" w14:textId="02324B3E" w:rsidR="001A6857" w:rsidRDefault="001A6857" w:rsidP="003E5CA1">
      <w:pPr>
        <w:rPr>
          <w:lang w:val="it-IT"/>
        </w:rPr>
      </w:pPr>
      <w:r>
        <w:rPr>
          <w:lang w:val="it-IT"/>
        </w:rPr>
        <w:lastRenderedPageBreak/>
        <w:t xml:space="preserve">A sostegno di ciò </w:t>
      </w:r>
      <w:proofErr w:type="spellStart"/>
      <w:r>
        <w:rPr>
          <w:lang w:val="it-IT"/>
        </w:rPr>
        <w:t>Brastow</w:t>
      </w:r>
      <w:proofErr w:type="spellEnd"/>
      <w:r>
        <w:rPr>
          <w:lang w:val="it-IT"/>
        </w:rPr>
        <w:t xml:space="preserve">, Springer e Waller hanno dimostrato che gli agenti immobiliari specializzati in </w:t>
      </w:r>
      <w:proofErr w:type="gramStart"/>
      <w:r>
        <w:rPr>
          <w:lang w:val="it-IT"/>
        </w:rPr>
        <w:t>certe location geografiche</w:t>
      </w:r>
      <w:proofErr w:type="gramEnd"/>
      <w:r>
        <w:rPr>
          <w:lang w:val="it-IT"/>
        </w:rPr>
        <w:t xml:space="preserve"> sono capaci di aumentare la probabilità di vendita del 3.3%.</w:t>
      </w:r>
      <w:r>
        <w:rPr>
          <w:rStyle w:val="FootnoteReference"/>
          <w:lang w:val="it-IT"/>
        </w:rPr>
        <w:footnoteReference w:id="17"/>
      </w:r>
      <w:r>
        <w:rPr>
          <w:lang w:val="it-IT"/>
        </w:rPr>
        <w:t xml:space="preserve"> Gli autori hanno anche scoperto che i broker di minori dimensioni hanno probabilità inferiori di chiudere le transazioni. </w:t>
      </w:r>
    </w:p>
    <w:p w14:paraId="13CC4D58" w14:textId="5BBA16C5" w:rsidR="008300FB" w:rsidRDefault="008300FB" w:rsidP="003E5CA1">
      <w:pPr>
        <w:rPr>
          <w:lang w:val="it-IT"/>
        </w:rPr>
      </w:pPr>
      <w:r>
        <w:rPr>
          <w:lang w:val="it-IT"/>
        </w:rPr>
        <w:t xml:space="preserve">Secondo </w:t>
      </w:r>
      <w:proofErr w:type="spellStart"/>
      <w:r>
        <w:rPr>
          <w:lang w:val="it-IT"/>
        </w:rPr>
        <w:t>Cooter</w:t>
      </w:r>
      <w:proofErr w:type="spellEnd"/>
      <w:r>
        <w:rPr>
          <w:lang w:val="it-IT"/>
        </w:rPr>
        <w:t xml:space="preserve"> e </w:t>
      </w:r>
      <w:proofErr w:type="spellStart"/>
      <w:r>
        <w:rPr>
          <w:lang w:val="it-IT"/>
        </w:rPr>
        <w:t>Ulen</w:t>
      </w:r>
      <w:proofErr w:type="spellEnd"/>
      <w:r>
        <w:rPr>
          <w:rStyle w:val="FootnoteReference"/>
          <w:lang w:val="it-IT"/>
        </w:rPr>
        <w:footnoteReference w:id="18"/>
      </w:r>
      <w:r>
        <w:rPr>
          <w:lang w:val="it-IT"/>
        </w:rPr>
        <w:t xml:space="preserve"> i costi di transazione vengono generalmente suddivisi in tre categorie:</w:t>
      </w:r>
    </w:p>
    <w:p w14:paraId="0D087742" w14:textId="30E63CC9" w:rsidR="008300FB" w:rsidRDefault="008300FB" w:rsidP="008300FB">
      <w:pPr>
        <w:pStyle w:val="ListParagraph"/>
        <w:numPr>
          <w:ilvl w:val="0"/>
          <w:numId w:val="19"/>
        </w:numPr>
        <w:rPr>
          <w:lang w:val="it-IT"/>
        </w:rPr>
      </w:pPr>
      <w:r>
        <w:rPr>
          <w:lang w:val="it-IT"/>
        </w:rPr>
        <w:t>Costi di ricerca</w:t>
      </w:r>
    </w:p>
    <w:p w14:paraId="0BB6B8CC" w14:textId="29749617" w:rsidR="008300FB" w:rsidRDefault="008300FB" w:rsidP="008300FB">
      <w:pPr>
        <w:pStyle w:val="ListParagraph"/>
        <w:numPr>
          <w:ilvl w:val="0"/>
          <w:numId w:val="19"/>
        </w:numPr>
        <w:rPr>
          <w:lang w:val="it-IT"/>
        </w:rPr>
      </w:pPr>
      <w:r>
        <w:rPr>
          <w:lang w:val="it-IT"/>
        </w:rPr>
        <w:t xml:space="preserve">Costi di contrattazione </w:t>
      </w:r>
    </w:p>
    <w:p w14:paraId="78AECB64" w14:textId="55A5DE98" w:rsidR="008300FB" w:rsidRDefault="008300FB" w:rsidP="008300FB">
      <w:pPr>
        <w:pStyle w:val="ListParagraph"/>
        <w:numPr>
          <w:ilvl w:val="0"/>
          <w:numId w:val="19"/>
        </w:numPr>
        <w:rPr>
          <w:lang w:val="it-IT"/>
        </w:rPr>
      </w:pPr>
      <w:r>
        <w:rPr>
          <w:lang w:val="it-IT"/>
        </w:rPr>
        <w:t>Costi di esecuzione</w:t>
      </w:r>
    </w:p>
    <w:p w14:paraId="575961BB" w14:textId="152FDED0" w:rsidR="008300FB" w:rsidRDefault="008300FB" w:rsidP="00011F9E">
      <w:pPr>
        <w:jc w:val="both"/>
        <w:rPr>
          <w:lang w:val="it-IT"/>
        </w:rPr>
      </w:pPr>
      <w:r>
        <w:rPr>
          <w:lang w:val="it-IT"/>
        </w:rPr>
        <w:t xml:space="preserve">Questi costi non si intendono solo come pecuniari, e spesso infatti non lo sono. I costi di ricerca comprendono tutti quei costi correlati al far incontrare acquirente e venditore (quindi i costi che acquirente e venditore sostengono per cercarsi). I costi di contrattazione sono costi monetari e costi opportunità che nascono dalla lunga durata necessaria per finalizzare l’accordo. I costi di esecuzione comprendono i costi necessari ad assicurare la corretta esecuzione dell’accordo. </w:t>
      </w:r>
    </w:p>
    <w:p w14:paraId="688391D9" w14:textId="1D045232" w:rsidR="00D60A39" w:rsidRPr="00D60A39" w:rsidRDefault="00D60A39" w:rsidP="00D60A39">
      <w:pPr>
        <w:jc w:val="both"/>
        <w:rPr>
          <w:lang w:val="it-IT"/>
        </w:rPr>
      </w:pPr>
      <w:proofErr w:type="spellStart"/>
      <w:r w:rsidRPr="00D60A39">
        <w:rPr>
          <w:highlight w:val="yellow"/>
        </w:rPr>
        <w:t>Inserire</w:t>
      </w:r>
      <w:proofErr w:type="spellEnd"/>
      <w:r w:rsidRPr="00D60A39">
        <w:rPr>
          <w:highlight w:val="yellow"/>
        </w:rPr>
        <w:t xml:space="preserve"> </w:t>
      </w:r>
      <w:proofErr w:type="spellStart"/>
      <w:r w:rsidRPr="00D60A39">
        <w:rPr>
          <w:highlight w:val="yellow"/>
        </w:rPr>
        <w:t>Crowston</w:t>
      </w:r>
      <w:proofErr w:type="spellEnd"/>
      <w:r w:rsidRPr="00D60A39">
        <w:rPr>
          <w:highlight w:val="yellow"/>
        </w:rPr>
        <w:t xml:space="preserve">, K. &amp; Wigand, R. T. 2010. Real Estate War in Cyberspace: An Emerging Electronic </w:t>
      </w:r>
      <w:proofErr w:type="gramStart"/>
      <w:r w:rsidRPr="00D60A39">
        <w:rPr>
          <w:highlight w:val="yellow"/>
        </w:rPr>
        <w:t>Market?.</w:t>
      </w:r>
      <w:proofErr w:type="gramEnd"/>
      <w:r w:rsidRPr="00D60A39">
        <w:rPr>
          <w:highlight w:val="yellow"/>
        </w:rPr>
        <w:t xml:space="preserve"> </w:t>
      </w:r>
      <w:r w:rsidRPr="00A4248B">
        <w:rPr>
          <w:highlight w:val="yellow"/>
          <w:lang w:val="it-IT"/>
        </w:rPr>
        <w:t xml:space="preserve">International Journal of Electronic Markets. </w:t>
      </w:r>
      <w:r w:rsidRPr="00D60A39">
        <w:rPr>
          <w:highlight w:val="yellow"/>
          <w:lang w:val="it-IT"/>
        </w:rPr>
        <w:t>9. 37-44.</w:t>
      </w:r>
      <w:r w:rsidRPr="00D60A39">
        <w:rPr>
          <w:highlight w:val="yellow"/>
          <w:lang w:val="it-IT"/>
        </w:rPr>
        <w:cr/>
        <w:t xml:space="preserve">che dice che ci sono 33 step per finalizzare la transazione in RE (da </w:t>
      </w:r>
      <w:proofErr w:type="spellStart"/>
      <w:r w:rsidRPr="00D60A39">
        <w:rPr>
          <w:highlight w:val="yellow"/>
          <w:lang w:val="it-IT"/>
        </w:rPr>
        <w:t>pag</w:t>
      </w:r>
      <w:proofErr w:type="spellEnd"/>
      <w:r w:rsidRPr="00D60A39">
        <w:rPr>
          <w:highlight w:val="yellow"/>
          <w:lang w:val="it-IT"/>
        </w:rPr>
        <w:t xml:space="preserve"> 7 della tesi svedese).</w:t>
      </w:r>
    </w:p>
    <w:p w14:paraId="084C90E0" w14:textId="4D245108" w:rsidR="000A173D" w:rsidRDefault="000A173D" w:rsidP="00011F9E">
      <w:pPr>
        <w:jc w:val="both"/>
        <w:rPr>
          <w:lang w:val="it-IT"/>
        </w:rPr>
      </w:pPr>
      <w:r>
        <w:rPr>
          <w:lang w:val="it-IT"/>
        </w:rPr>
        <w:t xml:space="preserve">Seguendo il modello creato da </w:t>
      </w:r>
      <w:proofErr w:type="spellStart"/>
      <w:r>
        <w:rPr>
          <w:lang w:val="it-IT"/>
        </w:rPr>
        <w:t>Bian</w:t>
      </w:r>
      <w:proofErr w:type="spellEnd"/>
      <w:r>
        <w:rPr>
          <w:lang w:val="it-IT"/>
        </w:rPr>
        <w:t xml:space="preserve">, Waller e </w:t>
      </w:r>
      <w:proofErr w:type="spellStart"/>
      <w:r>
        <w:rPr>
          <w:lang w:val="it-IT"/>
        </w:rPr>
        <w:t>Wentland</w:t>
      </w:r>
      <w:proofErr w:type="spellEnd"/>
      <w:r>
        <w:rPr>
          <w:rStyle w:val="FootnoteReference"/>
          <w:lang w:val="it-IT"/>
        </w:rPr>
        <w:footnoteReference w:id="19"/>
      </w:r>
      <w:r>
        <w:rPr>
          <w:lang w:val="it-IT"/>
        </w:rPr>
        <w:t xml:space="preserve"> è possibile teorizzare come i costi di transazione impattino sul mercato immobiliare. </w:t>
      </w:r>
    </w:p>
    <w:p w14:paraId="2F9407E8" w14:textId="77777777" w:rsidR="005C48F7" w:rsidRDefault="000A173D" w:rsidP="00011F9E">
      <w:pPr>
        <w:jc w:val="both"/>
        <w:rPr>
          <w:rFonts w:eastAsiaTheme="minorEastAsia"/>
          <w:lang w:val="it-IT"/>
        </w:rPr>
      </w:pPr>
      <w:r w:rsidRPr="000A173D">
        <w:rPr>
          <w:lang w:val="it-IT"/>
        </w:rPr>
        <w:t xml:space="preserve">Seguendo Rutherford, Springer e </w:t>
      </w:r>
      <w:proofErr w:type="spellStart"/>
      <w:r w:rsidRPr="000A173D">
        <w:rPr>
          <w:lang w:val="it-IT"/>
        </w:rPr>
        <w:t>Yavas</w:t>
      </w:r>
      <w:proofErr w:type="spellEnd"/>
      <w:r>
        <w:rPr>
          <w:rStyle w:val="FootnoteReference"/>
        </w:rPr>
        <w:footnoteReference w:id="20"/>
      </w:r>
      <w:r w:rsidRPr="000A173D">
        <w:rPr>
          <w:lang w:val="it-IT"/>
        </w:rPr>
        <w:t xml:space="preserve"> si ipotizza la seguente struttura di contrattazione</w:t>
      </w:r>
      <w:r>
        <w:rPr>
          <w:lang w:val="it-IT"/>
        </w:rPr>
        <w:t xml:space="preserve">: il prezzo richiesto dal venditore visto dai potenziali acquirenti come </w:t>
      </w:r>
      <w:proofErr w:type="gramStart"/>
      <w:r>
        <w:rPr>
          <w:lang w:val="it-IT"/>
        </w:rPr>
        <w:t>un offerta</w:t>
      </w:r>
      <w:proofErr w:type="gramEnd"/>
      <w:r>
        <w:rPr>
          <w:lang w:val="it-IT"/>
        </w:rPr>
        <w:t xml:space="preserve"> “prendere o lasciare”. Si assume che il venditore dell’immobili decida il prezzo di vendita P. Di contro, l’acquirente accetterà il prezzo richiesto se e solo se lo stesso è inferiore o uguale al suo prezzo di riserva. La funzione di densità di probabilità è data da </w:t>
      </w:r>
      <m:oMath>
        <m:r>
          <w:rPr>
            <w:rFonts w:ascii="Cambria Math" w:hAnsi="Cambria Math"/>
            <w:lang w:val="it-IT"/>
          </w:rPr>
          <m:t>f(.)</m:t>
        </m:r>
      </m:oMath>
      <w:r w:rsidR="00CE0B8C">
        <w:rPr>
          <w:rFonts w:eastAsiaTheme="minorEastAsia"/>
          <w:lang w:val="it-IT"/>
        </w:rPr>
        <w:t xml:space="preserve"> sull’intervallo </w:t>
      </w:r>
      <m:oMath>
        <m:d>
          <m:dPr>
            <m:begChr m:val="⌊"/>
            <m:endChr m:val="⌋"/>
            <m:ctrlPr>
              <w:rPr>
                <w:rFonts w:ascii="Cambria Math" w:eastAsiaTheme="minorEastAsia" w:hAnsi="Cambria Math"/>
                <w:i/>
                <w:lang w:val="it-IT"/>
              </w:rPr>
            </m:ctrlPr>
          </m:dPr>
          <m:e>
            <m:r>
              <w:rPr>
                <w:rFonts w:ascii="Cambria Math" w:eastAsiaTheme="minorEastAsia" w:hAnsi="Cambria Math"/>
                <w:lang w:val="it-IT"/>
              </w:rPr>
              <m:t>p,</m:t>
            </m:r>
            <m:acc>
              <m:accPr>
                <m:chr m:val="̅"/>
                <m:ctrlPr>
                  <w:rPr>
                    <w:rFonts w:ascii="Cambria Math" w:eastAsiaTheme="minorEastAsia" w:hAnsi="Cambria Math"/>
                    <w:i/>
                    <w:lang w:val="it-IT"/>
                  </w:rPr>
                </m:ctrlPr>
              </m:accPr>
              <m:e>
                <m:r>
                  <w:rPr>
                    <w:rFonts w:ascii="Cambria Math" w:eastAsiaTheme="minorEastAsia" w:hAnsi="Cambria Math"/>
                    <w:lang w:val="it-IT"/>
                  </w:rPr>
                  <m:t>p</m:t>
                </m:r>
              </m:e>
            </m:acc>
          </m:e>
        </m:d>
      </m:oMath>
      <w:r w:rsidR="00CE0B8C">
        <w:rPr>
          <w:rFonts w:eastAsiaTheme="minorEastAsia"/>
          <w:lang w:val="it-IT"/>
        </w:rPr>
        <w:t xml:space="preserve">, dove </w:t>
      </w:r>
      <w:proofErr w:type="gramStart"/>
      <w:r w:rsidR="00CE0B8C" w:rsidRPr="00CE0B8C">
        <w:rPr>
          <w:rFonts w:ascii="Cambria Math" w:eastAsiaTheme="minorEastAsia" w:hAnsi="Cambria Math"/>
          <w:i/>
          <w:lang w:val="it-IT"/>
        </w:rPr>
        <w:t>f</w:t>
      </w:r>
      <w:r w:rsidR="00CE0B8C">
        <w:rPr>
          <w:rFonts w:eastAsiaTheme="minorEastAsia"/>
          <w:lang w:val="it-IT"/>
        </w:rPr>
        <w:t xml:space="preserve">  è</w:t>
      </w:r>
      <w:proofErr w:type="gramEnd"/>
      <w:r w:rsidR="00CE0B8C">
        <w:rPr>
          <w:rFonts w:eastAsiaTheme="minorEastAsia"/>
          <w:lang w:val="it-IT"/>
        </w:rPr>
        <w:t xml:space="preserve"> una funzione continua. </w:t>
      </w:r>
      <w:r w:rsidR="005C48F7">
        <w:rPr>
          <w:rFonts w:eastAsiaTheme="minorEastAsia"/>
          <w:lang w:val="it-IT"/>
        </w:rPr>
        <w:t xml:space="preserve">Nella transazione immobiliare vi sono almeno due controparti: l’agente della parte venditrice dell’immobile e il broker dell’acquirente. Si ipotizza che la commissione totale che verrà pagata per la transazione sia </w:t>
      </w:r>
      <m:oMath>
        <m:r>
          <w:rPr>
            <w:rFonts w:ascii="Cambria Math" w:eastAsiaTheme="minorEastAsia" w:hAnsi="Cambria Math"/>
            <w:lang w:val="it-IT"/>
          </w:rPr>
          <m:t>k</m:t>
        </m:r>
      </m:oMath>
      <w:r w:rsidR="005C48F7">
        <w:rPr>
          <w:rFonts w:eastAsiaTheme="minorEastAsia"/>
          <w:lang w:val="it-IT"/>
        </w:rPr>
        <w:t xml:space="preserve"> e che il broker dell’acquirente incassi una parte che viene indicata come </w:t>
      </w:r>
      <m:oMath>
        <m:sSub>
          <m:sSubPr>
            <m:ctrlPr>
              <w:rPr>
                <w:rFonts w:ascii="Cambria Math" w:eastAsiaTheme="minorEastAsia" w:hAnsi="Cambria Math"/>
                <w:i/>
                <w:lang w:val="it-IT"/>
              </w:rPr>
            </m:ctrlPr>
          </m:sSubPr>
          <m:e>
            <m:r>
              <w:rPr>
                <w:rFonts w:ascii="Cambria Math" w:eastAsiaTheme="minorEastAsia" w:hAnsi="Cambria Math"/>
                <w:lang w:val="it-IT"/>
              </w:rPr>
              <m:t>k</m:t>
            </m:r>
          </m:e>
          <m:sub>
            <m:r>
              <w:rPr>
                <w:rFonts w:ascii="Cambria Math" w:eastAsiaTheme="minorEastAsia" w:hAnsi="Cambria Math"/>
                <w:lang w:val="it-IT"/>
              </w:rPr>
              <m:t>s</m:t>
            </m:r>
          </m:sub>
        </m:sSub>
      </m:oMath>
      <w:r w:rsidR="005C48F7">
        <w:rPr>
          <w:rFonts w:eastAsiaTheme="minorEastAsia"/>
          <w:lang w:val="it-IT"/>
        </w:rPr>
        <w:t xml:space="preserve"> (così che </w:t>
      </w:r>
      <m:oMath>
        <m:r>
          <w:rPr>
            <w:rFonts w:ascii="Cambria Math" w:eastAsiaTheme="minorEastAsia" w:hAnsi="Cambria Math"/>
            <w:lang w:val="it-IT"/>
          </w:rPr>
          <m:t>k&gt;</m:t>
        </m:r>
        <m:sSub>
          <m:sSubPr>
            <m:ctrlPr>
              <w:rPr>
                <w:rFonts w:ascii="Cambria Math" w:eastAsiaTheme="minorEastAsia" w:hAnsi="Cambria Math"/>
                <w:i/>
                <w:lang w:val="it-IT"/>
              </w:rPr>
            </m:ctrlPr>
          </m:sSubPr>
          <m:e>
            <m:r>
              <w:rPr>
                <w:rFonts w:ascii="Cambria Math" w:eastAsiaTheme="minorEastAsia" w:hAnsi="Cambria Math"/>
                <w:lang w:val="it-IT"/>
              </w:rPr>
              <m:t>k</m:t>
            </m:r>
          </m:e>
          <m:sub>
            <m:r>
              <w:rPr>
                <w:rFonts w:ascii="Cambria Math" w:eastAsiaTheme="minorEastAsia" w:hAnsi="Cambria Math"/>
                <w:lang w:val="it-IT"/>
              </w:rPr>
              <m:t>s</m:t>
            </m:r>
          </m:sub>
        </m:sSub>
      </m:oMath>
      <w:r w:rsidR="005C48F7">
        <w:rPr>
          <w:rFonts w:eastAsiaTheme="minorEastAsia"/>
          <w:lang w:val="it-IT"/>
        </w:rPr>
        <w:t xml:space="preserve">). Se l’agente della parte venditrice trova da solo l’acquirente incasserà lui l’intera commissione </w:t>
      </w:r>
      <m:oMath>
        <m:r>
          <w:rPr>
            <w:rFonts w:ascii="Cambria Math" w:eastAsiaTheme="minorEastAsia" w:hAnsi="Cambria Math"/>
            <w:lang w:val="it-IT"/>
          </w:rPr>
          <m:t>kP</m:t>
        </m:r>
      </m:oMath>
      <w:r w:rsidR="005C48F7">
        <w:rPr>
          <w:rFonts w:eastAsiaTheme="minorEastAsia"/>
          <w:lang w:val="it-IT"/>
        </w:rPr>
        <w:t xml:space="preserve">. Si assume che le percentuali di commissione siano esogeni, quindi determinati dal mercato. È così che per una proprietà in vendita, il payoff atteso dell’agente della parte venditrice sia: </w:t>
      </w:r>
    </w:p>
    <w:p w14:paraId="0DF0FF67" w14:textId="7BF30CE3" w:rsidR="000A173D" w:rsidRPr="00FA6A68" w:rsidRDefault="005C48F7" w:rsidP="00011F9E">
      <w:pPr>
        <w:jc w:val="both"/>
        <w:rPr>
          <w:rFonts w:eastAsiaTheme="minorEastAsia"/>
          <w:i/>
          <w:lang w:val="it-IT"/>
        </w:rPr>
      </w:pPr>
      <m:oMathPara>
        <m:oMath>
          <m:r>
            <w:rPr>
              <w:rFonts w:ascii="Cambria Math" w:hAnsi="Cambria Math"/>
              <w:lang w:val="it-IT"/>
            </w:rPr>
            <m:t>V=ψ</m:t>
          </m:r>
          <m:d>
            <m:dPr>
              <m:ctrlPr>
                <w:rPr>
                  <w:rFonts w:ascii="Cambria Math" w:hAnsi="Cambria Math"/>
                  <w:i/>
                  <w:lang w:val="it-IT"/>
                </w:rPr>
              </m:ctrlPr>
            </m:dPr>
            <m:e>
              <m:r>
                <w:rPr>
                  <w:rFonts w:ascii="Cambria Math" w:hAnsi="Cambria Math"/>
                  <w:lang w:val="it-IT"/>
                </w:rPr>
                <m:t>L</m:t>
              </m:r>
            </m:e>
          </m:d>
          <m:nary>
            <m:naryPr>
              <m:limLoc m:val="subSup"/>
              <m:ctrlPr>
                <w:rPr>
                  <w:rFonts w:ascii="Cambria Math" w:hAnsi="Cambria Math"/>
                  <w:i/>
                  <w:lang w:val="it-IT"/>
                </w:rPr>
              </m:ctrlPr>
            </m:naryPr>
            <m:sub>
              <m:r>
                <w:rPr>
                  <w:rFonts w:ascii="Cambria Math" w:hAnsi="Cambria Math"/>
                  <w:lang w:val="it-IT"/>
                </w:rPr>
                <m:t>p</m:t>
              </m:r>
            </m:sub>
            <m:sup>
              <m:acc>
                <m:accPr>
                  <m:chr m:val="̅"/>
                  <m:ctrlPr>
                    <w:rPr>
                      <w:rFonts w:ascii="Cambria Math" w:hAnsi="Cambria Math"/>
                      <w:i/>
                      <w:lang w:val="it-IT"/>
                    </w:rPr>
                  </m:ctrlPr>
                </m:accPr>
                <m:e>
                  <m:r>
                    <w:rPr>
                      <w:rFonts w:ascii="Cambria Math" w:hAnsi="Cambria Math"/>
                      <w:lang w:val="it-IT"/>
                    </w:rPr>
                    <m:t>p</m:t>
                  </m:r>
                </m:e>
              </m:acc>
            </m:sup>
            <m:e>
              <m:r>
                <w:rPr>
                  <w:rFonts w:ascii="Cambria Math" w:hAnsi="Cambria Math"/>
                  <w:lang w:val="it-IT"/>
                </w:rPr>
                <m:t>kPf</m:t>
              </m:r>
              <m:d>
                <m:dPr>
                  <m:ctrlPr>
                    <w:rPr>
                      <w:rFonts w:ascii="Cambria Math" w:hAnsi="Cambria Math"/>
                      <w:i/>
                      <w:lang w:val="it-IT"/>
                    </w:rPr>
                  </m:ctrlPr>
                </m:dPr>
                <m:e>
                  <m:r>
                    <w:rPr>
                      <w:rFonts w:ascii="Cambria Math" w:hAnsi="Cambria Math"/>
                      <w:lang w:val="it-IT"/>
                    </w:rPr>
                    <m:t>p</m:t>
                  </m:r>
                </m:e>
              </m:d>
            </m:e>
          </m:nary>
          <m:r>
            <w:rPr>
              <w:rFonts w:ascii="Cambria Math" w:hAnsi="Cambria Math"/>
              <w:lang w:val="it-IT"/>
            </w:rPr>
            <m:t>dp+</m:t>
          </m:r>
          <m:r>
            <w:rPr>
              <w:rFonts w:ascii="Cambria Math" w:eastAsiaTheme="minorEastAsia" w:hAnsi="Cambria Math"/>
              <w:lang w:val="it-IT"/>
            </w:rPr>
            <m:t>φ</m:t>
          </m:r>
          <m:nary>
            <m:naryPr>
              <m:limLoc m:val="subSup"/>
              <m:ctrlPr>
                <w:rPr>
                  <w:rFonts w:ascii="Cambria Math" w:eastAsiaTheme="minorEastAsia" w:hAnsi="Cambria Math"/>
                  <w:i/>
                  <w:lang w:val="it-IT"/>
                </w:rPr>
              </m:ctrlPr>
            </m:naryPr>
            <m:sub>
              <m:r>
                <w:rPr>
                  <w:rFonts w:ascii="Cambria Math" w:eastAsiaTheme="minorEastAsia" w:hAnsi="Cambria Math"/>
                  <w:lang w:val="it-IT"/>
                </w:rPr>
                <m:t>p</m:t>
              </m:r>
            </m:sub>
            <m:sup>
              <m:acc>
                <m:accPr>
                  <m:chr m:val="̅"/>
                  <m:ctrlPr>
                    <w:rPr>
                      <w:rFonts w:ascii="Cambria Math" w:eastAsiaTheme="minorEastAsia" w:hAnsi="Cambria Math"/>
                      <w:i/>
                      <w:lang w:val="it-IT"/>
                    </w:rPr>
                  </m:ctrlPr>
                </m:accPr>
                <m:e>
                  <m:r>
                    <w:rPr>
                      <w:rFonts w:ascii="Cambria Math" w:eastAsiaTheme="minorEastAsia" w:hAnsi="Cambria Math"/>
                      <w:lang w:val="it-IT"/>
                    </w:rPr>
                    <m:t>p</m:t>
                  </m:r>
                </m:e>
              </m:acc>
            </m:sup>
            <m:e>
              <m:d>
                <m:dPr>
                  <m:ctrlPr>
                    <w:rPr>
                      <w:rFonts w:ascii="Cambria Math" w:eastAsiaTheme="minorEastAsia" w:hAnsi="Cambria Math"/>
                      <w:i/>
                      <w:lang w:val="it-IT"/>
                    </w:rPr>
                  </m:ctrlPr>
                </m:dPr>
                <m:e>
                  <m:r>
                    <w:rPr>
                      <w:rFonts w:ascii="Cambria Math" w:eastAsiaTheme="minorEastAsia" w:hAnsi="Cambria Math"/>
                      <w:lang w:val="it-IT"/>
                    </w:rPr>
                    <m:t>k-</m:t>
                  </m:r>
                  <m:sSub>
                    <m:sSubPr>
                      <m:ctrlPr>
                        <w:rPr>
                          <w:rFonts w:ascii="Cambria Math" w:eastAsiaTheme="minorEastAsia" w:hAnsi="Cambria Math"/>
                          <w:i/>
                          <w:lang w:val="it-IT"/>
                        </w:rPr>
                      </m:ctrlPr>
                    </m:sSubPr>
                    <m:e>
                      <m:r>
                        <w:rPr>
                          <w:rFonts w:ascii="Cambria Math" w:eastAsiaTheme="minorEastAsia" w:hAnsi="Cambria Math"/>
                          <w:lang w:val="it-IT"/>
                        </w:rPr>
                        <m:t>k</m:t>
                      </m:r>
                    </m:e>
                    <m:sub>
                      <m:r>
                        <w:rPr>
                          <w:rFonts w:ascii="Cambria Math" w:eastAsiaTheme="minorEastAsia" w:hAnsi="Cambria Math"/>
                          <w:lang w:val="it-IT"/>
                        </w:rPr>
                        <m:t>s</m:t>
                      </m:r>
                    </m:sub>
                  </m:sSub>
                </m:e>
              </m:d>
            </m:e>
          </m:nary>
          <m:r>
            <w:rPr>
              <w:rFonts w:ascii="Cambria Math" w:eastAsiaTheme="minorEastAsia" w:hAnsi="Cambria Math"/>
              <w:lang w:val="it-IT"/>
            </w:rPr>
            <m:t>Pf</m:t>
          </m:r>
          <m:d>
            <m:dPr>
              <m:ctrlPr>
                <w:rPr>
                  <w:rFonts w:ascii="Cambria Math" w:eastAsiaTheme="minorEastAsia" w:hAnsi="Cambria Math"/>
                  <w:i/>
                  <w:lang w:val="it-IT"/>
                </w:rPr>
              </m:ctrlPr>
            </m:dPr>
            <m:e>
              <m:r>
                <w:rPr>
                  <w:rFonts w:ascii="Cambria Math" w:eastAsiaTheme="minorEastAsia" w:hAnsi="Cambria Math"/>
                  <w:lang w:val="it-IT"/>
                </w:rPr>
                <m:t>p</m:t>
              </m:r>
            </m:e>
          </m:d>
          <m:r>
            <w:rPr>
              <w:rFonts w:ascii="Cambria Math" w:eastAsiaTheme="minorEastAsia" w:hAnsi="Cambria Math"/>
              <w:lang w:val="it-IT"/>
            </w:rPr>
            <m:t>dp-C(L+sL)</m:t>
          </m:r>
        </m:oMath>
      </m:oMathPara>
    </w:p>
    <w:p w14:paraId="364252E2" w14:textId="6E0A9648" w:rsidR="00FA6A68" w:rsidRPr="00FA6A68" w:rsidRDefault="00FA6A68" w:rsidP="00011F9E">
      <w:pPr>
        <w:jc w:val="center"/>
        <w:rPr>
          <w:rFonts w:eastAsiaTheme="minorEastAsia"/>
          <w:i/>
          <w:lang w:val="it-IT"/>
        </w:rPr>
      </w:pPr>
      <w:r>
        <w:rPr>
          <w:rFonts w:eastAsiaTheme="minorEastAsia"/>
          <w:i/>
          <w:lang w:val="it-IT"/>
        </w:rPr>
        <w:t>Equazione (1)</w:t>
      </w:r>
    </w:p>
    <w:p w14:paraId="779B0784" w14:textId="5C0A52BB" w:rsidR="00BF34C1" w:rsidRDefault="00BF34C1" w:rsidP="00011F9E">
      <w:pPr>
        <w:jc w:val="both"/>
        <w:rPr>
          <w:rFonts w:eastAsiaTheme="minorEastAsia"/>
          <w:lang w:val="it-IT"/>
        </w:rPr>
      </w:pPr>
      <w:r>
        <w:rPr>
          <w:lang w:val="it-IT"/>
        </w:rPr>
        <w:t xml:space="preserve">dove </w:t>
      </w:r>
      <m:oMath>
        <m:r>
          <w:rPr>
            <w:rFonts w:ascii="Cambria Math" w:hAnsi="Cambria Math"/>
            <w:lang w:val="it-IT"/>
          </w:rPr>
          <m:t>ψ</m:t>
        </m:r>
        <m:d>
          <m:dPr>
            <m:ctrlPr>
              <w:rPr>
                <w:rFonts w:ascii="Cambria Math" w:hAnsi="Cambria Math"/>
                <w:i/>
                <w:lang w:val="it-IT"/>
              </w:rPr>
            </m:ctrlPr>
          </m:dPr>
          <m:e>
            <m:r>
              <w:rPr>
                <w:rFonts w:ascii="Cambria Math" w:hAnsi="Cambria Math"/>
                <w:lang w:val="it-IT"/>
              </w:rPr>
              <m:t>.</m:t>
            </m:r>
          </m:e>
        </m:d>
      </m:oMath>
      <w:r>
        <w:rPr>
          <w:rFonts w:eastAsiaTheme="minorEastAsia"/>
          <w:lang w:val="it-IT"/>
        </w:rPr>
        <w:t xml:space="preserve"> è la probabilità che l’agente immobiliare incaricato dal venditore trovi un compratore autonomamente. Lo stesso può aumentare </w:t>
      </w:r>
      <m:oMath>
        <m:r>
          <w:rPr>
            <w:rFonts w:ascii="Cambria Math" w:eastAsiaTheme="minorEastAsia" w:hAnsi="Cambria Math"/>
            <w:lang w:val="it-IT"/>
          </w:rPr>
          <m:t>ψ</m:t>
        </m:r>
      </m:oMath>
      <w:r>
        <w:rPr>
          <w:rFonts w:eastAsiaTheme="minorEastAsia"/>
          <w:lang w:val="it-IT"/>
        </w:rPr>
        <w:t xml:space="preserve"> scegliendo un maggiore livello di impegno </w:t>
      </w:r>
      <m:oMath>
        <m:r>
          <w:rPr>
            <w:rFonts w:ascii="Cambria Math" w:eastAsiaTheme="minorEastAsia" w:hAnsi="Cambria Math"/>
            <w:lang w:val="it-IT"/>
          </w:rPr>
          <m:t>L</m:t>
        </m:r>
      </m:oMath>
      <w:r>
        <w:rPr>
          <w:rFonts w:eastAsiaTheme="minorEastAsia"/>
          <w:lang w:val="it-IT"/>
        </w:rPr>
        <w:t xml:space="preserve"> (nel senso di mostrare l’immobile al maggior numero di prospects possibile). Si assume che </w:t>
      </w:r>
      <m:oMath>
        <m:r>
          <w:rPr>
            <w:rFonts w:ascii="Cambria Math" w:eastAsiaTheme="minorEastAsia" w:hAnsi="Cambria Math"/>
            <w:lang w:val="it-IT"/>
          </w:rPr>
          <m:t>L</m:t>
        </m:r>
      </m:oMath>
      <w:r>
        <w:rPr>
          <w:rFonts w:eastAsiaTheme="minorEastAsia"/>
          <w:lang w:val="it-IT"/>
        </w:rPr>
        <w:t xml:space="preserve"> aumenti </w:t>
      </w:r>
      <m:oMath>
        <m:r>
          <w:rPr>
            <w:rFonts w:ascii="Cambria Math" w:eastAsiaTheme="minorEastAsia" w:hAnsi="Cambria Math"/>
            <w:lang w:val="it-IT"/>
          </w:rPr>
          <m:t>ψ</m:t>
        </m:r>
      </m:oMath>
      <w:r>
        <w:rPr>
          <w:rFonts w:eastAsiaTheme="minorEastAsia"/>
          <w:lang w:val="it-IT"/>
        </w:rPr>
        <w:t xml:space="preserve"> ad un tasso decrescente, quindi </w:t>
      </w:r>
      <m:oMath>
        <m:sSup>
          <m:sSupPr>
            <m:ctrlPr>
              <w:rPr>
                <w:rFonts w:ascii="Cambria Math" w:eastAsiaTheme="minorEastAsia" w:hAnsi="Cambria Math"/>
                <w:i/>
                <w:lang w:val="it-IT"/>
              </w:rPr>
            </m:ctrlPr>
          </m:sSupPr>
          <m:e>
            <m:r>
              <w:rPr>
                <w:rFonts w:ascii="Cambria Math" w:eastAsiaTheme="minorEastAsia" w:hAnsi="Cambria Math"/>
                <w:lang w:val="it-IT"/>
              </w:rPr>
              <m:t>ψ</m:t>
            </m:r>
          </m:e>
          <m:sup>
            <m:r>
              <w:rPr>
                <w:rFonts w:ascii="Cambria Math" w:eastAsiaTheme="minorEastAsia" w:hAnsi="Cambria Math"/>
                <w:lang w:val="it-IT"/>
              </w:rPr>
              <m:t>'</m:t>
            </m:r>
          </m:sup>
        </m:sSup>
        <m:r>
          <w:rPr>
            <w:rFonts w:ascii="Cambria Math" w:eastAsiaTheme="minorEastAsia" w:hAnsi="Cambria Math"/>
            <w:lang w:val="it-IT"/>
          </w:rPr>
          <m:t>&gt;0</m:t>
        </m:r>
      </m:oMath>
      <w:r>
        <w:rPr>
          <w:rFonts w:eastAsiaTheme="minorEastAsia"/>
          <w:lang w:val="it-IT"/>
        </w:rPr>
        <w:t xml:space="preserve"> e </w:t>
      </w:r>
      <m:oMath>
        <m:sSup>
          <m:sSupPr>
            <m:ctrlPr>
              <w:rPr>
                <w:rFonts w:ascii="Cambria Math" w:eastAsiaTheme="minorEastAsia" w:hAnsi="Cambria Math"/>
                <w:i/>
                <w:lang w:val="it-IT"/>
              </w:rPr>
            </m:ctrlPr>
          </m:sSupPr>
          <m:e>
            <m:r>
              <w:rPr>
                <w:rFonts w:ascii="Cambria Math" w:eastAsiaTheme="minorEastAsia" w:hAnsi="Cambria Math"/>
                <w:lang w:val="it-IT"/>
              </w:rPr>
              <m:t>ψ</m:t>
            </m:r>
          </m:e>
          <m:sup>
            <m:r>
              <w:rPr>
                <w:rFonts w:ascii="Cambria Math" w:eastAsiaTheme="minorEastAsia" w:hAnsi="Cambria Math"/>
                <w:lang w:val="it-IT"/>
              </w:rPr>
              <m:t>''</m:t>
            </m:r>
          </m:sup>
        </m:sSup>
        <m:r>
          <w:rPr>
            <w:rFonts w:ascii="Cambria Math" w:eastAsiaTheme="minorEastAsia" w:hAnsi="Cambria Math"/>
            <w:lang w:val="it-IT"/>
          </w:rPr>
          <m:t>&gt;0</m:t>
        </m:r>
      </m:oMath>
      <w:r>
        <w:rPr>
          <w:rFonts w:eastAsiaTheme="minorEastAsia"/>
          <w:lang w:val="it-IT"/>
        </w:rPr>
        <w:t xml:space="preserve">. </w:t>
      </w:r>
      <w:r w:rsidR="00FA6A68">
        <w:rPr>
          <w:rFonts w:eastAsiaTheme="minorEastAsia"/>
          <w:lang w:val="it-IT"/>
        </w:rPr>
        <w:t>Il primo addendo dell’</w:t>
      </w:r>
      <w:r w:rsidR="00FA6A68" w:rsidRPr="00FA6A68">
        <w:rPr>
          <w:rFonts w:eastAsiaTheme="minorEastAsia"/>
          <w:i/>
          <w:lang w:val="it-IT"/>
        </w:rPr>
        <w:t>equazione (1)</w:t>
      </w:r>
      <w:r w:rsidR="00FA6A68">
        <w:rPr>
          <w:rFonts w:eastAsiaTheme="minorEastAsia"/>
          <w:lang w:val="it-IT"/>
        </w:rPr>
        <w:t xml:space="preserve"> rappresenta il payoff atteso nel caso di dual agency (l’agente che rappresenta il venditore dell’immobile è quello che trova anche l’acquirente e quindi si prende la commissione totale </w:t>
      </w:r>
      <m:oMath>
        <m:r>
          <w:rPr>
            <w:rFonts w:ascii="Cambria Math" w:eastAsiaTheme="minorEastAsia" w:hAnsi="Cambria Math"/>
            <w:lang w:val="it-IT"/>
          </w:rPr>
          <m:t>kP</m:t>
        </m:r>
      </m:oMath>
      <w:r w:rsidR="00FA6A68">
        <w:rPr>
          <w:rFonts w:eastAsiaTheme="minorEastAsia"/>
          <w:lang w:val="it-IT"/>
        </w:rPr>
        <w:t xml:space="preserve">). La commissione totale </w:t>
      </w:r>
      <m:oMath>
        <m:r>
          <w:rPr>
            <w:rFonts w:ascii="Cambria Math" w:eastAsiaTheme="minorEastAsia" w:hAnsi="Cambria Math"/>
            <w:lang w:val="it-IT"/>
          </w:rPr>
          <m:t>kP</m:t>
        </m:r>
      </m:oMath>
      <w:r w:rsidR="00FA6A68">
        <w:rPr>
          <w:rFonts w:eastAsiaTheme="minorEastAsia"/>
          <w:lang w:val="it-IT"/>
        </w:rPr>
        <w:t xml:space="preserve"> viene prima integrata all’interno </w:t>
      </w:r>
      <w:r w:rsidR="00FA6A68">
        <w:rPr>
          <w:rFonts w:eastAsiaTheme="minorEastAsia"/>
          <w:lang w:val="it-IT"/>
        </w:rPr>
        <w:lastRenderedPageBreak/>
        <w:t xml:space="preserve">dell’intervallo </w:t>
      </w:r>
      <m:oMath>
        <m:d>
          <m:dPr>
            <m:begChr m:val="⌊"/>
            <m:endChr m:val="⌋"/>
            <m:ctrlPr>
              <w:rPr>
                <w:rFonts w:ascii="Cambria Math" w:eastAsiaTheme="minorEastAsia" w:hAnsi="Cambria Math"/>
                <w:i/>
                <w:lang w:val="it-IT"/>
              </w:rPr>
            </m:ctrlPr>
          </m:dPr>
          <m:e>
            <m:r>
              <w:rPr>
                <w:rFonts w:ascii="Cambria Math" w:eastAsiaTheme="minorEastAsia" w:hAnsi="Cambria Math"/>
                <w:lang w:val="it-IT"/>
              </w:rPr>
              <m:t>p,</m:t>
            </m:r>
            <m:acc>
              <m:accPr>
                <m:chr m:val="̅"/>
                <m:ctrlPr>
                  <w:rPr>
                    <w:rFonts w:ascii="Cambria Math" w:eastAsiaTheme="minorEastAsia" w:hAnsi="Cambria Math"/>
                    <w:i/>
                    <w:lang w:val="it-IT"/>
                  </w:rPr>
                </m:ctrlPr>
              </m:accPr>
              <m:e>
                <m:r>
                  <w:rPr>
                    <w:rFonts w:ascii="Cambria Math" w:eastAsiaTheme="minorEastAsia" w:hAnsi="Cambria Math"/>
                    <w:lang w:val="it-IT"/>
                  </w:rPr>
                  <m:t>p</m:t>
                </m:r>
              </m:e>
            </m:acc>
          </m:e>
        </m:d>
      </m:oMath>
      <w:r w:rsidR="00FA6A68">
        <w:rPr>
          <w:rFonts w:eastAsiaTheme="minorEastAsia"/>
          <w:lang w:val="it-IT"/>
        </w:rPr>
        <w:t xml:space="preserve">, e poi ponderata per la probabilità di dual agency, </w:t>
      </w:r>
      <m:oMath>
        <m:r>
          <w:rPr>
            <w:rFonts w:ascii="Cambria Math" w:eastAsiaTheme="minorEastAsia" w:hAnsi="Cambria Math"/>
            <w:lang w:val="it-IT"/>
          </w:rPr>
          <m:t>ψ</m:t>
        </m:r>
        <m:d>
          <m:dPr>
            <m:ctrlPr>
              <w:rPr>
                <w:rFonts w:ascii="Cambria Math" w:eastAsiaTheme="minorEastAsia" w:hAnsi="Cambria Math"/>
                <w:i/>
                <w:lang w:val="it-IT"/>
              </w:rPr>
            </m:ctrlPr>
          </m:dPr>
          <m:e>
            <m:r>
              <w:rPr>
                <w:rFonts w:ascii="Cambria Math" w:eastAsiaTheme="minorEastAsia" w:hAnsi="Cambria Math"/>
                <w:lang w:val="it-IT"/>
              </w:rPr>
              <m:t>L</m:t>
            </m:r>
          </m:e>
        </m:d>
      </m:oMath>
      <w:r w:rsidR="00FA6A68">
        <w:rPr>
          <w:rFonts w:eastAsiaTheme="minorEastAsia"/>
          <w:lang w:val="it-IT"/>
        </w:rPr>
        <w:t>. Il secondo addendo è il payoff atteso se la vendita è avvenuta tramite un broker che rappresenta l’</w:t>
      </w:r>
      <w:r w:rsidR="00D34BEA">
        <w:rPr>
          <w:rFonts w:eastAsiaTheme="minorEastAsia"/>
          <w:lang w:val="it-IT"/>
        </w:rPr>
        <w:t xml:space="preserve">acquirente ponderato per la probabilità </w:t>
      </w:r>
      <m:oMath>
        <m:r>
          <w:rPr>
            <w:rFonts w:ascii="Cambria Math" w:eastAsiaTheme="minorEastAsia" w:hAnsi="Cambria Math"/>
            <w:lang w:val="it-IT"/>
          </w:rPr>
          <m:t>φ</m:t>
        </m:r>
      </m:oMath>
      <w:r w:rsidR="00D34BEA">
        <w:rPr>
          <w:rFonts w:eastAsiaTheme="minorEastAsia"/>
          <w:lang w:val="it-IT"/>
        </w:rPr>
        <w:t xml:space="preserve">. Si tratta di una probabilità esogena visto l’alto numero di agenti immobiliari presenti. In questo caso il broker riceve </w:t>
      </w:r>
      <m:oMath>
        <m:d>
          <m:dPr>
            <m:ctrlPr>
              <w:rPr>
                <w:rFonts w:ascii="Cambria Math" w:eastAsiaTheme="minorEastAsia" w:hAnsi="Cambria Math"/>
                <w:i/>
                <w:lang w:val="it-IT"/>
              </w:rPr>
            </m:ctrlPr>
          </m:dPr>
          <m:e>
            <m:r>
              <w:rPr>
                <w:rFonts w:ascii="Cambria Math" w:eastAsiaTheme="minorEastAsia" w:hAnsi="Cambria Math"/>
                <w:lang w:val="it-IT"/>
              </w:rPr>
              <m:t>k-</m:t>
            </m:r>
            <m:sSub>
              <m:sSubPr>
                <m:ctrlPr>
                  <w:rPr>
                    <w:rFonts w:ascii="Cambria Math" w:eastAsiaTheme="minorEastAsia" w:hAnsi="Cambria Math"/>
                    <w:i/>
                    <w:lang w:val="it-IT"/>
                  </w:rPr>
                </m:ctrlPr>
              </m:sSubPr>
              <m:e>
                <m:r>
                  <w:rPr>
                    <w:rFonts w:ascii="Cambria Math" w:eastAsiaTheme="minorEastAsia" w:hAnsi="Cambria Math"/>
                    <w:lang w:val="it-IT"/>
                  </w:rPr>
                  <m:t>k</m:t>
                </m:r>
              </m:e>
              <m:sub>
                <m:r>
                  <w:rPr>
                    <w:rFonts w:ascii="Cambria Math" w:eastAsiaTheme="minorEastAsia" w:hAnsi="Cambria Math"/>
                    <w:lang w:val="it-IT"/>
                  </w:rPr>
                  <m:t>s</m:t>
                </m:r>
              </m:sub>
            </m:sSub>
          </m:e>
        </m:d>
        <m:r>
          <w:rPr>
            <w:rFonts w:ascii="Cambria Math" w:eastAsiaTheme="minorEastAsia" w:hAnsi="Cambria Math"/>
            <w:lang w:val="it-IT"/>
          </w:rPr>
          <m:t>P</m:t>
        </m:r>
      </m:oMath>
      <w:r w:rsidR="00D34BEA">
        <w:rPr>
          <w:rFonts w:eastAsiaTheme="minorEastAsia"/>
          <w:lang w:val="it-IT"/>
        </w:rPr>
        <w:t xml:space="preserve">. Dal momento che la probabilità totale di vendita deve essere compresa fra 0 e 1, si ha </w:t>
      </w:r>
      <m:oMath>
        <m:r>
          <w:rPr>
            <w:rFonts w:ascii="Cambria Math" w:eastAsiaTheme="minorEastAsia" w:hAnsi="Cambria Math"/>
            <w:lang w:val="it-IT"/>
          </w:rPr>
          <m:t>0&lt;ψ+ϕ≤1</m:t>
        </m:r>
      </m:oMath>
      <w:r w:rsidR="00D34BEA">
        <w:rPr>
          <w:rFonts w:eastAsiaTheme="minorEastAsia"/>
          <w:lang w:val="it-IT"/>
        </w:rPr>
        <w:t>.</w:t>
      </w:r>
    </w:p>
    <w:p w14:paraId="1314BB3C" w14:textId="34453FAE" w:rsidR="00D34BEA" w:rsidRDefault="00D34BEA" w:rsidP="00011F9E">
      <w:pPr>
        <w:jc w:val="both"/>
        <w:rPr>
          <w:rFonts w:eastAsiaTheme="minorEastAsia"/>
          <w:lang w:val="it-IT"/>
        </w:rPr>
      </w:pPr>
      <w:r>
        <w:rPr>
          <w:rFonts w:eastAsiaTheme="minorEastAsia"/>
          <w:lang w:val="it-IT"/>
        </w:rPr>
        <w:t xml:space="preserve">Il minuendo </w:t>
      </w:r>
      <m:oMath>
        <m:r>
          <w:rPr>
            <w:rFonts w:ascii="Cambria Math" w:eastAsiaTheme="minorEastAsia" w:hAnsi="Cambria Math"/>
            <w:lang w:val="it-IT"/>
          </w:rPr>
          <m:t>C(.)</m:t>
        </m:r>
      </m:oMath>
      <w:r>
        <w:rPr>
          <w:rFonts w:eastAsiaTheme="minorEastAsia"/>
          <w:lang w:val="it-IT"/>
        </w:rPr>
        <w:t xml:space="preserve"> anche è una funzione continua e rappresenta esplicitamente i costi di transazione, che si assumono divisi in due parti. La prima parte rappresenta lo sforzo di ricerca e contrattazione, </w:t>
      </w:r>
      <m:oMath>
        <m:r>
          <w:rPr>
            <w:rFonts w:ascii="Cambria Math" w:eastAsiaTheme="minorEastAsia" w:hAnsi="Cambria Math"/>
            <w:lang w:val="it-IT"/>
          </w:rPr>
          <m:t>L</m:t>
        </m:r>
      </m:oMath>
      <w:r>
        <w:rPr>
          <w:rFonts w:eastAsiaTheme="minorEastAsia"/>
          <w:lang w:val="it-IT"/>
        </w:rPr>
        <w:t xml:space="preserve">, che incrementa in modo diretto la probabilità di vendita, ma è un costo che viene personalmente sostenuto dall’agente. La seconda parte rappresenta i costi vivi che l’agente deve sostenere per arrivare alla vendita. Questi costi sono ad esempio il trasporto per andare a visitare delle proprietà lontane dall’ufficio o il setup di un open-house. </w:t>
      </w:r>
    </w:p>
    <w:p w14:paraId="4252DAC8" w14:textId="6B8509E5" w:rsidR="00D34BEA" w:rsidRDefault="00D34BEA" w:rsidP="00011F9E">
      <w:pPr>
        <w:jc w:val="both"/>
        <w:rPr>
          <w:rFonts w:eastAsiaTheme="minorEastAsia"/>
          <w:lang w:val="it-IT"/>
        </w:rPr>
      </w:pPr>
      <w:r>
        <w:rPr>
          <w:rFonts w:eastAsiaTheme="minorEastAsia"/>
          <w:lang w:val="it-IT"/>
        </w:rPr>
        <w:t xml:space="preserve">Si presuppone che questi secondi costi siano funzione dell’ammontare di impegno </w:t>
      </w:r>
      <m:oMath>
        <m:r>
          <w:rPr>
            <w:rFonts w:ascii="Cambria Math" w:eastAsiaTheme="minorEastAsia" w:hAnsi="Cambria Math"/>
            <w:lang w:val="it-IT"/>
          </w:rPr>
          <m:t>L</m:t>
        </m:r>
      </m:oMath>
      <w:r>
        <w:rPr>
          <w:rFonts w:eastAsiaTheme="minorEastAsia"/>
          <w:lang w:val="it-IT"/>
        </w:rPr>
        <w:t xml:space="preserve">, rappresentandosi così come </w:t>
      </w:r>
      <m:oMath>
        <m:r>
          <w:rPr>
            <w:rFonts w:ascii="Cambria Math" w:eastAsiaTheme="minorEastAsia" w:hAnsi="Cambria Math"/>
            <w:lang w:val="it-IT"/>
          </w:rPr>
          <m:t>sL</m:t>
        </m:r>
      </m:oMath>
      <w:r>
        <w:rPr>
          <w:rFonts w:eastAsiaTheme="minorEastAsia"/>
          <w:lang w:val="it-IT"/>
        </w:rPr>
        <w:t xml:space="preserve">. Un </w:t>
      </w:r>
      <m:oMath>
        <m:r>
          <w:rPr>
            <w:rFonts w:ascii="Cambria Math" w:eastAsiaTheme="minorEastAsia" w:hAnsi="Cambria Math"/>
            <w:lang w:val="it-IT"/>
          </w:rPr>
          <m:t>s</m:t>
        </m:r>
      </m:oMath>
      <w:r>
        <w:rPr>
          <w:rFonts w:eastAsiaTheme="minorEastAsia"/>
          <w:lang w:val="it-IT"/>
        </w:rPr>
        <w:t xml:space="preserve"> maggiore significa che l’immobile è soggetto ad un maggiore livello di costi di transazione. Si assume che </w:t>
      </w:r>
      <m:oMath>
        <m:d>
          <m:dPr>
            <m:ctrlPr>
              <w:rPr>
                <w:rFonts w:ascii="Cambria Math" w:eastAsiaTheme="minorEastAsia" w:hAnsi="Cambria Math"/>
                <w:i/>
                <w:lang w:val="it-IT"/>
              </w:rPr>
            </m:ctrlPr>
          </m:dPr>
          <m:e>
            <m:r>
              <w:rPr>
                <w:rFonts w:ascii="Cambria Math" w:eastAsiaTheme="minorEastAsia" w:hAnsi="Cambria Math"/>
                <w:lang w:val="it-IT"/>
              </w:rPr>
              <m:t>1+s</m:t>
            </m:r>
          </m:e>
        </m:d>
        <m:r>
          <w:rPr>
            <w:rFonts w:ascii="Cambria Math" w:eastAsiaTheme="minorEastAsia" w:hAnsi="Cambria Math"/>
            <w:lang w:val="it-IT"/>
          </w:rPr>
          <m:t>L</m:t>
        </m:r>
      </m:oMath>
      <w:r>
        <w:rPr>
          <w:rFonts w:eastAsiaTheme="minorEastAsia"/>
          <w:lang w:val="it-IT"/>
        </w:rPr>
        <w:t xml:space="preserve"> aumenti </w:t>
      </w:r>
      <m:oMath>
        <m:r>
          <w:rPr>
            <w:rFonts w:ascii="Cambria Math" w:eastAsiaTheme="minorEastAsia" w:hAnsi="Cambria Math"/>
            <w:lang w:val="it-IT"/>
          </w:rPr>
          <m:t>C(.)</m:t>
        </m:r>
      </m:oMath>
      <w:r>
        <w:rPr>
          <w:rFonts w:eastAsiaTheme="minorEastAsia"/>
          <w:lang w:val="it-IT"/>
        </w:rPr>
        <w:t xml:space="preserve"> ad un tasso crescente </w:t>
      </w:r>
      <w:proofErr w:type="spellStart"/>
      <w:r w:rsidRPr="00D34BEA">
        <w:rPr>
          <w:rFonts w:eastAsiaTheme="minorEastAsia"/>
          <w:lang w:val="it-IT"/>
        </w:rPr>
        <w:t>cosicchè</w:t>
      </w:r>
      <w:proofErr w:type="spellEnd"/>
      <w:r>
        <w:rPr>
          <w:rFonts w:eastAsiaTheme="minorEastAsia"/>
          <w:lang w:val="it-IT"/>
        </w:rPr>
        <w:t xml:space="preserve"> </w:t>
      </w:r>
      <m:oMath>
        <m:sSup>
          <m:sSupPr>
            <m:ctrlPr>
              <w:rPr>
                <w:rFonts w:ascii="Cambria Math" w:eastAsiaTheme="minorEastAsia" w:hAnsi="Cambria Math"/>
                <w:i/>
                <w:lang w:val="it-IT"/>
              </w:rPr>
            </m:ctrlPr>
          </m:sSupPr>
          <m:e>
            <m:r>
              <w:rPr>
                <w:rFonts w:ascii="Cambria Math" w:eastAsiaTheme="minorEastAsia" w:hAnsi="Cambria Math"/>
                <w:lang w:val="it-IT"/>
              </w:rPr>
              <m:t>C</m:t>
            </m:r>
          </m:e>
          <m:sup>
            <m:r>
              <w:rPr>
                <w:rFonts w:ascii="Cambria Math" w:eastAsiaTheme="minorEastAsia" w:hAnsi="Cambria Math"/>
                <w:lang w:val="it-IT"/>
              </w:rPr>
              <m:t>'</m:t>
            </m:r>
          </m:sup>
        </m:sSup>
        <m:r>
          <w:rPr>
            <w:rFonts w:ascii="Cambria Math" w:eastAsiaTheme="minorEastAsia" w:hAnsi="Cambria Math"/>
            <w:lang w:val="it-IT"/>
          </w:rPr>
          <m:t>&gt;0</m:t>
        </m:r>
      </m:oMath>
      <w:r>
        <w:rPr>
          <w:rFonts w:eastAsiaTheme="minorEastAsia"/>
          <w:lang w:val="it-IT"/>
        </w:rPr>
        <w:t xml:space="preserve"> e </w:t>
      </w:r>
      <m:oMath>
        <m:sSup>
          <m:sSupPr>
            <m:ctrlPr>
              <w:rPr>
                <w:rFonts w:ascii="Cambria Math" w:eastAsiaTheme="minorEastAsia" w:hAnsi="Cambria Math"/>
                <w:i/>
                <w:lang w:val="it-IT"/>
              </w:rPr>
            </m:ctrlPr>
          </m:sSupPr>
          <m:e>
            <m:r>
              <w:rPr>
                <w:rFonts w:ascii="Cambria Math" w:eastAsiaTheme="minorEastAsia" w:hAnsi="Cambria Math"/>
                <w:lang w:val="it-IT"/>
              </w:rPr>
              <m:t>C</m:t>
            </m:r>
          </m:e>
          <m:sup>
            <m:r>
              <w:rPr>
                <w:rFonts w:ascii="Cambria Math" w:eastAsiaTheme="minorEastAsia" w:hAnsi="Cambria Math"/>
                <w:lang w:val="it-IT"/>
              </w:rPr>
              <m:t>''</m:t>
            </m:r>
          </m:sup>
        </m:sSup>
        <m:r>
          <w:rPr>
            <w:rFonts w:ascii="Cambria Math" w:eastAsiaTheme="minorEastAsia" w:hAnsi="Cambria Math"/>
            <w:lang w:val="it-IT"/>
          </w:rPr>
          <m:t>&gt;0</m:t>
        </m:r>
      </m:oMath>
      <w:r>
        <w:rPr>
          <w:rFonts w:eastAsiaTheme="minorEastAsia"/>
          <w:lang w:val="it-IT"/>
        </w:rPr>
        <w:t>.</w:t>
      </w:r>
    </w:p>
    <w:p w14:paraId="69D99112" w14:textId="79F8776E" w:rsidR="00D34BEA" w:rsidRDefault="00011F9E" w:rsidP="00011F9E">
      <w:pPr>
        <w:jc w:val="both"/>
        <w:rPr>
          <w:rFonts w:eastAsiaTheme="minorEastAsia"/>
          <w:lang w:val="it-IT"/>
        </w:rPr>
      </w:pPr>
      <w:r>
        <w:rPr>
          <w:rFonts w:eastAsiaTheme="minorEastAsia"/>
          <w:lang w:val="it-IT"/>
        </w:rPr>
        <w:t xml:space="preserve">Per capire come i costi di transazione impattano sulla probabilità di vendita è necessario soffermarsi sulla funzione di ottimo dell’agente immobiliare. </w:t>
      </w:r>
    </w:p>
    <w:p w14:paraId="4C0AA75A" w14:textId="1EC44FC5" w:rsidR="00011F9E" w:rsidRDefault="00011F9E" w:rsidP="00011F9E">
      <w:pPr>
        <w:jc w:val="both"/>
        <w:rPr>
          <w:rFonts w:eastAsiaTheme="minorEastAsia"/>
          <w:lang w:val="it-IT"/>
        </w:rPr>
      </w:pPr>
      <w:r>
        <w:rPr>
          <w:rFonts w:eastAsiaTheme="minorEastAsia"/>
          <w:lang w:val="it-IT"/>
        </w:rPr>
        <w:t xml:space="preserve">Un agente immobiliare potrebbe occuparsi simultaneamente di </w:t>
      </w:r>
      <m:oMath>
        <m:r>
          <w:rPr>
            <w:rFonts w:ascii="Cambria Math" w:eastAsiaTheme="minorEastAsia" w:hAnsi="Cambria Math"/>
            <w:lang w:val="it-IT"/>
          </w:rPr>
          <m:t>n</m:t>
        </m:r>
      </m:oMath>
      <w:r>
        <w:rPr>
          <w:rFonts w:eastAsiaTheme="minorEastAsia"/>
          <w:lang w:val="it-IT"/>
        </w:rPr>
        <w:t xml:space="preserve"> proprietà, e la singola proprietà viene rappresentata come </w:t>
      </w:r>
      <m:oMath>
        <m:r>
          <w:rPr>
            <w:rFonts w:ascii="Cambria Math" w:eastAsiaTheme="minorEastAsia" w:hAnsi="Cambria Math"/>
            <w:lang w:val="it-IT"/>
          </w:rPr>
          <m:t>i ∈</m:t>
        </m:r>
        <m:d>
          <m:dPr>
            <m:begChr m:val="["/>
            <m:endChr m:val="]"/>
            <m:ctrlPr>
              <w:rPr>
                <w:rFonts w:ascii="Cambria Math" w:eastAsiaTheme="minorEastAsia" w:hAnsi="Cambria Math"/>
                <w:i/>
                <w:lang w:val="it-IT"/>
              </w:rPr>
            </m:ctrlPr>
          </m:dPr>
          <m:e>
            <m:r>
              <w:rPr>
                <w:rFonts w:ascii="Cambria Math" w:eastAsiaTheme="minorEastAsia" w:hAnsi="Cambria Math"/>
                <w:lang w:val="it-IT"/>
              </w:rPr>
              <m:t>1…n</m:t>
            </m:r>
          </m:e>
        </m:d>
        <m:r>
          <w:rPr>
            <w:rFonts w:ascii="Cambria Math" w:eastAsiaTheme="minorEastAsia" w:hAnsi="Cambria Math"/>
            <w:lang w:val="it-IT"/>
          </w:rPr>
          <m:t xml:space="preserve">. </m:t>
        </m:r>
      </m:oMath>
      <w:r>
        <w:rPr>
          <w:rFonts w:eastAsiaTheme="minorEastAsia"/>
          <w:lang w:val="it-IT"/>
        </w:rPr>
        <w:t xml:space="preserve">I costi di transazione sono differenti per ogni immobile. L’agente sceglie l’impegno </w:t>
      </w:r>
      <m:oMath>
        <m:r>
          <w:rPr>
            <w:rFonts w:ascii="Cambria Math" w:eastAsiaTheme="minorEastAsia" w:hAnsi="Cambria Math"/>
            <w:lang w:val="it-IT"/>
          </w:rPr>
          <m:t>L</m:t>
        </m:r>
      </m:oMath>
      <w:r>
        <w:rPr>
          <w:rFonts w:eastAsiaTheme="minorEastAsia"/>
          <w:lang w:val="it-IT"/>
        </w:rPr>
        <w:t xml:space="preserve"> da mettere in ogni immobile, </w:t>
      </w:r>
      <m:oMath>
        <m:sSub>
          <m:sSubPr>
            <m:ctrlPr>
              <w:rPr>
                <w:rFonts w:ascii="Cambria Math" w:eastAsiaTheme="minorEastAsia" w:hAnsi="Cambria Math"/>
                <w:i/>
                <w:lang w:val="it-IT"/>
              </w:rPr>
            </m:ctrlPr>
          </m:sSubPr>
          <m:e>
            <m:r>
              <w:rPr>
                <w:rFonts w:ascii="Cambria Math" w:eastAsiaTheme="minorEastAsia" w:hAnsi="Cambria Math"/>
                <w:lang w:val="it-IT"/>
              </w:rPr>
              <m:t>L</m:t>
            </m:r>
          </m:e>
          <m:sub>
            <m:r>
              <w:rPr>
                <w:rFonts w:ascii="Cambria Math" w:eastAsiaTheme="minorEastAsia" w:hAnsi="Cambria Math"/>
                <w:lang w:val="it-IT"/>
              </w:rPr>
              <m:t>1</m:t>
            </m:r>
          </m:sub>
        </m:sSub>
        <m:r>
          <w:rPr>
            <w:rFonts w:ascii="Cambria Math" w:eastAsiaTheme="minorEastAsia" w:hAnsi="Cambria Math"/>
            <w:lang w:val="it-IT"/>
          </w:rPr>
          <m:t>,…,</m:t>
        </m:r>
        <m:sSub>
          <m:sSubPr>
            <m:ctrlPr>
              <w:rPr>
                <w:rFonts w:ascii="Cambria Math" w:eastAsiaTheme="minorEastAsia" w:hAnsi="Cambria Math"/>
                <w:i/>
                <w:lang w:val="it-IT"/>
              </w:rPr>
            </m:ctrlPr>
          </m:sSubPr>
          <m:e>
            <m:r>
              <w:rPr>
                <w:rFonts w:ascii="Cambria Math" w:eastAsiaTheme="minorEastAsia" w:hAnsi="Cambria Math"/>
                <w:lang w:val="it-IT"/>
              </w:rPr>
              <m:t>L</m:t>
            </m:r>
          </m:e>
          <m:sub>
            <m:r>
              <w:rPr>
                <w:rFonts w:ascii="Cambria Math" w:eastAsiaTheme="minorEastAsia" w:hAnsi="Cambria Math"/>
                <w:lang w:val="it-IT"/>
              </w:rPr>
              <m:t>n</m:t>
            </m:r>
          </m:sub>
        </m:sSub>
      </m:oMath>
      <w:r>
        <w:rPr>
          <w:rFonts w:eastAsiaTheme="minorEastAsia"/>
          <w:lang w:val="it-IT"/>
        </w:rPr>
        <w:t xml:space="preserve">, per massimizzare il payoff. </w:t>
      </w:r>
      <w:proofErr w:type="gramStart"/>
      <w:r>
        <w:rPr>
          <w:rFonts w:eastAsiaTheme="minorEastAsia"/>
          <w:lang w:val="it-IT"/>
        </w:rPr>
        <w:t>Dunque</w:t>
      </w:r>
      <w:proofErr w:type="gramEnd"/>
      <w:r>
        <w:rPr>
          <w:rFonts w:eastAsiaTheme="minorEastAsia"/>
          <w:lang w:val="it-IT"/>
        </w:rPr>
        <w:t xml:space="preserve"> il problema di ottimizzazione dell’agente è:</w:t>
      </w:r>
    </w:p>
    <w:p w14:paraId="6C34E9A4" w14:textId="2EDEEE0B" w:rsidR="00011F9E" w:rsidRPr="00011F9E" w:rsidRDefault="00BB5742" w:rsidP="00BF34C1">
      <w:pPr>
        <w:rPr>
          <w:rFonts w:eastAsiaTheme="minorEastAsia"/>
          <w:lang w:val="it-IT"/>
        </w:rPr>
      </w:pPr>
      <m:oMathPara>
        <m:oMath>
          <m:func>
            <m:funcPr>
              <m:ctrlPr>
                <w:rPr>
                  <w:rFonts w:ascii="Cambria Math" w:eastAsiaTheme="minorEastAsia" w:hAnsi="Cambria Math"/>
                  <w:i/>
                  <w:lang w:val="it-IT"/>
                </w:rPr>
              </m:ctrlPr>
            </m:funcPr>
            <m:fName>
              <m:limLow>
                <m:limLowPr>
                  <m:ctrlPr>
                    <w:rPr>
                      <w:rFonts w:ascii="Cambria Math" w:eastAsiaTheme="minorEastAsia" w:hAnsi="Cambria Math"/>
                      <w:i/>
                      <w:lang w:val="it-IT"/>
                    </w:rPr>
                  </m:ctrlPr>
                </m:limLowPr>
                <m:e>
                  <m:r>
                    <m:rPr>
                      <m:sty m:val="p"/>
                    </m:rPr>
                    <w:rPr>
                      <w:rFonts w:ascii="Cambria Math" w:hAnsi="Cambria Math"/>
                      <w:lang w:val="it-IT"/>
                    </w:rPr>
                    <m:t>max</m:t>
                  </m:r>
                </m:e>
                <m:lim>
                  <m:sSub>
                    <m:sSubPr>
                      <m:ctrlPr>
                        <w:rPr>
                          <w:rFonts w:ascii="Cambria Math" w:eastAsiaTheme="minorEastAsia" w:hAnsi="Cambria Math"/>
                          <w:i/>
                          <w:lang w:val="it-IT"/>
                        </w:rPr>
                      </m:ctrlPr>
                    </m:sSubPr>
                    <m:e>
                      <m:r>
                        <w:rPr>
                          <w:rFonts w:ascii="Cambria Math" w:eastAsiaTheme="minorEastAsia" w:hAnsi="Cambria Math"/>
                          <w:lang w:val="it-IT"/>
                        </w:rPr>
                        <m:t>L</m:t>
                      </m:r>
                    </m:e>
                    <m:sub>
                      <m:r>
                        <w:rPr>
                          <w:rFonts w:ascii="Cambria Math" w:eastAsiaTheme="minorEastAsia" w:hAnsi="Cambria Math"/>
                          <w:lang w:val="it-IT"/>
                        </w:rPr>
                        <m:t>1</m:t>
                      </m:r>
                    </m:sub>
                  </m:sSub>
                  <m:r>
                    <w:rPr>
                      <w:rFonts w:ascii="Cambria Math" w:eastAsiaTheme="minorEastAsia" w:hAnsi="Cambria Math"/>
                      <w:lang w:val="it-IT"/>
                    </w:rPr>
                    <m:t>…</m:t>
                  </m:r>
                  <m:sSub>
                    <m:sSubPr>
                      <m:ctrlPr>
                        <w:rPr>
                          <w:rFonts w:ascii="Cambria Math" w:eastAsiaTheme="minorEastAsia" w:hAnsi="Cambria Math"/>
                          <w:i/>
                          <w:lang w:val="it-IT"/>
                        </w:rPr>
                      </m:ctrlPr>
                    </m:sSubPr>
                    <m:e>
                      <m:r>
                        <w:rPr>
                          <w:rFonts w:ascii="Cambria Math" w:eastAsiaTheme="minorEastAsia" w:hAnsi="Cambria Math"/>
                          <w:lang w:val="it-IT"/>
                        </w:rPr>
                        <m:t>L</m:t>
                      </m:r>
                    </m:e>
                    <m:sub>
                      <m:r>
                        <w:rPr>
                          <w:rFonts w:ascii="Cambria Math" w:eastAsiaTheme="minorEastAsia" w:hAnsi="Cambria Math"/>
                          <w:lang w:val="it-IT"/>
                        </w:rPr>
                        <m:t>n</m:t>
                      </m:r>
                    </m:sub>
                  </m:sSub>
                </m:lim>
              </m:limLow>
            </m:fName>
            <m:e>
              <m:r>
                <m:rPr>
                  <m:sty m:val="p"/>
                </m:rPr>
                <w:rPr>
                  <w:rFonts w:ascii="Cambria Math" w:eastAsiaTheme="minorEastAsia" w:hAnsi="Cambria Math"/>
                  <w:lang w:val="it-IT"/>
                </w:rPr>
                <m:t>Π</m:t>
              </m:r>
            </m:e>
          </m:func>
          <m:d>
            <m:dPr>
              <m:ctrlPr>
                <w:rPr>
                  <w:rFonts w:ascii="Cambria Math" w:eastAsiaTheme="minorEastAsia" w:hAnsi="Cambria Math"/>
                  <w:i/>
                  <w:lang w:val="it-IT"/>
                </w:rPr>
              </m:ctrlPr>
            </m:dPr>
            <m:e>
              <m:sSub>
                <m:sSubPr>
                  <m:ctrlPr>
                    <w:rPr>
                      <w:rFonts w:ascii="Cambria Math" w:eastAsiaTheme="minorEastAsia" w:hAnsi="Cambria Math"/>
                      <w:i/>
                      <w:lang w:val="it-IT"/>
                    </w:rPr>
                  </m:ctrlPr>
                </m:sSubPr>
                <m:e>
                  <m:r>
                    <w:rPr>
                      <w:rFonts w:ascii="Cambria Math" w:eastAsiaTheme="minorEastAsia" w:hAnsi="Cambria Math"/>
                      <w:lang w:val="it-IT"/>
                    </w:rPr>
                    <m:t>L</m:t>
                  </m:r>
                </m:e>
                <m:sub>
                  <m:r>
                    <w:rPr>
                      <w:rFonts w:ascii="Cambria Math" w:eastAsiaTheme="minorEastAsia" w:hAnsi="Cambria Math"/>
                      <w:lang w:val="it-IT"/>
                    </w:rPr>
                    <m:t>1</m:t>
                  </m:r>
                </m:sub>
              </m:sSub>
              <m:r>
                <w:rPr>
                  <w:rFonts w:ascii="Cambria Math" w:eastAsiaTheme="minorEastAsia" w:hAnsi="Cambria Math"/>
                  <w:lang w:val="it-IT"/>
                </w:rPr>
                <m:t>…</m:t>
              </m:r>
              <m:sSub>
                <m:sSubPr>
                  <m:ctrlPr>
                    <w:rPr>
                      <w:rFonts w:ascii="Cambria Math" w:eastAsiaTheme="minorEastAsia" w:hAnsi="Cambria Math"/>
                      <w:i/>
                      <w:lang w:val="it-IT"/>
                    </w:rPr>
                  </m:ctrlPr>
                </m:sSubPr>
                <m:e>
                  <m:r>
                    <w:rPr>
                      <w:rFonts w:ascii="Cambria Math" w:eastAsiaTheme="minorEastAsia" w:hAnsi="Cambria Math"/>
                      <w:lang w:val="it-IT"/>
                    </w:rPr>
                    <m:t>L</m:t>
                  </m:r>
                </m:e>
                <m:sub>
                  <m:r>
                    <w:rPr>
                      <w:rFonts w:ascii="Cambria Math" w:eastAsiaTheme="minorEastAsia" w:hAnsi="Cambria Math"/>
                      <w:lang w:val="it-IT"/>
                    </w:rPr>
                    <m:t>n</m:t>
                  </m:r>
                </m:sub>
              </m:sSub>
            </m:e>
          </m:d>
          <m:r>
            <w:rPr>
              <w:rFonts w:ascii="Cambria Math" w:eastAsiaTheme="minorEastAsia" w:hAnsi="Cambria Math"/>
              <w:lang w:val="it-IT"/>
            </w:rPr>
            <m:t>=</m:t>
          </m:r>
          <m:nary>
            <m:naryPr>
              <m:chr m:val="∑"/>
              <m:limLoc m:val="undOvr"/>
              <m:supHide m:val="1"/>
              <m:ctrlPr>
                <w:rPr>
                  <w:rFonts w:ascii="Cambria Math" w:eastAsiaTheme="minorEastAsia" w:hAnsi="Cambria Math"/>
                  <w:i/>
                  <w:lang w:val="it-IT"/>
                </w:rPr>
              </m:ctrlPr>
            </m:naryPr>
            <m:sub>
              <m:r>
                <w:rPr>
                  <w:rFonts w:ascii="Cambria Math" w:eastAsiaTheme="minorEastAsia" w:hAnsi="Cambria Math"/>
                  <w:lang w:val="it-IT"/>
                </w:rPr>
                <m:t>n</m:t>
              </m:r>
            </m:sub>
            <m:sup/>
            <m:e>
              <m:sSub>
                <m:sSubPr>
                  <m:ctrlPr>
                    <w:rPr>
                      <w:rFonts w:ascii="Cambria Math" w:eastAsiaTheme="minorEastAsia" w:hAnsi="Cambria Math"/>
                      <w:i/>
                      <w:lang w:val="it-IT"/>
                    </w:rPr>
                  </m:ctrlPr>
                </m:sSubPr>
                <m:e>
                  <m:r>
                    <w:rPr>
                      <w:rFonts w:ascii="Cambria Math" w:eastAsiaTheme="minorEastAsia" w:hAnsi="Cambria Math"/>
                      <w:lang w:val="it-IT"/>
                    </w:rPr>
                    <m:t>V</m:t>
                  </m:r>
                </m:e>
                <m:sub>
                  <m:r>
                    <w:rPr>
                      <w:rFonts w:ascii="Cambria Math" w:eastAsiaTheme="minorEastAsia" w:hAnsi="Cambria Math"/>
                      <w:lang w:val="it-IT"/>
                    </w:rPr>
                    <m:t>i</m:t>
                  </m:r>
                </m:sub>
              </m:sSub>
            </m:e>
          </m:nary>
        </m:oMath>
      </m:oMathPara>
    </w:p>
    <w:p w14:paraId="395EF6BC" w14:textId="7FF711B2" w:rsidR="00011F9E" w:rsidRPr="00011F9E" w:rsidRDefault="00011F9E" w:rsidP="00011F9E">
      <w:pPr>
        <w:jc w:val="center"/>
        <w:rPr>
          <w:rFonts w:eastAsiaTheme="minorEastAsia"/>
          <w:lang w:val="it-IT"/>
        </w:rPr>
      </w:pPr>
      <m:oMathPara>
        <m:oMath>
          <m:r>
            <w:rPr>
              <w:rFonts w:ascii="Cambria Math" w:eastAsiaTheme="minorEastAsia" w:hAnsi="Cambria Math"/>
              <w:lang w:val="it-IT"/>
            </w:rPr>
            <m:t>=</m:t>
          </m:r>
          <m:nary>
            <m:naryPr>
              <m:chr m:val="∑"/>
              <m:limLoc m:val="undOvr"/>
              <m:supHide m:val="1"/>
              <m:ctrlPr>
                <w:rPr>
                  <w:rFonts w:ascii="Cambria Math" w:eastAsiaTheme="minorEastAsia" w:hAnsi="Cambria Math"/>
                  <w:i/>
                  <w:lang w:val="it-IT"/>
                </w:rPr>
              </m:ctrlPr>
            </m:naryPr>
            <m:sub>
              <m:r>
                <w:rPr>
                  <w:rFonts w:ascii="Cambria Math" w:eastAsiaTheme="minorEastAsia" w:hAnsi="Cambria Math"/>
                  <w:lang w:val="it-IT"/>
                </w:rPr>
                <m:t>n</m:t>
              </m:r>
            </m:sub>
            <m:sup/>
            <m:e>
              <m:d>
                <m:dPr>
                  <m:begChr m:val="["/>
                  <m:endChr m:val="]"/>
                  <m:ctrlPr>
                    <w:rPr>
                      <w:rFonts w:ascii="Cambria Math" w:eastAsiaTheme="minorEastAsia" w:hAnsi="Cambria Math"/>
                      <w:i/>
                      <w:lang w:val="it-IT"/>
                    </w:rPr>
                  </m:ctrlPr>
                </m:dPr>
                <m:e>
                  <m:r>
                    <w:rPr>
                      <w:rFonts w:ascii="Cambria Math" w:eastAsiaTheme="minorEastAsia" w:hAnsi="Cambria Math"/>
                      <w:lang w:val="it-IT"/>
                    </w:rPr>
                    <m:t>ψ</m:t>
                  </m:r>
                  <m:d>
                    <m:dPr>
                      <m:ctrlPr>
                        <w:rPr>
                          <w:rFonts w:ascii="Cambria Math" w:eastAsiaTheme="minorEastAsia" w:hAnsi="Cambria Math"/>
                          <w:i/>
                          <w:lang w:val="it-IT"/>
                        </w:rPr>
                      </m:ctrlPr>
                    </m:dPr>
                    <m:e>
                      <m:sSub>
                        <m:sSubPr>
                          <m:ctrlPr>
                            <w:rPr>
                              <w:rFonts w:ascii="Cambria Math" w:eastAsiaTheme="minorEastAsia" w:hAnsi="Cambria Math"/>
                              <w:i/>
                              <w:lang w:val="it-IT"/>
                            </w:rPr>
                          </m:ctrlPr>
                        </m:sSubPr>
                        <m:e>
                          <m:r>
                            <w:rPr>
                              <w:rFonts w:ascii="Cambria Math" w:eastAsiaTheme="minorEastAsia" w:hAnsi="Cambria Math"/>
                              <w:lang w:val="it-IT"/>
                            </w:rPr>
                            <m:t>L</m:t>
                          </m:r>
                        </m:e>
                        <m:sub>
                          <m:r>
                            <w:rPr>
                              <w:rFonts w:ascii="Cambria Math" w:eastAsiaTheme="minorEastAsia" w:hAnsi="Cambria Math"/>
                              <w:lang w:val="it-IT"/>
                            </w:rPr>
                            <m:t>i</m:t>
                          </m:r>
                        </m:sub>
                      </m:sSub>
                    </m:e>
                  </m:d>
                  <m:nary>
                    <m:naryPr>
                      <m:limLoc m:val="subSup"/>
                      <m:ctrlPr>
                        <w:rPr>
                          <w:rFonts w:ascii="Cambria Math" w:eastAsiaTheme="minorEastAsia" w:hAnsi="Cambria Math"/>
                          <w:i/>
                          <w:lang w:val="it-IT"/>
                        </w:rPr>
                      </m:ctrlPr>
                    </m:naryPr>
                    <m:sub>
                      <m:r>
                        <w:rPr>
                          <w:rFonts w:ascii="Cambria Math" w:eastAsiaTheme="minorEastAsia" w:hAnsi="Cambria Math"/>
                          <w:lang w:val="it-IT"/>
                        </w:rPr>
                        <m:t>p</m:t>
                      </m:r>
                    </m:sub>
                    <m:sup>
                      <m:acc>
                        <m:accPr>
                          <m:chr m:val="̅"/>
                          <m:ctrlPr>
                            <w:rPr>
                              <w:rFonts w:ascii="Cambria Math" w:eastAsiaTheme="minorEastAsia" w:hAnsi="Cambria Math"/>
                              <w:i/>
                              <w:lang w:val="it-IT"/>
                            </w:rPr>
                          </m:ctrlPr>
                        </m:accPr>
                        <m:e>
                          <m:r>
                            <w:rPr>
                              <w:rFonts w:ascii="Cambria Math" w:eastAsiaTheme="minorEastAsia" w:hAnsi="Cambria Math"/>
                              <w:lang w:val="it-IT"/>
                            </w:rPr>
                            <m:t>p</m:t>
                          </m:r>
                        </m:e>
                      </m:acc>
                    </m:sup>
                    <m:e>
                      <m:sSub>
                        <m:sSubPr>
                          <m:ctrlPr>
                            <w:rPr>
                              <w:rFonts w:ascii="Cambria Math" w:eastAsiaTheme="minorEastAsia" w:hAnsi="Cambria Math"/>
                              <w:i/>
                              <w:lang w:val="it-IT"/>
                            </w:rPr>
                          </m:ctrlPr>
                        </m:sSubPr>
                        <m:e>
                          <m:r>
                            <w:rPr>
                              <w:rFonts w:ascii="Cambria Math" w:eastAsiaTheme="minorEastAsia" w:hAnsi="Cambria Math"/>
                              <w:lang w:val="it-IT"/>
                            </w:rPr>
                            <m:t>k</m:t>
                          </m:r>
                        </m:e>
                        <m:sub>
                          <m:r>
                            <w:rPr>
                              <w:rFonts w:ascii="Cambria Math" w:eastAsiaTheme="minorEastAsia" w:hAnsi="Cambria Math"/>
                              <w:lang w:val="it-IT"/>
                            </w:rPr>
                            <m:t>i</m:t>
                          </m:r>
                        </m:sub>
                      </m:sSub>
                      <m:sSub>
                        <m:sSubPr>
                          <m:ctrlPr>
                            <w:rPr>
                              <w:rFonts w:ascii="Cambria Math" w:eastAsiaTheme="minorEastAsia" w:hAnsi="Cambria Math"/>
                              <w:i/>
                              <w:lang w:val="it-IT"/>
                            </w:rPr>
                          </m:ctrlPr>
                        </m:sSubPr>
                        <m:e>
                          <m:r>
                            <w:rPr>
                              <w:rFonts w:ascii="Cambria Math" w:eastAsiaTheme="minorEastAsia" w:hAnsi="Cambria Math"/>
                              <w:lang w:val="it-IT"/>
                            </w:rPr>
                            <m:t>P</m:t>
                          </m:r>
                        </m:e>
                        <m:sub>
                          <m:r>
                            <w:rPr>
                              <w:rFonts w:ascii="Cambria Math" w:eastAsiaTheme="minorEastAsia" w:hAnsi="Cambria Math"/>
                              <w:lang w:val="it-IT"/>
                            </w:rPr>
                            <m:t>i</m:t>
                          </m:r>
                        </m:sub>
                      </m:sSub>
                    </m:e>
                  </m:nary>
                  <m:r>
                    <w:rPr>
                      <w:rFonts w:ascii="Cambria Math" w:eastAsiaTheme="minorEastAsia" w:hAnsi="Cambria Math"/>
                      <w:lang w:val="it-IT"/>
                    </w:rPr>
                    <m:t>f</m:t>
                  </m:r>
                  <m:d>
                    <m:dPr>
                      <m:ctrlPr>
                        <w:rPr>
                          <w:rFonts w:ascii="Cambria Math" w:eastAsiaTheme="minorEastAsia" w:hAnsi="Cambria Math"/>
                          <w:i/>
                          <w:lang w:val="it-IT"/>
                        </w:rPr>
                      </m:ctrlPr>
                    </m:dPr>
                    <m:e>
                      <m:r>
                        <w:rPr>
                          <w:rFonts w:ascii="Cambria Math" w:eastAsiaTheme="minorEastAsia" w:hAnsi="Cambria Math"/>
                          <w:lang w:val="it-IT"/>
                        </w:rPr>
                        <m:t>p</m:t>
                      </m:r>
                    </m:e>
                  </m:d>
                  <m:r>
                    <w:rPr>
                      <w:rFonts w:ascii="Cambria Math" w:eastAsiaTheme="minorEastAsia" w:hAnsi="Cambria Math"/>
                      <w:lang w:val="it-IT"/>
                    </w:rPr>
                    <m:t>dp+ϕ</m:t>
                  </m:r>
                  <m:nary>
                    <m:naryPr>
                      <m:limLoc m:val="subSup"/>
                      <m:ctrlPr>
                        <w:rPr>
                          <w:rFonts w:ascii="Cambria Math" w:eastAsiaTheme="minorEastAsia" w:hAnsi="Cambria Math"/>
                          <w:i/>
                          <w:lang w:val="it-IT"/>
                        </w:rPr>
                      </m:ctrlPr>
                    </m:naryPr>
                    <m:sub>
                      <m:r>
                        <w:rPr>
                          <w:rFonts w:ascii="Cambria Math" w:eastAsiaTheme="minorEastAsia" w:hAnsi="Cambria Math"/>
                          <w:lang w:val="it-IT"/>
                        </w:rPr>
                        <m:t>p</m:t>
                      </m:r>
                    </m:sub>
                    <m:sup>
                      <m:acc>
                        <m:accPr>
                          <m:chr m:val="̅"/>
                          <m:ctrlPr>
                            <w:rPr>
                              <w:rFonts w:ascii="Cambria Math" w:eastAsiaTheme="minorEastAsia" w:hAnsi="Cambria Math"/>
                              <w:i/>
                              <w:lang w:val="it-IT"/>
                            </w:rPr>
                          </m:ctrlPr>
                        </m:accPr>
                        <m:e>
                          <m:r>
                            <w:rPr>
                              <w:rFonts w:ascii="Cambria Math" w:eastAsiaTheme="minorEastAsia" w:hAnsi="Cambria Math"/>
                              <w:lang w:val="it-IT"/>
                            </w:rPr>
                            <m:t>p</m:t>
                          </m:r>
                        </m:e>
                      </m:acc>
                    </m:sup>
                    <m:e>
                      <m:d>
                        <m:dPr>
                          <m:ctrlPr>
                            <w:rPr>
                              <w:rFonts w:ascii="Cambria Math" w:eastAsiaTheme="minorEastAsia" w:hAnsi="Cambria Math"/>
                              <w:i/>
                              <w:lang w:val="it-IT"/>
                            </w:rPr>
                          </m:ctrlPr>
                        </m:dPr>
                        <m:e>
                          <m:sSub>
                            <m:sSubPr>
                              <m:ctrlPr>
                                <w:rPr>
                                  <w:rFonts w:ascii="Cambria Math" w:eastAsiaTheme="minorEastAsia" w:hAnsi="Cambria Math"/>
                                  <w:i/>
                                  <w:lang w:val="it-IT"/>
                                </w:rPr>
                              </m:ctrlPr>
                            </m:sSubPr>
                            <m:e>
                              <m:r>
                                <w:rPr>
                                  <w:rFonts w:ascii="Cambria Math" w:eastAsiaTheme="minorEastAsia" w:hAnsi="Cambria Math"/>
                                  <w:lang w:val="it-IT"/>
                                </w:rPr>
                                <m:t>k</m:t>
                              </m:r>
                            </m:e>
                            <m:sub>
                              <m:r>
                                <w:rPr>
                                  <w:rFonts w:ascii="Cambria Math" w:eastAsiaTheme="minorEastAsia" w:hAnsi="Cambria Math"/>
                                  <w:lang w:val="it-IT"/>
                                </w:rPr>
                                <m:t>i</m:t>
                              </m:r>
                            </m:sub>
                          </m:sSub>
                          <m:r>
                            <w:rPr>
                              <w:rFonts w:ascii="Cambria Math" w:eastAsiaTheme="minorEastAsia" w:hAnsi="Cambria Math"/>
                              <w:lang w:val="it-IT"/>
                            </w:rPr>
                            <m:t>-</m:t>
                          </m:r>
                          <m:sSub>
                            <m:sSubPr>
                              <m:ctrlPr>
                                <w:rPr>
                                  <w:rFonts w:ascii="Cambria Math" w:eastAsiaTheme="minorEastAsia" w:hAnsi="Cambria Math"/>
                                  <w:i/>
                                  <w:lang w:val="it-IT"/>
                                </w:rPr>
                              </m:ctrlPr>
                            </m:sSubPr>
                            <m:e>
                              <m:r>
                                <w:rPr>
                                  <w:rFonts w:ascii="Cambria Math" w:eastAsiaTheme="minorEastAsia" w:hAnsi="Cambria Math"/>
                                  <w:lang w:val="it-IT"/>
                                </w:rPr>
                                <m:t>k</m:t>
                              </m:r>
                            </m:e>
                            <m:sub>
                              <m:r>
                                <w:rPr>
                                  <w:rFonts w:ascii="Cambria Math" w:eastAsiaTheme="minorEastAsia" w:hAnsi="Cambria Math"/>
                                  <w:lang w:val="it-IT"/>
                                </w:rPr>
                                <m:t>s</m:t>
                              </m:r>
                            </m:sub>
                          </m:sSub>
                        </m:e>
                      </m:d>
                    </m:e>
                  </m:nary>
                  <m:sSub>
                    <m:sSubPr>
                      <m:ctrlPr>
                        <w:rPr>
                          <w:rFonts w:ascii="Cambria Math" w:eastAsiaTheme="minorEastAsia" w:hAnsi="Cambria Math"/>
                          <w:i/>
                          <w:lang w:val="it-IT"/>
                        </w:rPr>
                      </m:ctrlPr>
                    </m:sSubPr>
                    <m:e>
                      <m:r>
                        <w:rPr>
                          <w:rFonts w:ascii="Cambria Math" w:eastAsiaTheme="minorEastAsia" w:hAnsi="Cambria Math"/>
                          <w:lang w:val="it-IT"/>
                        </w:rPr>
                        <m:t>P</m:t>
                      </m:r>
                    </m:e>
                    <m:sub>
                      <m:r>
                        <w:rPr>
                          <w:rFonts w:ascii="Cambria Math" w:eastAsiaTheme="minorEastAsia" w:hAnsi="Cambria Math"/>
                          <w:lang w:val="it-IT"/>
                        </w:rPr>
                        <m:t>i</m:t>
                      </m:r>
                    </m:sub>
                  </m:sSub>
                  <m:r>
                    <w:rPr>
                      <w:rFonts w:ascii="Cambria Math" w:eastAsiaTheme="minorEastAsia" w:hAnsi="Cambria Math"/>
                      <w:lang w:val="it-IT"/>
                    </w:rPr>
                    <m:t>f</m:t>
                  </m:r>
                  <m:d>
                    <m:dPr>
                      <m:ctrlPr>
                        <w:rPr>
                          <w:rFonts w:ascii="Cambria Math" w:eastAsiaTheme="minorEastAsia" w:hAnsi="Cambria Math"/>
                          <w:i/>
                          <w:lang w:val="it-IT"/>
                        </w:rPr>
                      </m:ctrlPr>
                    </m:dPr>
                    <m:e>
                      <m:r>
                        <w:rPr>
                          <w:rFonts w:ascii="Cambria Math" w:eastAsiaTheme="minorEastAsia" w:hAnsi="Cambria Math"/>
                          <w:lang w:val="it-IT"/>
                        </w:rPr>
                        <m:t>p</m:t>
                      </m:r>
                    </m:e>
                  </m:d>
                  <m:r>
                    <w:rPr>
                      <w:rFonts w:ascii="Cambria Math" w:eastAsiaTheme="minorEastAsia" w:hAnsi="Cambria Math"/>
                      <w:lang w:val="it-IT"/>
                    </w:rPr>
                    <m:t>dp</m:t>
                  </m:r>
                </m:e>
              </m:d>
              <m:r>
                <w:rPr>
                  <w:rFonts w:ascii="Cambria Math" w:eastAsiaTheme="minorEastAsia" w:hAnsi="Cambria Math"/>
                  <w:lang w:val="it-IT"/>
                </w:rPr>
                <m:t>-C</m:t>
              </m:r>
              <m:d>
                <m:dPr>
                  <m:begChr m:val="["/>
                  <m:endChr m:val="]"/>
                  <m:ctrlPr>
                    <w:rPr>
                      <w:rFonts w:ascii="Cambria Math" w:eastAsiaTheme="minorEastAsia" w:hAnsi="Cambria Math"/>
                      <w:i/>
                      <w:lang w:val="it-IT"/>
                    </w:rPr>
                  </m:ctrlPr>
                </m:dPr>
                <m:e>
                  <m:nary>
                    <m:naryPr>
                      <m:chr m:val="∑"/>
                      <m:limLoc m:val="undOvr"/>
                      <m:supHide m:val="1"/>
                      <m:ctrlPr>
                        <w:rPr>
                          <w:rFonts w:ascii="Cambria Math" w:eastAsiaTheme="minorEastAsia" w:hAnsi="Cambria Math"/>
                          <w:i/>
                          <w:lang w:val="it-IT"/>
                        </w:rPr>
                      </m:ctrlPr>
                    </m:naryPr>
                    <m:sub>
                      <m:r>
                        <w:rPr>
                          <w:rFonts w:ascii="Cambria Math" w:eastAsiaTheme="minorEastAsia" w:hAnsi="Cambria Math"/>
                          <w:lang w:val="it-IT"/>
                        </w:rPr>
                        <m:t>n</m:t>
                      </m:r>
                    </m:sub>
                    <m:sup/>
                    <m:e>
                      <m:r>
                        <w:rPr>
                          <w:rFonts w:ascii="Cambria Math" w:eastAsiaTheme="minorEastAsia" w:hAnsi="Cambria Math"/>
                          <w:lang w:val="it-IT"/>
                        </w:rPr>
                        <m:t>(1+</m:t>
                      </m:r>
                      <m:sSub>
                        <m:sSubPr>
                          <m:ctrlPr>
                            <w:rPr>
                              <w:rFonts w:ascii="Cambria Math" w:eastAsiaTheme="minorEastAsia" w:hAnsi="Cambria Math"/>
                              <w:i/>
                              <w:lang w:val="it-IT"/>
                            </w:rPr>
                          </m:ctrlPr>
                        </m:sSubPr>
                        <m:e>
                          <m:r>
                            <w:rPr>
                              <w:rFonts w:ascii="Cambria Math" w:eastAsiaTheme="minorEastAsia" w:hAnsi="Cambria Math"/>
                              <w:lang w:val="it-IT"/>
                            </w:rPr>
                            <m:t>s</m:t>
                          </m:r>
                        </m:e>
                        <m:sub>
                          <m:r>
                            <w:rPr>
                              <w:rFonts w:ascii="Cambria Math" w:eastAsiaTheme="minorEastAsia" w:hAnsi="Cambria Math"/>
                              <w:lang w:val="it-IT"/>
                            </w:rPr>
                            <m:t>i</m:t>
                          </m:r>
                        </m:sub>
                      </m:sSub>
                      <m:r>
                        <w:rPr>
                          <w:rFonts w:ascii="Cambria Math" w:eastAsiaTheme="minorEastAsia" w:hAnsi="Cambria Math"/>
                          <w:lang w:val="it-IT"/>
                        </w:rPr>
                        <m:t>)</m:t>
                      </m:r>
                      <m:sSub>
                        <m:sSubPr>
                          <m:ctrlPr>
                            <w:rPr>
                              <w:rFonts w:ascii="Cambria Math" w:eastAsiaTheme="minorEastAsia" w:hAnsi="Cambria Math"/>
                              <w:i/>
                              <w:lang w:val="it-IT"/>
                            </w:rPr>
                          </m:ctrlPr>
                        </m:sSubPr>
                        <m:e>
                          <m:r>
                            <w:rPr>
                              <w:rFonts w:ascii="Cambria Math" w:eastAsiaTheme="minorEastAsia" w:hAnsi="Cambria Math"/>
                              <w:lang w:val="it-IT"/>
                            </w:rPr>
                            <m:t>L</m:t>
                          </m:r>
                        </m:e>
                        <m:sub>
                          <m:r>
                            <w:rPr>
                              <w:rFonts w:ascii="Cambria Math" w:eastAsiaTheme="minorEastAsia" w:hAnsi="Cambria Math"/>
                              <w:lang w:val="it-IT"/>
                            </w:rPr>
                            <m:t>i</m:t>
                          </m:r>
                        </m:sub>
                      </m:sSub>
                    </m:e>
                  </m:nary>
                </m:e>
              </m:d>
            </m:e>
          </m:nary>
        </m:oMath>
      </m:oMathPara>
    </w:p>
    <w:p w14:paraId="446EC868" w14:textId="0B4B3055" w:rsidR="00011F9E" w:rsidRDefault="00011F9E" w:rsidP="00011F9E">
      <w:pPr>
        <w:jc w:val="center"/>
        <w:rPr>
          <w:rFonts w:eastAsiaTheme="minorEastAsia"/>
          <w:i/>
          <w:lang w:val="it-IT"/>
        </w:rPr>
      </w:pPr>
      <w:r w:rsidRPr="00011F9E">
        <w:rPr>
          <w:rFonts w:eastAsiaTheme="minorEastAsia"/>
          <w:i/>
          <w:lang w:val="it-IT"/>
        </w:rPr>
        <w:t>Equazione (2)</w:t>
      </w:r>
    </w:p>
    <w:p w14:paraId="5E89DA5C" w14:textId="0D28450A" w:rsidR="00011F9E" w:rsidRDefault="00011F9E" w:rsidP="00011F9E">
      <w:pPr>
        <w:jc w:val="both"/>
        <w:rPr>
          <w:rFonts w:eastAsiaTheme="minorEastAsia"/>
          <w:lang w:val="it-IT"/>
        </w:rPr>
      </w:pPr>
      <w:r>
        <w:rPr>
          <w:rFonts w:eastAsiaTheme="minorEastAsia"/>
          <w:lang w:val="it-IT"/>
        </w:rPr>
        <w:t>Le condizioni di primo ordine sono date da:</w:t>
      </w:r>
    </w:p>
    <w:p w14:paraId="5CED51D2" w14:textId="5D952D21" w:rsidR="00011F9E" w:rsidRPr="002A0EA3" w:rsidRDefault="00BB5742" w:rsidP="00011F9E">
      <w:pPr>
        <w:jc w:val="both"/>
        <w:rPr>
          <w:rFonts w:eastAsiaTheme="minorEastAsia"/>
          <w:lang w:val="it-IT"/>
        </w:rPr>
      </w:pPr>
      <m:oMathPara>
        <m:oMath>
          <m:sSup>
            <m:sSupPr>
              <m:ctrlPr>
                <w:rPr>
                  <w:rFonts w:ascii="Cambria Math" w:eastAsiaTheme="minorEastAsia" w:hAnsi="Cambria Math"/>
                  <w:i/>
                  <w:lang w:val="it-IT"/>
                </w:rPr>
              </m:ctrlPr>
            </m:sSupPr>
            <m:e>
              <m:r>
                <w:rPr>
                  <w:rFonts w:ascii="Cambria Math" w:eastAsiaTheme="minorEastAsia" w:hAnsi="Cambria Math"/>
                  <w:lang w:val="it-IT"/>
                </w:rPr>
                <m:t>ψ</m:t>
              </m:r>
            </m:e>
            <m:sup>
              <m:r>
                <w:rPr>
                  <w:rFonts w:ascii="Cambria Math" w:eastAsiaTheme="minorEastAsia" w:hAnsi="Cambria Math"/>
                  <w:lang w:val="it-IT"/>
                </w:rPr>
                <m:t>'</m:t>
              </m:r>
            </m:sup>
          </m:sSup>
          <m:nary>
            <m:naryPr>
              <m:limLoc m:val="subSup"/>
              <m:ctrlPr>
                <w:rPr>
                  <w:rFonts w:ascii="Cambria Math" w:eastAsiaTheme="minorEastAsia" w:hAnsi="Cambria Math"/>
                  <w:i/>
                  <w:lang w:val="it-IT"/>
                </w:rPr>
              </m:ctrlPr>
            </m:naryPr>
            <m:sub>
              <m:r>
                <w:rPr>
                  <w:rFonts w:ascii="Cambria Math" w:eastAsiaTheme="minorEastAsia" w:hAnsi="Cambria Math"/>
                  <w:lang w:val="it-IT"/>
                </w:rPr>
                <m:t>p</m:t>
              </m:r>
            </m:sub>
            <m:sup>
              <m:acc>
                <m:accPr>
                  <m:chr m:val="̅"/>
                  <m:ctrlPr>
                    <w:rPr>
                      <w:rFonts w:ascii="Cambria Math" w:eastAsiaTheme="minorEastAsia" w:hAnsi="Cambria Math"/>
                      <w:i/>
                      <w:lang w:val="it-IT"/>
                    </w:rPr>
                  </m:ctrlPr>
                </m:accPr>
                <m:e>
                  <m:r>
                    <w:rPr>
                      <w:rFonts w:ascii="Cambria Math" w:eastAsiaTheme="minorEastAsia" w:hAnsi="Cambria Math"/>
                      <w:lang w:val="it-IT"/>
                    </w:rPr>
                    <m:t>p</m:t>
                  </m:r>
                </m:e>
              </m:acc>
            </m:sup>
            <m:e>
              <m:sSub>
                <m:sSubPr>
                  <m:ctrlPr>
                    <w:rPr>
                      <w:rFonts w:ascii="Cambria Math" w:eastAsiaTheme="minorEastAsia" w:hAnsi="Cambria Math"/>
                      <w:i/>
                      <w:lang w:val="it-IT"/>
                    </w:rPr>
                  </m:ctrlPr>
                </m:sSubPr>
                <m:e>
                  <m:r>
                    <w:rPr>
                      <w:rFonts w:ascii="Cambria Math" w:eastAsiaTheme="minorEastAsia" w:hAnsi="Cambria Math"/>
                      <w:lang w:val="it-IT"/>
                    </w:rPr>
                    <m:t>k</m:t>
                  </m:r>
                </m:e>
                <m:sub>
                  <m:r>
                    <w:rPr>
                      <w:rFonts w:ascii="Cambria Math" w:eastAsiaTheme="minorEastAsia" w:hAnsi="Cambria Math"/>
                      <w:lang w:val="it-IT"/>
                    </w:rPr>
                    <m:t>i</m:t>
                  </m:r>
                </m:sub>
              </m:sSub>
              <m:sSub>
                <m:sSubPr>
                  <m:ctrlPr>
                    <w:rPr>
                      <w:rFonts w:ascii="Cambria Math" w:eastAsiaTheme="minorEastAsia" w:hAnsi="Cambria Math"/>
                      <w:i/>
                      <w:lang w:val="it-IT"/>
                    </w:rPr>
                  </m:ctrlPr>
                </m:sSubPr>
                <m:e>
                  <m:r>
                    <w:rPr>
                      <w:rFonts w:ascii="Cambria Math" w:eastAsiaTheme="minorEastAsia" w:hAnsi="Cambria Math"/>
                      <w:lang w:val="it-IT"/>
                    </w:rPr>
                    <m:t>P</m:t>
                  </m:r>
                </m:e>
                <m:sub>
                  <m:r>
                    <w:rPr>
                      <w:rFonts w:ascii="Cambria Math" w:eastAsiaTheme="minorEastAsia" w:hAnsi="Cambria Math"/>
                      <w:lang w:val="it-IT"/>
                    </w:rPr>
                    <m:t>i</m:t>
                  </m:r>
                </m:sub>
              </m:sSub>
            </m:e>
          </m:nary>
          <m:r>
            <w:rPr>
              <w:rFonts w:ascii="Cambria Math" w:eastAsiaTheme="minorEastAsia" w:hAnsi="Cambria Math"/>
              <w:lang w:val="it-IT"/>
            </w:rPr>
            <m:t>f</m:t>
          </m:r>
          <m:d>
            <m:dPr>
              <m:ctrlPr>
                <w:rPr>
                  <w:rFonts w:ascii="Cambria Math" w:eastAsiaTheme="minorEastAsia" w:hAnsi="Cambria Math"/>
                  <w:i/>
                  <w:lang w:val="it-IT"/>
                </w:rPr>
              </m:ctrlPr>
            </m:dPr>
            <m:e>
              <m:r>
                <w:rPr>
                  <w:rFonts w:ascii="Cambria Math" w:eastAsiaTheme="minorEastAsia" w:hAnsi="Cambria Math"/>
                  <w:lang w:val="it-IT"/>
                </w:rPr>
                <m:t>p</m:t>
              </m:r>
            </m:e>
          </m:d>
          <m:r>
            <w:rPr>
              <w:rFonts w:ascii="Cambria Math" w:eastAsiaTheme="minorEastAsia" w:hAnsi="Cambria Math"/>
              <w:lang w:val="it-IT"/>
            </w:rPr>
            <m:t>dp-</m:t>
          </m:r>
          <m:d>
            <m:dPr>
              <m:ctrlPr>
                <w:rPr>
                  <w:rFonts w:ascii="Cambria Math" w:eastAsiaTheme="minorEastAsia" w:hAnsi="Cambria Math"/>
                  <w:i/>
                  <w:lang w:val="it-IT"/>
                </w:rPr>
              </m:ctrlPr>
            </m:dPr>
            <m:e>
              <m:r>
                <w:rPr>
                  <w:rFonts w:ascii="Cambria Math" w:eastAsiaTheme="minorEastAsia" w:hAnsi="Cambria Math"/>
                  <w:lang w:val="it-IT"/>
                </w:rPr>
                <m:t>1+</m:t>
              </m:r>
              <m:sSub>
                <m:sSubPr>
                  <m:ctrlPr>
                    <w:rPr>
                      <w:rFonts w:ascii="Cambria Math" w:eastAsiaTheme="minorEastAsia" w:hAnsi="Cambria Math"/>
                      <w:i/>
                      <w:lang w:val="it-IT"/>
                    </w:rPr>
                  </m:ctrlPr>
                </m:sSubPr>
                <m:e>
                  <m:r>
                    <w:rPr>
                      <w:rFonts w:ascii="Cambria Math" w:eastAsiaTheme="minorEastAsia" w:hAnsi="Cambria Math"/>
                      <w:lang w:val="it-IT"/>
                    </w:rPr>
                    <m:t>s</m:t>
                  </m:r>
                </m:e>
                <m:sub>
                  <m:r>
                    <w:rPr>
                      <w:rFonts w:ascii="Cambria Math" w:eastAsiaTheme="minorEastAsia" w:hAnsi="Cambria Math"/>
                      <w:lang w:val="it-IT"/>
                    </w:rPr>
                    <m:t>i</m:t>
                  </m:r>
                </m:sub>
              </m:sSub>
            </m:e>
          </m:d>
          <m:sSup>
            <m:sSupPr>
              <m:ctrlPr>
                <w:rPr>
                  <w:rFonts w:ascii="Cambria Math" w:eastAsiaTheme="minorEastAsia" w:hAnsi="Cambria Math"/>
                  <w:i/>
                  <w:lang w:val="it-IT"/>
                </w:rPr>
              </m:ctrlPr>
            </m:sSupPr>
            <m:e>
              <m:r>
                <w:rPr>
                  <w:rFonts w:ascii="Cambria Math" w:eastAsiaTheme="minorEastAsia" w:hAnsi="Cambria Math"/>
                  <w:lang w:val="it-IT"/>
                </w:rPr>
                <m:t>C</m:t>
              </m:r>
            </m:e>
            <m:sup>
              <m:r>
                <w:rPr>
                  <w:rFonts w:ascii="Cambria Math" w:eastAsiaTheme="minorEastAsia" w:hAnsi="Cambria Math"/>
                  <w:lang w:val="it-IT"/>
                </w:rPr>
                <m:t>'</m:t>
              </m:r>
            </m:sup>
          </m:sSup>
          <m:r>
            <w:rPr>
              <w:rFonts w:ascii="Cambria Math" w:eastAsiaTheme="minorEastAsia" w:hAnsi="Cambria Math"/>
              <w:lang w:val="it-IT"/>
            </w:rPr>
            <m:t>=0, ∀i</m:t>
          </m:r>
        </m:oMath>
      </m:oMathPara>
    </w:p>
    <w:p w14:paraId="3EF12966" w14:textId="076DC991" w:rsidR="002A0EA3" w:rsidRDefault="002A0EA3" w:rsidP="002A0EA3">
      <w:pPr>
        <w:jc w:val="center"/>
        <w:rPr>
          <w:rFonts w:eastAsiaTheme="minorEastAsia"/>
          <w:i/>
          <w:lang w:val="it-IT"/>
        </w:rPr>
      </w:pPr>
      <w:r w:rsidRPr="002A0EA3">
        <w:rPr>
          <w:rFonts w:eastAsiaTheme="minorEastAsia"/>
          <w:i/>
          <w:lang w:val="it-IT"/>
        </w:rPr>
        <w:t>Equazione (3)</w:t>
      </w:r>
    </w:p>
    <w:p w14:paraId="19DA831D" w14:textId="42C29BFD" w:rsidR="002A0EA3" w:rsidRDefault="002A0EA3" w:rsidP="002A0EA3">
      <w:pPr>
        <w:jc w:val="both"/>
        <w:rPr>
          <w:rFonts w:eastAsiaTheme="minorEastAsia"/>
          <w:lang w:val="it-IT"/>
        </w:rPr>
      </w:pPr>
      <w:r>
        <w:rPr>
          <w:rFonts w:eastAsiaTheme="minorEastAsia"/>
          <w:lang w:val="it-IT"/>
        </w:rPr>
        <w:t xml:space="preserve">Il primo termine dell’equazione (3) è il beneficio marginale ottenuto dalla contribuzione di uno sforzo addizionale al contratto </w:t>
      </w:r>
      <w:r>
        <w:rPr>
          <w:rFonts w:eastAsiaTheme="minorEastAsia"/>
          <w:i/>
          <w:lang w:val="it-IT"/>
        </w:rPr>
        <w:t>i</w:t>
      </w:r>
      <w:r>
        <w:rPr>
          <w:rFonts w:eastAsiaTheme="minorEastAsia"/>
          <w:lang w:val="it-IT"/>
        </w:rPr>
        <w:t xml:space="preserve">. Il secondo termine riflette il costo marginale di questo sforzo addizionale. </w:t>
      </w:r>
    </w:p>
    <w:p w14:paraId="3EE70749" w14:textId="75721B95" w:rsidR="002A0EA3" w:rsidRDefault="002A0EA3" w:rsidP="002A0EA3">
      <w:pPr>
        <w:jc w:val="both"/>
        <w:rPr>
          <w:rFonts w:eastAsiaTheme="minorEastAsia"/>
          <w:lang w:val="it-IT"/>
        </w:rPr>
      </w:pPr>
      <w:r>
        <w:rPr>
          <w:rFonts w:eastAsiaTheme="minorEastAsia"/>
          <w:lang w:val="it-IT"/>
        </w:rPr>
        <w:t xml:space="preserve">La soluzione di ottimizzazione dell’agente è data dal vettore </w:t>
      </w:r>
      <m:oMath>
        <m:sSub>
          <m:sSubPr>
            <m:ctrlPr>
              <w:rPr>
                <w:rFonts w:ascii="Cambria Math" w:eastAsiaTheme="minorEastAsia" w:hAnsi="Cambria Math"/>
                <w:i/>
                <w:lang w:val="it-IT"/>
              </w:rPr>
            </m:ctrlPr>
          </m:sSubPr>
          <m:e>
            <m:r>
              <w:rPr>
                <w:rFonts w:ascii="Cambria Math" w:eastAsiaTheme="minorEastAsia" w:hAnsi="Cambria Math"/>
                <w:lang w:val="it-IT"/>
              </w:rPr>
              <m:t>L</m:t>
            </m:r>
          </m:e>
          <m:sub>
            <m:r>
              <w:rPr>
                <w:rFonts w:ascii="Cambria Math" w:eastAsiaTheme="minorEastAsia" w:hAnsi="Cambria Math"/>
                <w:lang w:val="it-IT"/>
              </w:rPr>
              <m:t>1</m:t>
            </m:r>
          </m:sub>
        </m:sSub>
        <m:r>
          <w:rPr>
            <w:rFonts w:ascii="Cambria Math" w:eastAsiaTheme="minorEastAsia" w:hAnsi="Cambria Math"/>
            <w:lang w:val="it-IT"/>
          </w:rPr>
          <m:t>,…,</m:t>
        </m:r>
        <m:sSub>
          <m:sSubPr>
            <m:ctrlPr>
              <w:rPr>
                <w:rFonts w:ascii="Cambria Math" w:eastAsiaTheme="minorEastAsia" w:hAnsi="Cambria Math"/>
                <w:i/>
                <w:lang w:val="it-IT"/>
              </w:rPr>
            </m:ctrlPr>
          </m:sSubPr>
          <m:e>
            <m:r>
              <w:rPr>
                <w:rFonts w:ascii="Cambria Math" w:eastAsiaTheme="minorEastAsia" w:hAnsi="Cambria Math"/>
                <w:lang w:val="it-IT"/>
              </w:rPr>
              <m:t>L</m:t>
            </m:r>
          </m:e>
          <m:sub>
            <m:r>
              <w:rPr>
                <w:rFonts w:ascii="Cambria Math" w:eastAsiaTheme="minorEastAsia" w:hAnsi="Cambria Math"/>
                <w:lang w:val="it-IT"/>
              </w:rPr>
              <m:t>n</m:t>
            </m:r>
          </m:sub>
        </m:sSub>
      </m:oMath>
      <w:r>
        <w:rPr>
          <w:rFonts w:eastAsiaTheme="minorEastAsia"/>
          <w:lang w:val="it-IT"/>
        </w:rPr>
        <w:t xml:space="preserve"> che soddisfa l’equazione (3) per tutti i contratti. </w:t>
      </w:r>
    </w:p>
    <w:p w14:paraId="7972009C" w14:textId="679E96D7" w:rsidR="002A0EA3" w:rsidRDefault="002A0EA3" w:rsidP="002A0EA3">
      <w:pPr>
        <w:jc w:val="both"/>
        <w:rPr>
          <w:rFonts w:eastAsiaTheme="minorEastAsia"/>
          <w:lang w:val="it-IT"/>
        </w:rPr>
      </w:pPr>
      <w:r>
        <w:rPr>
          <w:rFonts w:eastAsiaTheme="minorEastAsia"/>
          <w:lang w:val="it-IT"/>
        </w:rPr>
        <w:t xml:space="preserve">È chiaro che i costi di transazione possono impattare sulla scelta di sforzo che l’agente deve compiere per ogni singolo immobile. È possibile verificarlo grazie alla derivata di </w:t>
      </w:r>
      <m:oMath>
        <m:sSubSup>
          <m:sSubSupPr>
            <m:ctrlPr>
              <w:rPr>
                <w:rFonts w:ascii="Cambria Math" w:eastAsiaTheme="minorEastAsia" w:hAnsi="Cambria Math"/>
                <w:i/>
                <w:lang w:val="it-IT"/>
              </w:rPr>
            </m:ctrlPr>
          </m:sSubSupPr>
          <m:e>
            <m:r>
              <w:rPr>
                <w:rFonts w:ascii="Cambria Math" w:eastAsiaTheme="minorEastAsia" w:hAnsi="Cambria Math"/>
                <w:lang w:val="it-IT"/>
              </w:rPr>
              <m:t>L</m:t>
            </m:r>
          </m:e>
          <m:sub>
            <m:r>
              <w:rPr>
                <w:rFonts w:ascii="Cambria Math" w:eastAsiaTheme="minorEastAsia" w:hAnsi="Cambria Math"/>
                <w:lang w:val="it-IT"/>
              </w:rPr>
              <m:t>i</m:t>
            </m:r>
          </m:sub>
          <m:sup>
            <m:r>
              <w:rPr>
                <w:rFonts w:ascii="Cambria Math" w:eastAsiaTheme="minorEastAsia" w:hAnsi="Cambria Math"/>
                <w:lang w:val="it-IT"/>
              </w:rPr>
              <m:t>*</m:t>
            </m:r>
          </m:sup>
        </m:sSubSup>
      </m:oMath>
      <w:r>
        <w:rPr>
          <w:rFonts w:eastAsiaTheme="minorEastAsia"/>
          <w:lang w:val="it-IT"/>
        </w:rPr>
        <w:t xml:space="preserve"> rispetto a </w:t>
      </w:r>
      <m:oMath>
        <m:sSub>
          <m:sSubPr>
            <m:ctrlPr>
              <w:rPr>
                <w:rFonts w:ascii="Cambria Math" w:eastAsiaTheme="minorEastAsia" w:hAnsi="Cambria Math"/>
                <w:i/>
                <w:lang w:val="it-IT"/>
              </w:rPr>
            </m:ctrlPr>
          </m:sSubPr>
          <m:e>
            <m:r>
              <w:rPr>
                <w:rFonts w:ascii="Cambria Math" w:eastAsiaTheme="minorEastAsia" w:hAnsi="Cambria Math"/>
                <w:lang w:val="it-IT"/>
              </w:rPr>
              <m:t>S</m:t>
            </m:r>
          </m:e>
          <m:sub>
            <m:r>
              <w:rPr>
                <w:rFonts w:ascii="Cambria Math" w:eastAsiaTheme="minorEastAsia" w:hAnsi="Cambria Math"/>
                <w:lang w:val="it-IT"/>
              </w:rPr>
              <m:t>i</m:t>
            </m:r>
          </m:sub>
        </m:sSub>
      </m:oMath>
      <w:r>
        <w:rPr>
          <w:rFonts w:eastAsiaTheme="minorEastAsia"/>
          <w:lang w:val="it-IT"/>
        </w:rPr>
        <w:t>:</w:t>
      </w:r>
    </w:p>
    <w:p w14:paraId="4A0DAD64" w14:textId="45780F93" w:rsidR="002A0EA3" w:rsidRPr="002A0EA3" w:rsidRDefault="00BB5742" w:rsidP="002A0EA3">
      <w:pPr>
        <w:jc w:val="center"/>
        <w:rPr>
          <w:rFonts w:eastAsiaTheme="minorEastAsia"/>
          <w:lang w:val="it-IT"/>
        </w:rPr>
      </w:pPr>
      <m:oMathPara>
        <m:oMath>
          <m:f>
            <m:fPr>
              <m:ctrlPr>
                <w:rPr>
                  <w:rFonts w:ascii="Cambria Math" w:eastAsiaTheme="minorEastAsia" w:hAnsi="Cambria Math"/>
                  <w:i/>
                  <w:lang w:val="it-IT"/>
                </w:rPr>
              </m:ctrlPr>
            </m:fPr>
            <m:num>
              <m:r>
                <w:rPr>
                  <w:rFonts w:ascii="Cambria Math" w:eastAsiaTheme="minorEastAsia" w:hAnsi="Cambria Math"/>
                  <w:lang w:val="it-IT"/>
                </w:rPr>
                <m:t>δ</m:t>
              </m:r>
              <m:sSubSup>
                <m:sSubSupPr>
                  <m:ctrlPr>
                    <w:rPr>
                      <w:rFonts w:ascii="Cambria Math" w:eastAsiaTheme="minorEastAsia" w:hAnsi="Cambria Math"/>
                      <w:i/>
                      <w:lang w:val="it-IT"/>
                    </w:rPr>
                  </m:ctrlPr>
                </m:sSubSupPr>
                <m:e>
                  <m:r>
                    <w:rPr>
                      <w:rFonts w:ascii="Cambria Math" w:eastAsiaTheme="minorEastAsia" w:hAnsi="Cambria Math"/>
                      <w:lang w:val="it-IT"/>
                    </w:rPr>
                    <m:t>L</m:t>
                  </m:r>
                </m:e>
                <m:sub>
                  <m:r>
                    <w:rPr>
                      <w:rFonts w:ascii="Cambria Math" w:eastAsiaTheme="minorEastAsia" w:hAnsi="Cambria Math"/>
                      <w:lang w:val="it-IT"/>
                    </w:rPr>
                    <m:t>i</m:t>
                  </m:r>
                </m:sub>
                <m:sup>
                  <m:r>
                    <w:rPr>
                      <w:rFonts w:ascii="Cambria Math" w:eastAsiaTheme="minorEastAsia" w:hAnsi="Cambria Math"/>
                      <w:lang w:val="it-IT"/>
                    </w:rPr>
                    <m:t>*</m:t>
                  </m:r>
                </m:sup>
              </m:sSubSup>
            </m:num>
            <m:den>
              <m:r>
                <w:rPr>
                  <w:rFonts w:ascii="Cambria Math" w:eastAsiaTheme="minorEastAsia" w:hAnsi="Cambria Math"/>
                  <w:lang w:val="it-IT"/>
                </w:rPr>
                <m:t>δ</m:t>
              </m:r>
              <m:sSub>
                <m:sSubPr>
                  <m:ctrlPr>
                    <w:rPr>
                      <w:rFonts w:ascii="Cambria Math" w:eastAsiaTheme="minorEastAsia" w:hAnsi="Cambria Math"/>
                      <w:i/>
                      <w:lang w:val="it-IT"/>
                    </w:rPr>
                  </m:ctrlPr>
                </m:sSubPr>
                <m:e>
                  <m:r>
                    <w:rPr>
                      <w:rFonts w:ascii="Cambria Math" w:eastAsiaTheme="minorEastAsia" w:hAnsi="Cambria Math"/>
                      <w:lang w:val="it-IT"/>
                    </w:rPr>
                    <m:t>s</m:t>
                  </m:r>
                </m:e>
                <m:sub>
                  <m:r>
                    <w:rPr>
                      <w:rFonts w:ascii="Cambria Math" w:eastAsiaTheme="minorEastAsia" w:hAnsi="Cambria Math"/>
                      <w:lang w:val="it-IT"/>
                    </w:rPr>
                    <m:t>i</m:t>
                  </m:r>
                </m:sub>
              </m:sSub>
            </m:den>
          </m:f>
          <m:r>
            <w:rPr>
              <w:rFonts w:ascii="Cambria Math" w:eastAsiaTheme="minorEastAsia" w:hAnsi="Cambria Math"/>
              <w:lang w:val="it-IT"/>
            </w:rPr>
            <m:t>=</m:t>
          </m:r>
          <m:f>
            <m:fPr>
              <m:ctrlPr>
                <w:rPr>
                  <w:rFonts w:ascii="Cambria Math" w:eastAsiaTheme="minorEastAsia" w:hAnsi="Cambria Math"/>
                  <w:i/>
                  <w:lang w:val="it-IT"/>
                </w:rPr>
              </m:ctrlPr>
            </m:fPr>
            <m:num>
              <m:sSup>
                <m:sSupPr>
                  <m:ctrlPr>
                    <w:rPr>
                      <w:rFonts w:ascii="Cambria Math" w:eastAsiaTheme="minorEastAsia" w:hAnsi="Cambria Math"/>
                      <w:i/>
                      <w:lang w:val="it-IT"/>
                    </w:rPr>
                  </m:ctrlPr>
                </m:sSupPr>
                <m:e>
                  <m:r>
                    <w:rPr>
                      <w:rFonts w:ascii="Cambria Math" w:eastAsiaTheme="minorEastAsia" w:hAnsi="Cambria Math"/>
                      <w:lang w:val="it-IT"/>
                    </w:rPr>
                    <m:t>C</m:t>
                  </m:r>
                </m:e>
                <m:sup>
                  <m:r>
                    <w:rPr>
                      <w:rFonts w:ascii="Cambria Math" w:eastAsiaTheme="minorEastAsia" w:hAnsi="Cambria Math"/>
                      <w:lang w:val="it-IT"/>
                    </w:rPr>
                    <m:t>'</m:t>
                  </m:r>
                </m:sup>
              </m:sSup>
              <m:r>
                <w:rPr>
                  <w:rFonts w:ascii="Cambria Math" w:eastAsiaTheme="minorEastAsia" w:hAnsi="Cambria Math"/>
                  <w:lang w:val="it-IT"/>
                </w:rPr>
                <m:t>+(1+</m:t>
              </m:r>
              <m:sSub>
                <m:sSubPr>
                  <m:ctrlPr>
                    <w:rPr>
                      <w:rFonts w:ascii="Cambria Math" w:eastAsiaTheme="minorEastAsia" w:hAnsi="Cambria Math"/>
                      <w:i/>
                      <w:lang w:val="it-IT"/>
                    </w:rPr>
                  </m:ctrlPr>
                </m:sSubPr>
                <m:e>
                  <m:r>
                    <w:rPr>
                      <w:rFonts w:ascii="Cambria Math" w:eastAsiaTheme="minorEastAsia" w:hAnsi="Cambria Math"/>
                      <w:lang w:val="it-IT"/>
                    </w:rPr>
                    <m:t>s</m:t>
                  </m:r>
                </m:e>
                <m:sub>
                  <m:r>
                    <w:rPr>
                      <w:rFonts w:ascii="Cambria Math" w:eastAsiaTheme="minorEastAsia" w:hAnsi="Cambria Math"/>
                      <w:lang w:val="it-IT"/>
                    </w:rPr>
                    <m:t>i</m:t>
                  </m:r>
                </m:sub>
              </m:sSub>
              <m:r>
                <w:rPr>
                  <w:rFonts w:ascii="Cambria Math" w:eastAsiaTheme="minorEastAsia" w:hAnsi="Cambria Math"/>
                  <w:lang w:val="it-IT"/>
                </w:rPr>
                <m:t>)</m:t>
              </m:r>
              <m:sSub>
                <m:sSubPr>
                  <m:ctrlPr>
                    <w:rPr>
                      <w:rFonts w:ascii="Cambria Math" w:eastAsiaTheme="minorEastAsia" w:hAnsi="Cambria Math"/>
                      <w:i/>
                      <w:lang w:val="it-IT"/>
                    </w:rPr>
                  </m:ctrlPr>
                </m:sSubPr>
                <m:e>
                  <m:r>
                    <w:rPr>
                      <w:rFonts w:ascii="Cambria Math" w:eastAsiaTheme="minorEastAsia" w:hAnsi="Cambria Math"/>
                      <w:lang w:val="it-IT"/>
                    </w:rPr>
                    <m:t>L</m:t>
                  </m:r>
                </m:e>
                <m:sub>
                  <m:r>
                    <w:rPr>
                      <w:rFonts w:ascii="Cambria Math" w:eastAsiaTheme="minorEastAsia" w:hAnsi="Cambria Math"/>
                      <w:lang w:val="it-IT"/>
                    </w:rPr>
                    <m:t>i</m:t>
                  </m:r>
                </m:sub>
              </m:sSub>
              <m:r>
                <w:rPr>
                  <w:rFonts w:ascii="Cambria Math" w:eastAsiaTheme="minorEastAsia" w:hAnsi="Cambria Math"/>
                  <w:lang w:val="it-IT"/>
                </w:rPr>
                <m:t>C''</m:t>
              </m:r>
            </m:num>
            <m:den>
              <m:r>
                <w:rPr>
                  <w:rFonts w:ascii="Cambria Math" w:eastAsiaTheme="minorEastAsia" w:hAnsi="Cambria Math"/>
                  <w:lang w:val="it-IT"/>
                </w:rPr>
                <m:t>ψ''(</m:t>
              </m:r>
              <m:sSubSup>
                <m:sSubSupPr>
                  <m:ctrlPr>
                    <w:rPr>
                      <w:rFonts w:ascii="Cambria Math" w:eastAsiaTheme="minorEastAsia" w:hAnsi="Cambria Math"/>
                      <w:i/>
                      <w:lang w:val="it-IT"/>
                    </w:rPr>
                  </m:ctrlPr>
                </m:sSubSupPr>
                <m:e>
                  <m:r>
                    <w:rPr>
                      <w:rFonts w:ascii="Cambria Math" w:eastAsiaTheme="minorEastAsia" w:hAnsi="Cambria Math"/>
                      <w:lang w:val="it-IT"/>
                    </w:rPr>
                    <m:t>L</m:t>
                  </m:r>
                </m:e>
                <m:sub>
                  <m:r>
                    <w:rPr>
                      <w:rFonts w:ascii="Cambria Math" w:eastAsiaTheme="minorEastAsia" w:hAnsi="Cambria Math"/>
                      <w:lang w:val="it-IT"/>
                    </w:rPr>
                    <m:t>i</m:t>
                  </m:r>
                </m:sub>
                <m:sup>
                  <m:r>
                    <w:rPr>
                      <w:rFonts w:ascii="Cambria Math" w:eastAsiaTheme="minorEastAsia" w:hAnsi="Cambria Math"/>
                      <w:lang w:val="it-IT"/>
                    </w:rPr>
                    <m:t>*</m:t>
                  </m:r>
                </m:sup>
              </m:sSubSup>
              <m:r>
                <w:rPr>
                  <w:rFonts w:ascii="Cambria Math" w:eastAsiaTheme="minorEastAsia" w:hAnsi="Cambria Math"/>
                  <w:lang w:val="it-IT"/>
                </w:rPr>
                <m:t>)</m:t>
              </m:r>
              <m:nary>
                <m:naryPr>
                  <m:limLoc m:val="subSup"/>
                  <m:ctrlPr>
                    <w:rPr>
                      <w:rFonts w:ascii="Cambria Math" w:eastAsiaTheme="minorEastAsia" w:hAnsi="Cambria Math"/>
                      <w:i/>
                      <w:lang w:val="it-IT"/>
                    </w:rPr>
                  </m:ctrlPr>
                </m:naryPr>
                <m:sub>
                  <m:r>
                    <w:rPr>
                      <w:rFonts w:ascii="Cambria Math" w:eastAsiaTheme="minorEastAsia" w:hAnsi="Cambria Math"/>
                      <w:lang w:val="it-IT"/>
                    </w:rPr>
                    <m:t>p</m:t>
                  </m:r>
                </m:sub>
                <m:sup>
                  <m:acc>
                    <m:accPr>
                      <m:chr m:val="̅"/>
                      <m:ctrlPr>
                        <w:rPr>
                          <w:rFonts w:ascii="Cambria Math" w:eastAsiaTheme="minorEastAsia" w:hAnsi="Cambria Math"/>
                          <w:i/>
                          <w:lang w:val="it-IT"/>
                        </w:rPr>
                      </m:ctrlPr>
                    </m:accPr>
                    <m:e>
                      <m:r>
                        <w:rPr>
                          <w:rFonts w:ascii="Cambria Math" w:eastAsiaTheme="minorEastAsia" w:hAnsi="Cambria Math"/>
                          <w:lang w:val="it-IT"/>
                        </w:rPr>
                        <m:t>p</m:t>
                      </m:r>
                    </m:e>
                  </m:acc>
                </m:sup>
                <m:e>
                  <m:sSub>
                    <m:sSubPr>
                      <m:ctrlPr>
                        <w:rPr>
                          <w:rFonts w:ascii="Cambria Math" w:eastAsiaTheme="minorEastAsia" w:hAnsi="Cambria Math"/>
                          <w:i/>
                          <w:lang w:val="it-IT"/>
                        </w:rPr>
                      </m:ctrlPr>
                    </m:sSubPr>
                    <m:e>
                      <m:r>
                        <w:rPr>
                          <w:rFonts w:ascii="Cambria Math" w:eastAsiaTheme="minorEastAsia" w:hAnsi="Cambria Math"/>
                          <w:lang w:val="it-IT"/>
                        </w:rPr>
                        <m:t>k</m:t>
                      </m:r>
                    </m:e>
                    <m:sub>
                      <m:r>
                        <w:rPr>
                          <w:rFonts w:ascii="Cambria Math" w:eastAsiaTheme="minorEastAsia" w:hAnsi="Cambria Math"/>
                          <w:lang w:val="it-IT"/>
                        </w:rPr>
                        <m:t>i</m:t>
                      </m:r>
                    </m:sub>
                  </m:sSub>
                  <m:sSub>
                    <m:sSubPr>
                      <m:ctrlPr>
                        <w:rPr>
                          <w:rFonts w:ascii="Cambria Math" w:eastAsiaTheme="minorEastAsia" w:hAnsi="Cambria Math"/>
                          <w:i/>
                          <w:lang w:val="it-IT"/>
                        </w:rPr>
                      </m:ctrlPr>
                    </m:sSubPr>
                    <m:e>
                      <m:r>
                        <w:rPr>
                          <w:rFonts w:ascii="Cambria Math" w:eastAsiaTheme="minorEastAsia" w:hAnsi="Cambria Math"/>
                          <w:lang w:val="it-IT"/>
                        </w:rPr>
                        <m:t>P</m:t>
                      </m:r>
                    </m:e>
                    <m:sub>
                      <m:r>
                        <w:rPr>
                          <w:rFonts w:ascii="Cambria Math" w:eastAsiaTheme="minorEastAsia" w:hAnsi="Cambria Math"/>
                          <w:lang w:val="it-IT"/>
                        </w:rPr>
                        <m:t>i</m:t>
                      </m:r>
                    </m:sub>
                  </m:sSub>
                  <m:r>
                    <w:rPr>
                      <w:rFonts w:ascii="Cambria Math" w:eastAsiaTheme="minorEastAsia" w:hAnsi="Cambria Math"/>
                      <w:lang w:val="it-IT"/>
                    </w:rPr>
                    <m:t>f</m:t>
                  </m:r>
                  <m:d>
                    <m:dPr>
                      <m:ctrlPr>
                        <w:rPr>
                          <w:rFonts w:ascii="Cambria Math" w:eastAsiaTheme="minorEastAsia" w:hAnsi="Cambria Math"/>
                          <w:i/>
                          <w:lang w:val="it-IT"/>
                        </w:rPr>
                      </m:ctrlPr>
                    </m:dPr>
                    <m:e>
                      <m:r>
                        <w:rPr>
                          <w:rFonts w:ascii="Cambria Math" w:eastAsiaTheme="minorEastAsia" w:hAnsi="Cambria Math"/>
                          <w:lang w:val="it-IT"/>
                        </w:rPr>
                        <m:t>p</m:t>
                      </m:r>
                    </m:e>
                  </m:d>
                  <m:r>
                    <w:rPr>
                      <w:rFonts w:ascii="Cambria Math" w:eastAsiaTheme="minorEastAsia" w:hAnsi="Cambria Math"/>
                      <w:lang w:val="it-IT"/>
                    </w:rPr>
                    <m:t>dp-C''</m:t>
                  </m:r>
                </m:e>
              </m:nary>
            </m:den>
          </m:f>
        </m:oMath>
      </m:oMathPara>
    </w:p>
    <w:p w14:paraId="29FA60E8" w14:textId="6023CE1B" w:rsidR="002A0EA3" w:rsidRDefault="002A0EA3" w:rsidP="002A0EA3">
      <w:pPr>
        <w:jc w:val="center"/>
        <w:rPr>
          <w:rFonts w:eastAsiaTheme="minorEastAsia"/>
          <w:i/>
          <w:lang w:val="it-IT"/>
        </w:rPr>
      </w:pPr>
      <w:r w:rsidRPr="002A0EA3">
        <w:rPr>
          <w:rFonts w:eastAsiaTheme="minorEastAsia"/>
          <w:i/>
          <w:lang w:val="it-IT"/>
        </w:rPr>
        <w:t>Equazione (4)</w:t>
      </w:r>
    </w:p>
    <w:p w14:paraId="58A6C6D0" w14:textId="767818A8" w:rsidR="002A0EA3" w:rsidRDefault="002A0EA3" w:rsidP="002A0EA3">
      <w:pPr>
        <w:jc w:val="both"/>
        <w:rPr>
          <w:rFonts w:eastAsiaTheme="minorEastAsia"/>
          <w:lang w:val="it-IT"/>
        </w:rPr>
      </w:pPr>
      <w:r>
        <w:rPr>
          <w:rFonts w:eastAsiaTheme="minorEastAsia"/>
          <w:lang w:val="it-IT"/>
        </w:rPr>
        <w:lastRenderedPageBreak/>
        <w:t xml:space="preserve">Dal momento che </w:t>
      </w:r>
      <m:oMath>
        <m:sSup>
          <m:sSupPr>
            <m:ctrlPr>
              <w:rPr>
                <w:rFonts w:ascii="Cambria Math" w:eastAsiaTheme="minorEastAsia" w:hAnsi="Cambria Math"/>
                <w:i/>
                <w:lang w:val="it-IT"/>
              </w:rPr>
            </m:ctrlPr>
          </m:sSupPr>
          <m:e>
            <m:r>
              <w:rPr>
                <w:rFonts w:ascii="Cambria Math" w:eastAsiaTheme="minorEastAsia" w:hAnsi="Cambria Math"/>
                <w:lang w:val="it-IT"/>
              </w:rPr>
              <m:t>C</m:t>
            </m:r>
          </m:e>
          <m:sup>
            <m:r>
              <w:rPr>
                <w:rFonts w:ascii="Cambria Math" w:eastAsiaTheme="minorEastAsia" w:hAnsi="Cambria Math"/>
                <w:lang w:val="it-IT"/>
              </w:rPr>
              <m:t>'</m:t>
            </m:r>
          </m:sup>
        </m:sSup>
        <m:r>
          <w:rPr>
            <w:rFonts w:ascii="Cambria Math" w:eastAsiaTheme="minorEastAsia" w:hAnsi="Cambria Math"/>
            <w:lang w:val="it-IT"/>
          </w:rPr>
          <m:t>&gt;0</m:t>
        </m:r>
      </m:oMath>
      <w:r>
        <w:rPr>
          <w:rFonts w:eastAsiaTheme="minorEastAsia"/>
          <w:lang w:val="it-IT"/>
        </w:rPr>
        <w:t xml:space="preserve"> e </w:t>
      </w:r>
      <m:oMath>
        <m:sSup>
          <m:sSupPr>
            <m:ctrlPr>
              <w:rPr>
                <w:rFonts w:ascii="Cambria Math" w:eastAsiaTheme="minorEastAsia" w:hAnsi="Cambria Math"/>
                <w:i/>
                <w:lang w:val="it-IT"/>
              </w:rPr>
            </m:ctrlPr>
          </m:sSupPr>
          <m:e>
            <m:r>
              <w:rPr>
                <w:rFonts w:ascii="Cambria Math" w:eastAsiaTheme="minorEastAsia" w:hAnsi="Cambria Math"/>
                <w:lang w:val="it-IT"/>
              </w:rPr>
              <m:t>C</m:t>
            </m:r>
          </m:e>
          <m:sup>
            <m:r>
              <w:rPr>
                <w:rFonts w:ascii="Cambria Math" w:eastAsiaTheme="minorEastAsia" w:hAnsi="Cambria Math"/>
                <w:lang w:val="it-IT"/>
              </w:rPr>
              <m:t>''</m:t>
            </m:r>
          </m:sup>
        </m:sSup>
        <m:r>
          <w:rPr>
            <w:rFonts w:ascii="Cambria Math" w:eastAsiaTheme="minorEastAsia" w:hAnsi="Cambria Math"/>
            <w:lang w:val="it-IT"/>
          </w:rPr>
          <m:t>&gt;0</m:t>
        </m:r>
      </m:oMath>
      <w:r>
        <w:rPr>
          <w:rFonts w:eastAsiaTheme="minorEastAsia"/>
          <w:lang w:val="it-IT"/>
        </w:rPr>
        <w:t xml:space="preserve"> che il numeratore sia strettamente positivo. Il fatto invece che </w:t>
      </w:r>
      <m:oMath>
        <m:sSup>
          <m:sSupPr>
            <m:ctrlPr>
              <w:rPr>
                <w:rFonts w:ascii="Cambria Math" w:eastAsiaTheme="minorEastAsia" w:hAnsi="Cambria Math"/>
                <w:i/>
                <w:lang w:val="it-IT"/>
              </w:rPr>
            </m:ctrlPr>
          </m:sSupPr>
          <m:e>
            <m:r>
              <w:rPr>
                <w:rFonts w:ascii="Cambria Math" w:eastAsiaTheme="minorEastAsia" w:hAnsi="Cambria Math"/>
                <w:lang w:val="it-IT"/>
              </w:rPr>
              <m:t>ψ</m:t>
            </m:r>
          </m:e>
          <m:sup>
            <m:r>
              <w:rPr>
                <w:rFonts w:ascii="Cambria Math" w:eastAsiaTheme="minorEastAsia" w:hAnsi="Cambria Math"/>
                <w:lang w:val="it-IT"/>
              </w:rPr>
              <m:t>''</m:t>
            </m:r>
          </m:sup>
        </m:sSup>
        <m:r>
          <w:rPr>
            <w:rFonts w:ascii="Cambria Math" w:eastAsiaTheme="minorEastAsia" w:hAnsi="Cambria Math"/>
            <w:lang w:val="it-IT"/>
          </w:rPr>
          <m:t>&lt;0</m:t>
        </m:r>
      </m:oMath>
      <w:r>
        <w:rPr>
          <w:rFonts w:eastAsiaTheme="minorEastAsia"/>
          <w:lang w:val="it-IT"/>
        </w:rPr>
        <w:t xml:space="preserve"> implica che il denominatore sia strettamente negativo. </w:t>
      </w:r>
      <w:r w:rsidR="0033143C">
        <w:rPr>
          <w:rFonts w:eastAsiaTheme="minorEastAsia"/>
          <w:lang w:val="it-IT"/>
        </w:rPr>
        <w:t xml:space="preserve">Dunque, </w:t>
      </w:r>
      <m:oMath>
        <m:f>
          <m:fPr>
            <m:ctrlPr>
              <w:rPr>
                <w:rFonts w:ascii="Cambria Math" w:eastAsiaTheme="minorEastAsia" w:hAnsi="Cambria Math"/>
                <w:i/>
                <w:lang w:val="it-IT"/>
              </w:rPr>
            </m:ctrlPr>
          </m:fPr>
          <m:num>
            <m:r>
              <w:rPr>
                <w:rFonts w:ascii="Cambria Math" w:eastAsiaTheme="minorEastAsia" w:hAnsi="Cambria Math"/>
                <w:lang w:val="it-IT"/>
              </w:rPr>
              <m:t>δ</m:t>
            </m:r>
            <m:sSubSup>
              <m:sSubSupPr>
                <m:ctrlPr>
                  <w:rPr>
                    <w:rFonts w:ascii="Cambria Math" w:eastAsiaTheme="minorEastAsia" w:hAnsi="Cambria Math"/>
                    <w:i/>
                    <w:lang w:val="it-IT"/>
                  </w:rPr>
                </m:ctrlPr>
              </m:sSubSupPr>
              <m:e>
                <m:r>
                  <w:rPr>
                    <w:rFonts w:ascii="Cambria Math" w:eastAsiaTheme="minorEastAsia" w:hAnsi="Cambria Math"/>
                    <w:lang w:val="it-IT"/>
                  </w:rPr>
                  <m:t>L</m:t>
                </m:r>
              </m:e>
              <m:sub>
                <m:r>
                  <w:rPr>
                    <w:rFonts w:ascii="Cambria Math" w:eastAsiaTheme="minorEastAsia" w:hAnsi="Cambria Math"/>
                    <w:lang w:val="it-IT"/>
                  </w:rPr>
                  <m:t>i</m:t>
                </m:r>
              </m:sub>
              <m:sup>
                <m:r>
                  <w:rPr>
                    <w:rFonts w:ascii="Cambria Math" w:eastAsiaTheme="minorEastAsia" w:hAnsi="Cambria Math"/>
                    <w:lang w:val="it-IT"/>
                  </w:rPr>
                  <m:t>*</m:t>
                </m:r>
              </m:sup>
            </m:sSubSup>
          </m:num>
          <m:den>
            <m:r>
              <w:rPr>
                <w:rFonts w:ascii="Cambria Math" w:eastAsiaTheme="minorEastAsia" w:hAnsi="Cambria Math"/>
                <w:lang w:val="it-IT"/>
              </w:rPr>
              <m:t>δ</m:t>
            </m:r>
            <m:sSub>
              <m:sSubPr>
                <m:ctrlPr>
                  <w:rPr>
                    <w:rFonts w:ascii="Cambria Math" w:eastAsiaTheme="minorEastAsia" w:hAnsi="Cambria Math"/>
                    <w:i/>
                    <w:lang w:val="it-IT"/>
                  </w:rPr>
                </m:ctrlPr>
              </m:sSubPr>
              <m:e>
                <m:r>
                  <w:rPr>
                    <w:rFonts w:ascii="Cambria Math" w:eastAsiaTheme="minorEastAsia" w:hAnsi="Cambria Math"/>
                    <w:lang w:val="it-IT"/>
                  </w:rPr>
                  <m:t>s</m:t>
                </m:r>
              </m:e>
              <m:sub>
                <m:r>
                  <w:rPr>
                    <w:rFonts w:ascii="Cambria Math" w:eastAsiaTheme="minorEastAsia" w:hAnsi="Cambria Math"/>
                    <w:lang w:val="it-IT"/>
                  </w:rPr>
                  <m:t>i</m:t>
                </m:r>
              </m:sub>
            </m:sSub>
          </m:den>
        </m:f>
      </m:oMath>
      <w:r w:rsidR="0033143C">
        <w:rPr>
          <w:rFonts w:eastAsiaTheme="minorEastAsia"/>
          <w:lang w:val="it-IT"/>
        </w:rPr>
        <w:t xml:space="preserve"> è strettamente negativo, indicando che quando i costi di transazioni associati con l’immobile sono alti, un agente che agisce razionalmente ottimizzando il proprio beneficio ha incentivo a impegnarsi di meno. E quindi il modello implica che, teoricamente, gli immobili con costi di transazioni associati maggiori avranno più probabilità di rimanere a lungo sul mercato rispetto agli immobili con costi minori. </w:t>
      </w:r>
    </w:p>
    <w:p w14:paraId="7856D39F" w14:textId="6F6064E7" w:rsidR="0033143C" w:rsidRDefault="0033143C" w:rsidP="002A0EA3">
      <w:pPr>
        <w:jc w:val="both"/>
        <w:rPr>
          <w:rFonts w:eastAsiaTheme="minorEastAsia"/>
          <w:lang w:val="it-IT"/>
        </w:rPr>
      </w:pPr>
      <w:r>
        <w:rPr>
          <w:rFonts w:eastAsiaTheme="minorEastAsia"/>
          <w:lang w:val="it-IT"/>
        </w:rPr>
        <w:t>La probabilità di vendita è quindi data da:</w:t>
      </w:r>
    </w:p>
    <w:p w14:paraId="726CA0C0" w14:textId="06A44368" w:rsidR="0033143C" w:rsidRPr="0033143C" w:rsidRDefault="0033143C" w:rsidP="002A0EA3">
      <w:pPr>
        <w:jc w:val="both"/>
        <w:rPr>
          <w:rFonts w:eastAsiaTheme="minorEastAsia"/>
          <w:lang w:val="it-IT"/>
        </w:rPr>
      </w:pPr>
      <m:oMathPara>
        <m:oMath>
          <m:r>
            <w:rPr>
              <w:rFonts w:ascii="Cambria Math" w:eastAsiaTheme="minorEastAsia" w:hAnsi="Cambria Math"/>
              <w:lang w:val="it-IT"/>
            </w:rPr>
            <m:t>ψ(</m:t>
          </m:r>
          <m:sSup>
            <m:sSupPr>
              <m:ctrlPr>
                <w:rPr>
                  <w:rFonts w:ascii="Cambria Math" w:eastAsiaTheme="minorEastAsia" w:hAnsi="Cambria Math"/>
                  <w:i/>
                  <w:lang w:val="it-IT"/>
                </w:rPr>
              </m:ctrlPr>
            </m:sSupPr>
            <m:e>
              <m:r>
                <w:rPr>
                  <w:rFonts w:ascii="Cambria Math" w:eastAsiaTheme="minorEastAsia" w:hAnsi="Cambria Math"/>
                  <w:lang w:val="it-IT"/>
                </w:rPr>
                <m:t>L</m:t>
              </m:r>
            </m:e>
            <m:sup>
              <m:r>
                <w:rPr>
                  <w:rFonts w:ascii="Cambria Math" w:eastAsiaTheme="minorEastAsia" w:hAnsi="Cambria Math"/>
                  <w:lang w:val="it-IT"/>
                </w:rPr>
                <m:t>*</m:t>
              </m:r>
            </m:sup>
          </m:sSup>
          <m:r>
            <w:rPr>
              <w:rFonts w:ascii="Cambria Math" w:eastAsiaTheme="minorEastAsia" w:hAnsi="Cambria Math"/>
              <w:lang w:val="it-IT"/>
            </w:rPr>
            <m:t>)</m:t>
          </m:r>
          <m:nary>
            <m:naryPr>
              <m:limLoc m:val="subSup"/>
              <m:ctrlPr>
                <w:rPr>
                  <w:rFonts w:ascii="Cambria Math" w:eastAsiaTheme="minorEastAsia" w:hAnsi="Cambria Math"/>
                  <w:i/>
                  <w:lang w:val="it-IT"/>
                </w:rPr>
              </m:ctrlPr>
            </m:naryPr>
            <m:sub>
              <m:r>
                <w:rPr>
                  <w:rFonts w:ascii="Cambria Math" w:eastAsiaTheme="minorEastAsia" w:hAnsi="Cambria Math"/>
                  <w:lang w:val="it-IT"/>
                </w:rPr>
                <m:t>p</m:t>
              </m:r>
            </m:sub>
            <m:sup>
              <m:acc>
                <m:accPr>
                  <m:chr m:val="̅"/>
                  <m:ctrlPr>
                    <w:rPr>
                      <w:rFonts w:ascii="Cambria Math" w:eastAsiaTheme="minorEastAsia" w:hAnsi="Cambria Math"/>
                      <w:i/>
                      <w:lang w:val="it-IT"/>
                    </w:rPr>
                  </m:ctrlPr>
                </m:accPr>
                <m:e>
                  <m:r>
                    <w:rPr>
                      <w:rFonts w:ascii="Cambria Math" w:eastAsiaTheme="minorEastAsia" w:hAnsi="Cambria Math"/>
                      <w:lang w:val="it-IT"/>
                    </w:rPr>
                    <m:t>p</m:t>
                  </m:r>
                </m:e>
              </m:acc>
            </m:sup>
            <m:e>
              <m:r>
                <w:rPr>
                  <w:rFonts w:ascii="Cambria Math" w:eastAsiaTheme="minorEastAsia" w:hAnsi="Cambria Math"/>
                  <w:lang w:val="it-IT"/>
                </w:rPr>
                <m:t>f</m:t>
              </m:r>
              <m:d>
                <m:dPr>
                  <m:ctrlPr>
                    <w:rPr>
                      <w:rFonts w:ascii="Cambria Math" w:eastAsiaTheme="minorEastAsia" w:hAnsi="Cambria Math"/>
                      <w:i/>
                      <w:lang w:val="it-IT"/>
                    </w:rPr>
                  </m:ctrlPr>
                </m:dPr>
                <m:e>
                  <m:r>
                    <w:rPr>
                      <w:rFonts w:ascii="Cambria Math" w:eastAsiaTheme="minorEastAsia" w:hAnsi="Cambria Math"/>
                      <w:lang w:val="it-IT"/>
                    </w:rPr>
                    <m:t>p</m:t>
                  </m:r>
                </m:e>
              </m:d>
              <m:r>
                <w:rPr>
                  <w:rFonts w:ascii="Cambria Math" w:eastAsiaTheme="minorEastAsia" w:hAnsi="Cambria Math"/>
                  <w:lang w:val="it-IT"/>
                </w:rPr>
                <m:t>dp+ϕ</m:t>
              </m:r>
              <m:nary>
                <m:naryPr>
                  <m:limLoc m:val="subSup"/>
                  <m:ctrlPr>
                    <w:rPr>
                      <w:rFonts w:ascii="Cambria Math" w:eastAsiaTheme="minorEastAsia" w:hAnsi="Cambria Math"/>
                      <w:i/>
                      <w:lang w:val="it-IT"/>
                    </w:rPr>
                  </m:ctrlPr>
                </m:naryPr>
                <m:sub>
                  <m:r>
                    <w:rPr>
                      <w:rFonts w:ascii="Cambria Math" w:eastAsiaTheme="minorEastAsia" w:hAnsi="Cambria Math"/>
                      <w:lang w:val="it-IT"/>
                    </w:rPr>
                    <m:t>p</m:t>
                  </m:r>
                </m:sub>
                <m:sup>
                  <m:acc>
                    <m:accPr>
                      <m:chr m:val="̅"/>
                      <m:ctrlPr>
                        <w:rPr>
                          <w:rFonts w:ascii="Cambria Math" w:eastAsiaTheme="minorEastAsia" w:hAnsi="Cambria Math"/>
                          <w:i/>
                          <w:lang w:val="it-IT"/>
                        </w:rPr>
                      </m:ctrlPr>
                    </m:accPr>
                    <m:e>
                      <m:r>
                        <w:rPr>
                          <w:rFonts w:ascii="Cambria Math" w:eastAsiaTheme="minorEastAsia" w:hAnsi="Cambria Math"/>
                          <w:lang w:val="it-IT"/>
                        </w:rPr>
                        <m:t>p</m:t>
                      </m:r>
                    </m:e>
                  </m:acc>
                </m:sup>
                <m:e>
                  <m:r>
                    <w:rPr>
                      <w:rFonts w:ascii="Cambria Math" w:eastAsiaTheme="minorEastAsia" w:hAnsi="Cambria Math"/>
                      <w:lang w:val="it-IT"/>
                    </w:rPr>
                    <m:t>f</m:t>
                  </m:r>
                  <m:d>
                    <m:dPr>
                      <m:ctrlPr>
                        <w:rPr>
                          <w:rFonts w:ascii="Cambria Math" w:eastAsiaTheme="minorEastAsia" w:hAnsi="Cambria Math"/>
                          <w:i/>
                          <w:lang w:val="it-IT"/>
                        </w:rPr>
                      </m:ctrlPr>
                    </m:dPr>
                    <m:e>
                      <m:r>
                        <w:rPr>
                          <w:rFonts w:ascii="Cambria Math" w:eastAsiaTheme="minorEastAsia" w:hAnsi="Cambria Math"/>
                          <w:lang w:val="it-IT"/>
                        </w:rPr>
                        <m:t>p</m:t>
                      </m:r>
                    </m:e>
                  </m:d>
                  <m:r>
                    <w:rPr>
                      <w:rFonts w:ascii="Cambria Math" w:eastAsiaTheme="minorEastAsia" w:hAnsi="Cambria Math"/>
                      <w:lang w:val="it-IT"/>
                    </w:rPr>
                    <m:t>dp</m:t>
                  </m:r>
                </m:e>
              </m:nary>
            </m:e>
          </m:nary>
        </m:oMath>
      </m:oMathPara>
    </w:p>
    <w:p w14:paraId="66BA9804" w14:textId="2B3FC447" w:rsidR="0033143C" w:rsidRDefault="0033143C" w:rsidP="0033143C">
      <w:pPr>
        <w:jc w:val="center"/>
        <w:rPr>
          <w:rFonts w:eastAsiaTheme="minorEastAsia"/>
          <w:i/>
          <w:lang w:val="it-IT"/>
        </w:rPr>
      </w:pPr>
      <w:r w:rsidRPr="0033143C">
        <w:rPr>
          <w:rFonts w:eastAsiaTheme="minorEastAsia"/>
          <w:i/>
          <w:lang w:val="it-IT"/>
        </w:rPr>
        <w:t>Equazione (5)</w:t>
      </w:r>
    </w:p>
    <w:p w14:paraId="5E26F94D" w14:textId="1035A04A" w:rsidR="0033143C" w:rsidRDefault="0033143C" w:rsidP="0033143C">
      <w:pPr>
        <w:jc w:val="both"/>
        <w:rPr>
          <w:rFonts w:eastAsiaTheme="minorEastAsia"/>
          <w:lang w:val="it-IT"/>
        </w:rPr>
      </w:pPr>
      <w:r>
        <w:rPr>
          <w:rFonts w:eastAsiaTheme="minorEastAsia"/>
          <w:lang w:val="it-IT"/>
        </w:rPr>
        <w:t xml:space="preserve">Il primo termine rappresenta la probabilità di dual agency. Il secondo termine rappresenta la probabilità che l’acquirente venga identificato da un broker, e questa probabilità è esogena. Il </w:t>
      </w:r>
      <w:proofErr w:type="gramStart"/>
      <w:r>
        <w:rPr>
          <w:rFonts w:eastAsiaTheme="minorEastAsia"/>
          <w:lang w:val="it-IT"/>
        </w:rPr>
        <w:t>modello quindi</w:t>
      </w:r>
      <w:proofErr w:type="gramEnd"/>
      <w:r>
        <w:rPr>
          <w:rFonts w:eastAsiaTheme="minorEastAsia"/>
          <w:lang w:val="it-IT"/>
        </w:rPr>
        <w:t xml:space="preserve"> implica che alti costi di transazione impattano negativamente sulla probabilità di vendita. </w:t>
      </w:r>
      <m:oMath>
        <m:r>
          <w:rPr>
            <w:rFonts w:ascii="Cambria Math" w:eastAsiaTheme="minorEastAsia" w:hAnsi="Cambria Math"/>
            <w:lang w:val="it-IT"/>
          </w:rPr>
          <m:t>ψ</m:t>
        </m:r>
      </m:oMath>
      <w:r>
        <w:rPr>
          <w:rFonts w:eastAsiaTheme="minorEastAsia"/>
          <w:lang w:val="it-IT"/>
        </w:rPr>
        <w:t xml:space="preserve"> cresce strettamente in </w:t>
      </w:r>
      <m:oMath>
        <m:sSup>
          <m:sSupPr>
            <m:ctrlPr>
              <w:rPr>
                <w:rFonts w:ascii="Cambria Math" w:eastAsiaTheme="minorEastAsia" w:hAnsi="Cambria Math"/>
                <w:i/>
                <w:lang w:val="it-IT"/>
              </w:rPr>
            </m:ctrlPr>
          </m:sSupPr>
          <m:e>
            <m:r>
              <w:rPr>
                <w:rFonts w:ascii="Cambria Math" w:eastAsiaTheme="minorEastAsia" w:hAnsi="Cambria Math"/>
                <w:lang w:val="it-IT"/>
              </w:rPr>
              <m:t>L</m:t>
            </m:r>
          </m:e>
          <m:sup>
            <m:r>
              <w:rPr>
                <w:rFonts w:ascii="Cambria Math" w:eastAsiaTheme="minorEastAsia" w:hAnsi="Cambria Math"/>
                <w:lang w:val="it-IT"/>
              </w:rPr>
              <m:t>*</m:t>
            </m:r>
          </m:sup>
        </m:sSup>
      </m:oMath>
      <w:r>
        <w:rPr>
          <w:rFonts w:eastAsiaTheme="minorEastAsia"/>
          <w:lang w:val="it-IT"/>
        </w:rPr>
        <w:t xml:space="preserve">. Dal momento che i costi di transazione, </w:t>
      </w:r>
      <w:r>
        <w:rPr>
          <w:rFonts w:eastAsiaTheme="minorEastAsia"/>
          <w:i/>
          <w:lang w:val="it-IT"/>
        </w:rPr>
        <w:t>s</w:t>
      </w:r>
      <w:r>
        <w:rPr>
          <w:rFonts w:eastAsiaTheme="minorEastAsia"/>
          <w:lang w:val="it-IT"/>
        </w:rPr>
        <w:t xml:space="preserve">, diminuiscono </w:t>
      </w:r>
      <m:oMath>
        <m:sSup>
          <m:sSupPr>
            <m:ctrlPr>
              <w:rPr>
                <w:rFonts w:ascii="Cambria Math" w:eastAsiaTheme="minorEastAsia" w:hAnsi="Cambria Math"/>
                <w:i/>
                <w:lang w:val="it-IT"/>
              </w:rPr>
            </m:ctrlPr>
          </m:sSupPr>
          <m:e>
            <m:r>
              <w:rPr>
                <w:rFonts w:ascii="Cambria Math" w:eastAsiaTheme="minorEastAsia" w:hAnsi="Cambria Math"/>
                <w:lang w:val="it-IT"/>
              </w:rPr>
              <m:t>L</m:t>
            </m:r>
          </m:e>
          <m:sup>
            <m:r>
              <w:rPr>
                <w:rFonts w:ascii="Cambria Math" w:eastAsiaTheme="minorEastAsia" w:hAnsi="Cambria Math"/>
                <w:lang w:val="it-IT"/>
              </w:rPr>
              <m:t>*</m:t>
            </m:r>
          </m:sup>
        </m:sSup>
      </m:oMath>
      <w:r>
        <w:rPr>
          <w:rFonts w:eastAsiaTheme="minorEastAsia"/>
          <w:lang w:val="it-IT"/>
        </w:rPr>
        <w:t xml:space="preserve">, comporta un minore </w:t>
      </w:r>
      <m:oMath>
        <m:r>
          <w:rPr>
            <w:rFonts w:ascii="Cambria Math" w:eastAsiaTheme="minorEastAsia" w:hAnsi="Cambria Math"/>
            <w:lang w:val="it-IT"/>
          </w:rPr>
          <m:t>ψ</m:t>
        </m:r>
      </m:oMath>
      <w:r>
        <w:rPr>
          <w:rFonts w:eastAsiaTheme="minorEastAsia"/>
          <w:lang w:val="it-IT"/>
        </w:rPr>
        <w:t xml:space="preserve">. E quindi, ancora una volta, il modello indica che a costi di transazione maggiori corrisponde una probabilità di vendita minore. </w:t>
      </w:r>
    </w:p>
    <w:p w14:paraId="7452FC90" w14:textId="758ECC78" w:rsidR="0033143C" w:rsidRDefault="0033143C" w:rsidP="0033143C">
      <w:pPr>
        <w:jc w:val="both"/>
        <w:rPr>
          <w:rFonts w:eastAsiaTheme="minorEastAsia"/>
          <w:lang w:val="it-IT"/>
        </w:rPr>
      </w:pPr>
      <w:r>
        <w:rPr>
          <w:rFonts w:eastAsiaTheme="minorEastAsia"/>
          <w:lang w:val="it-IT"/>
        </w:rPr>
        <w:t xml:space="preserve">Si rimanda al Capitolo 3 per la dimostrazione empirica. </w:t>
      </w:r>
    </w:p>
    <w:p w14:paraId="02472044" w14:textId="6527BF63" w:rsidR="006A1193" w:rsidRDefault="006A1193" w:rsidP="006A1193">
      <w:pPr>
        <w:pStyle w:val="Heading3"/>
        <w:rPr>
          <w:rFonts w:eastAsiaTheme="minorEastAsia"/>
          <w:lang w:val="it-IT"/>
        </w:rPr>
      </w:pPr>
      <w:r>
        <w:rPr>
          <w:rFonts w:eastAsiaTheme="minorEastAsia"/>
          <w:lang w:val="it-IT"/>
        </w:rPr>
        <w:t>Regolamentazione</w:t>
      </w:r>
    </w:p>
    <w:p w14:paraId="00B38043" w14:textId="5BF94F77" w:rsidR="004B5605" w:rsidRDefault="004B5605" w:rsidP="006A1193">
      <w:pPr>
        <w:rPr>
          <w:lang w:val="it-IT"/>
        </w:rPr>
      </w:pPr>
    </w:p>
    <w:p w14:paraId="066A6D2A" w14:textId="6651F7CB" w:rsidR="004B5605" w:rsidRDefault="004B5605" w:rsidP="006A1193">
      <w:pPr>
        <w:rPr>
          <w:lang w:val="it-IT"/>
        </w:rPr>
      </w:pPr>
      <w:r>
        <w:rPr>
          <w:lang w:val="it-IT"/>
        </w:rPr>
        <w:t>I ricercatori che si occupano di studiare l’economia immobiliare hanno posto molte energie sull’argomento regolamentazione dal momento che pare essere il fattore più importante nell’influenzare l’offerta del mercato.</w:t>
      </w:r>
    </w:p>
    <w:p w14:paraId="217F0464" w14:textId="4F29F3AD" w:rsidR="00B31650" w:rsidRDefault="004B5605" w:rsidP="00B31650">
      <w:pPr>
        <w:rPr>
          <w:lang w:val="it-IT"/>
        </w:rPr>
      </w:pPr>
      <w:r>
        <w:rPr>
          <w:lang w:val="it-IT"/>
        </w:rPr>
        <w:t>Dal momento che, al 31.12.2019, vi sono 479,574 imprese di costruzioni in Italia</w:t>
      </w:r>
      <w:r>
        <w:rPr>
          <w:rStyle w:val="FootnoteReference"/>
          <w:lang w:val="it-IT"/>
        </w:rPr>
        <w:footnoteReference w:id="21"/>
      </w:r>
      <w:r w:rsidR="003077F6">
        <w:rPr>
          <w:lang w:val="it-IT"/>
        </w:rPr>
        <w:t xml:space="preserve"> </w:t>
      </w:r>
      <w:r w:rsidR="006238D9">
        <w:rPr>
          <w:lang w:val="it-IT"/>
        </w:rPr>
        <w:t xml:space="preserve">con un fatturato medio di €344mila </w:t>
      </w:r>
      <w:r w:rsidR="00B31650">
        <w:rPr>
          <w:lang w:val="it-IT"/>
        </w:rPr>
        <w:t xml:space="preserve">e </w:t>
      </w:r>
      <w:proofErr w:type="gramStart"/>
      <w:r w:rsidR="00B31650" w:rsidRPr="00B31650">
        <w:rPr>
          <w:lang w:val="it-IT"/>
        </w:rPr>
        <w:t xml:space="preserve">3,759,710 </w:t>
      </w:r>
      <w:r w:rsidR="00B31650">
        <w:rPr>
          <w:lang w:val="it-IT"/>
        </w:rPr>
        <w:t xml:space="preserve"> imprese</w:t>
      </w:r>
      <w:proofErr w:type="gramEnd"/>
      <w:r w:rsidR="00B31650">
        <w:rPr>
          <w:lang w:val="it-IT"/>
        </w:rPr>
        <w:t xml:space="preserve"> di costruzione in America al 31.12.2022</w:t>
      </w:r>
      <w:r w:rsidR="006238D9">
        <w:rPr>
          <w:lang w:val="it-IT"/>
        </w:rPr>
        <w:t xml:space="preserve"> con un fatturato medio di $625mila</w:t>
      </w:r>
      <w:r w:rsidR="006238D9">
        <w:rPr>
          <w:rStyle w:val="FootnoteReference"/>
          <w:lang w:val="it-IT"/>
        </w:rPr>
        <w:footnoteReference w:id="22"/>
      </w:r>
      <w:r w:rsidR="006238D9">
        <w:rPr>
          <w:lang w:val="it-IT"/>
        </w:rPr>
        <w:t xml:space="preserve"> </w:t>
      </w:r>
      <w:r w:rsidR="003077F6">
        <w:rPr>
          <w:lang w:val="it-IT"/>
        </w:rPr>
        <w:t xml:space="preserve">si assume l’offerta del mercato come non monopolistica e non caratterizzata da player di grandi entità. </w:t>
      </w:r>
    </w:p>
    <w:p w14:paraId="1776249E" w14:textId="2F349008" w:rsidR="00C60284" w:rsidRPr="00B31650" w:rsidRDefault="00C60284" w:rsidP="00B31650">
      <w:pPr>
        <w:rPr>
          <w:lang w:val="it-IT"/>
        </w:rPr>
      </w:pPr>
      <w:r>
        <w:rPr>
          <w:lang w:val="it-IT"/>
        </w:rPr>
        <w:t xml:space="preserve">Il problema alla base dell’offerta nel mercato immobiliare è la limitazione nella densità di costruzione. Le politiche di urbanizzazione impongono limiti alla densità abitativa, stringendo così la potenzialità del mercato. </w:t>
      </w:r>
    </w:p>
    <w:p w14:paraId="5993C5A3" w14:textId="1D6F59EF" w:rsidR="002933BF" w:rsidRDefault="002933BF" w:rsidP="002A0EA3">
      <w:pPr>
        <w:jc w:val="both"/>
        <w:rPr>
          <w:rFonts w:eastAsiaTheme="minorEastAsia"/>
          <w:lang w:val="it-IT"/>
        </w:rPr>
      </w:pPr>
      <w:r>
        <w:rPr>
          <w:rFonts w:eastAsiaTheme="minorEastAsia"/>
          <w:lang w:val="it-IT"/>
        </w:rPr>
        <w:t xml:space="preserve">I modelli economici più semplici che si sono occupati dell’argomento prevedono che la regolamentazione riduca l’elasticità dell’offerta di immobili. Questo comporta che ad un aumento della curva di domanda corrisponde un maggiore incremento dei prezzi e una minore crescita delle quantità rispetto allo stato precedente. La maggior parte dei paper di ricerca trovano una forte correlazione positiva tra la regolamentazione e il prezzo degli immobili, e una forte correlazione negativa fra la regolamentazione e il volume di nuove costruzioni. La regolamentazione riduce altresì la sensibilità della curva di offerta a shock della domanda, oltre che influenzare la dimensione delle aree metropolitane e le caratteristiche degli edifici ivi costruiti. </w:t>
      </w:r>
    </w:p>
    <w:p w14:paraId="0ED76B65" w14:textId="16535613" w:rsidR="00316BAC" w:rsidRDefault="002933BF" w:rsidP="002A0EA3">
      <w:pPr>
        <w:jc w:val="both"/>
        <w:rPr>
          <w:rFonts w:eastAsiaTheme="minorEastAsia"/>
          <w:lang w:val="it-IT"/>
        </w:rPr>
      </w:pPr>
      <w:r w:rsidRPr="00316BAC">
        <w:rPr>
          <w:rFonts w:eastAsiaTheme="minorEastAsia"/>
          <w:lang w:val="it-IT"/>
        </w:rPr>
        <w:t xml:space="preserve">Secondo William </w:t>
      </w:r>
      <w:proofErr w:type="spellStart"/>
      <w:r w:rsidRPr="00316BAC">
        <w:rPr>
          <w:rFonts w:eastAsiaTheme="minorEastAsia"/>
          <w:lang w:val="it-IT"/>
        </w:rPr>
        <w:t>Fischel</w:t>
      </w:r>
      <w:proofErr w:type="spellEnd"/>
      <w:r>
        <w:rPr>
          <w:rStyle w:val="FootnoteReference"/>
          <w:rFonts w:eastAsiaTheme="minorEastAsia"/>
          <w:lang w:val="it-IT"/>
        </w:rPr>
        <w:footnoteReference w:id="23"/>
      </w:r>
      <w:r w:rsidR="00316BAC">
        <w:rPr>
          <w:rFonts w:eastAsiaTheme="minorEastAsia"/>
          <w:lang w:val="it-IT"/>
        </w:rPr>
        <w:t xml:space="preserve"> i proprietari di immobili sono capaci di influenzare pesantemente la regolamentazione. Nel suo “</w:t>
      </w:r>
      <w:r w:rsidR="00316BAC">
        <w:rPr>
          <w:rFonts w:eastAsiaTheme="minorEastAsia"/>
          <w:i/>
          <w:lang w:val="it-IT"/>
        </w:rPr>
        <w:t xml:space="preserve">The </w:t>
      </w:r>
      <w:proofErr w:type="spellStart"/>
      <w:r w:rsidR="00316BAC">
        <w:rPr>
          <w:rFonts w:eastAsiaTheme="minorEastAsia"/>
          <w:i/>
          <w:lang w:val="it-IT"/>
        </w:rPr>
        <w:t>Homevoter</w:t>
      </w:r>
      <w:proofErr w:type="spellEnd"/>
      <w:r w:rsidR="00316BAC">
        <w:rPr>
          <w:rFonts w:eastAsiaTheme="minorEastAsia"/>
          <w:i/>
          <w:lang w:val="it-IT"/>
        </w:rPr>
        <w:t xml:space="preserve"> </w:t>
      </w:r>
      <w:proofErr w:type="spellStart"/>
      <w:r w:rsidR="00316BAC">
        <w:rPr>
          <w:rFonts w:eastAsiaTheme="minorEastAsia"/>
          <w:i/>
          <w:lang w:val="it-IT"/>
        </w:rPr>
        <w:t>Hypothesis</w:t>
      </w:r>
      <w:proofErr w:type="spellEnd"/>
      <w:r w:rsidR="00316BAC">
        <w:rPr>
          <w:rFonts w:eastAsiaTheme="minorEastAsia"/>
          <w:i/>
          <w:lang w:val="it-IT"/>
        </w:rPr>
        <w:t xml:space="preserve">” </w:t>
      </w:r>
      <w:r w:rsidR="00316BAC">
        <w:rPr>
          <w:rFonts w:eastAsiaTheme="minorEastAsia"/>
          <w:lang w:val="it-IT"/>
        </w:rPr>
        <w:t xml:space="preserve">sostiene che i proprietari di immobili hanno un </w:t>
      </w:r>
      <w:r w:rsidR="00316BAC">
        <w:rPr>
          <w:rFonts w:eastAsiaTheme="minorEastAsia"/>
          <w:lang w:val="it-IT"/>
        </w:rPr>
        <w:lastRenderedPageBreak/>
        <w:t xml:space="preserve">grande incentivo nell’accordarsi per fermare gli sviluppi immobiliari sfavorevoli per il valore della loro prima casa, dal momento che è il loro investimento principale. L’idea di </w:t>
      </w:r>
      <w:proofErr w:type="spellStart"/>
      <w:r w:rsidR="00316BAC">
        <w:rPr>
          <w:rFonts w:eastAsiaTheme="minorEastAsia"/>
          <w:lang w:val="it-IT"/>
        </w:rPr>
        <w:t>Fischel</w:t>
      </w:r>
      <w:proofErr w:type="spellEnd"/>
      <w:r w:rsidR="00316BAC">
        <w:rPr>
          <w:rFonts w:eastAsiaTheme="minorEastAsia"/>
          <w:lang w:val="it-IT"/>
        </w:rPr>
        <w:t xml:space="preserve"> è che i servizi e disservizi locali vengono capitalizzati nel prezzo degli immobili. </w:t>
      </w:r>
      <w:r w:rsidR="00316BAC" w:rsidRPr="00C31689">
        <w:rPr>
          <w:rFonts w:eastAsiaTheme="minorEastAsia"/>
          <w:lang w:val="it-IT"/>
        </w:rPr>
        <w:t>A su</w:t>
      </w:r>
      <w:r w:rsidR="00C31689" w:rsidRPr="00C31689">
        <w:rPr>
          <w:rFonts w:eastAsiaTheme="minorEastAsia"/>
          <w:lang w:val="it-IT"/>
        </w:rPr>
        <w:t xml:space="preserve">pporto di questa argomentazione, cita una serie di studi che evidenziano come i prezzi degli immobili con </w:t>
      </w:r>
      <w:r w:rsidR="00C31689">
        <w:rPr>
          <w:rFonts w:eastAsiaTheme="minorEastAsia"/>
          <w:lang w:val="it-IT"/>
        </w:rPr>
        <w:t xml:space="preserve">disamenità (ad esempio vicini a discariche, autostrade, linee ferroviarie…) riflettono prezzi minori rispetto a quelle in posizioni migliori. Come dice lui “la preoccupazione per il valore della casa è il driver principale del comportamento dell’amministrazione locale”. </w:t>
      </w:r>
    </w:p>
    <w:p w14:paraId="18BD4555" w14:textId="51AB5CB8" w:rsidR="00C31689" w:rsidRDefault="00C31689" w:rsidP="002A0EA3">
      <w:pPr>
        <w:jc w:val="both"/>
        <w:rPr>
          <w:rFonts w:eastAsiaTheme="minorEastAsia"/>
          <w:lang w:val="it-IT"/>
        </w:rPr>
      </w:pPr>
      <w:proofErr w:type="spellStart"/>
      <w:r>
        <w:rPr>
          <w:rFonts w:eastAsiaTheme="minorEastAsia"/>
          <w:lang w:val="it-IT"/>
        </w:rPr>
        <w:t>Ortalo</w:t>
      </w:r>
      <w:proofErr w:type="spellEnd"/>
      <w:r>
        <w:rPr>
          <w:rFonts w:eastAsiaTheme="minorEastAsia"/>
          <w:lang w:val="it-IT"/>
        </w:rPr>
        <w:t>-Magne e Prat</w:t>
      </w:r>
      <w:r>
        <w:rPr>
          <w:rStyle w:val="FootnoteReference"/>
          <w:rFonts w:eastAsiaTheme="minorEastAsia"/>
          <w:lang w:val="it-IT"/>
        </w:rPr>
        <w:footnoteReference w:id="24"/>
      </w:r>
      <w:r>
        <w:rPr>
          <w:rFonts w:eastAsiaTheme="minorEastAsia"/>
          <w:lang w:val="it-IT"/>
        </w:rPr>
        <w:t xml:space="preserve"> si chiedono se e sotto quali circostanze la politica economica locale incide sull’offerta di immobili e in che modo impatta sull’efficienza della stessa. Creano dunque un modello per capire chi partecipa al processo decisionale di sviluppo urbano, i driver dei partecipanti e il modo in cui le loro preferenze si traducono in regolamentazioni. Per fare ciò si avvalgono di un </w:t>
      </w:r>
      <w:r>
        <w:rPr>
          <w:rFonts w:eastAsiaTheme="minorEastAsia"/>
          <w:i/>
          <w:lang w:val="it-IT"/>
        </w:rPr>
        <w:t xml:space="preserve">modello di scelta </w:t>
      </w:r>
      <w:proofErr w:type="gramStart"/>
      <w:r>
        <w:rPr>
          <w:rFonts w:eastAsiaTheme="minorEastAsia"/>
          <w:i/>
          <w:lang w:val="it-IT"/>
        </w:rPr>
        <w:t>della location</w:t>
      </w:r>
      <w:proofErr w:type="gramEnd"/>
      <w:r>
        <w:rPr>
          <w:rFonts w:eastAsiaTheme="minorEastAsia"/>
          <w:lang w:val="it-IT"/>
        </w:rPr>
        <w:t xml:space="preserve"> per determinare chi vive in certe aree, un </w:t>
      </w:r>
      <w:r>
        <w:rPr>
          <w:rFonts w:eastAsiaTheme="minorEastAsia"/>
          <w:i/>
          <w:lang w:val="it-IT"/>
        </w:rPr>
        <w:t xml:space="preserve">modello di investimento immobiliare </w:t>
      </w:r>
      <w:r>
        <w:rPr>
          <w:rFonts w:eastAsiaTheme="minorEastAsia"/>
          <w:lang w:val="it-IT"/>
        </w:rPr>
        <w:t xml:space="preserve">per prevedere quali asset immobiliari i residenti hanno in proprietà, e un </w:t>
      </w:r>
      <w:r>
        <w:rPr>
          <w:rFonts w:eastAsiaTheme="minorEastAsia"/>
          <w:i/>
          <w:lang w:val="it-IT"/>
        </w:rPr>
        <w:t xml:space="preserve">modello di scelta collettiva </w:t>
      </w:r>
      <w:r>
        <w:rPr>
          <w:rFonts w:eastAsiaTheme="minorEastAsia"/>
          <w:lang w:val="it-IT"/>
        </w:rPr>
        <w:t xml:space="preserve">per mappare le identità e le preferenze dei residenti locali nelle politiche decisionali dello sviluppo urbano. L’obiettivo è quello di fare un primo passo verso una teoria che unisca tre elementi: il consumo abitativo, l’investimento immobiliare e la scelta collettiva di sviluppo urbano. </w:t>
      </w:r>
    </w:p>
    <w:p w14:paraId="06BC5D08" w14:textId="77777777" w:rsidR="00ED548A" w:rsidRPr="00ED548A" w:rsidRDefault="00206473" w:rsidP="00ED548A">
      <w:pPr>
        <w:jc w:val="both"/>
        <w:rPr>
          <w:rFonts w:eastAsiaTheme="minorEastAsia"/>
        </w:rPr>
      </w:pPr>
      <w:r>
        <w:rPr>
          <w:rFonts w:eastAsiaTheme="minorEastAsia"/>
          <w:lang w:val="it-IT"/>
        </w:rPr>
        <w:t>In particolare,</w:t>
      </w:r>
      <w:r w:rsidR="00ED548A">
        <w:rPr>
          <w:rFonts w:eastAsiaTheme="minorEastAsia"/>
          <w:lang w:val="it-IT"/>
        </w:rPr>
        <w:t xml:space="preserve"> quello che fanno è come segue. Le famiglie scelgono se vivere in campagna, dove pagano un affitto fisso e guadagnano uno stipendio normalizzato a zero, o in una città dove lo stipendio è una funzione della produttività totale della città che varia nel tempo e una componente fissa idiosincratica. In città le famiglie scelgono se comprare l’immobile in cui vivere o affittare. </w:t>
      </w:r>
      <w:r w:rsidR="00ED548A" w:rsidRPr="00ED548A">
        <w:rPr>
          <w:rFonts w:eastAsiaTheme="minorEastAsia"/>
        </w:rPr>
        <w:t>There is a</w:t>
      </w:r>
    </w:p>
    <w:p w14:paraId="0349BBD3" w14:textId="77777777" w:rsidR="00ED548A" w:rsidRPr="00ED548A" w:rsidRDefault="00ED548A" w:rsidP="00ED548A">
      <w:pPr>
        <w:jc w:val="both"/>
        <w:rPr>
          <w:rFonts w:eastAsiaTheme="minorEastAsia"/>
        </w:rPr>
      </w:pPr>
      <w:r w:rsidRPr="00ED548A">
        <w:rPr>
          <w:rFonts w:eastAsiaTheme="minorEastAsia"/>
        </w:rPr>
        <w:t>fixed premium between the return to investing in owner-occupied housing and the return to</w:t>
      </w:r>
    </w:p>
    <w:p w14:paraId="3EB73ECE" w14:textId="77777777" w:rsidR="00ED548A" w:rsidRPr="00ED548A" w:rsidRDefault="00ED548A" w:rsidP="00ED548A">
      <w:pPr>
        <w:jc w:val="both"/>
        <w:rPr>
          <w:rFonts w:eastAsiaTheme="minorEastAsia"/>
        </w:rPr>
      </w:pPr>
      <w:r w:rsidRPr="00ED548A">
        <w:rPr>
          <w:rFonts w:eastAsiaTheme="minorEastAsia"/>
        </w:rPr>
        <w:t xml:space="preserve">investing in rental housing, which is meant to reflect </w:t>
      </w:r>
      <w:proofErr w:type="gramStart"/>
      <w:r w:rsidRPr="00ED548A">
        <w:rPr>
          <w:rFonts w:eastAsiaTheme="minorEastAsia"/>
        </w:rPr>
        <w:t>a number of</w:t>
      </w:r>
      <w:proofErr w:type="gramEnd"/>
      <w:r w:rsidRPr="00ED548A">
        <w:rPr>
          <w:rFonts w:eastAsiaTheme="minorEastAsia"/>
        </w:rPr>
        <w:t xml:space="preserve"> factors including the nonpecuniary</w:t>
      </w:r>
    </w:p>
    <w:p w14:paraId="16F144AD" w14:textId="77777777" w:rsidR="00ED548A" w:rsidRPr="00ED548A" w:rsidRDefault="00ED548A" w:rsidP="00ED548A">
      <w:pPr>
        <w:jc w:val="both"/>
        <w:rPr>
          <w:rFonts w:eastAsiaTheme="minorEastAsia"/>
        </w:rPr>
      </w:pPr>
      <w:r w:rsidRPr="00ED548A">
        <w:rPr>
          <w:rFonts w:eastAsiaTheme="minorEastAsia"/>
        </w:rPr>
        <w:t>benefits of homeownership and its favorable tax treatment, the costs of managing</w:t>
      </w:r>
    </w:p>
    <w:p w14:paraId="40E4512D" w14:textId="77777777" w:rsidR="00ED548A" w:rsidRPr="00ED548A" w:rsidRDefault="00ED548A" w:rsidP="00ED548A">
      <w:pPr>
        <w:jc w:val="both"/>
        <w:rPr>
          <w:rFonts w:eastAsiaTheme="minorEastAsia"/>
        </w:rPr>
      </w:pPr>
      <w:r w:rsidRPr="00ED548A">
        <w:rPr>
          <w:rFonts w:eastAsiaTheme="minorEastAsia"/>
        </w:rPr>
        <w:t>rental property, and moral hazard in the rental market. Housing wealth is consumed at the end of</w:t>
      </w:r>
    </w:p>
    <w:p w14:paraId="120B0B42" w14:textId="77777777" w:rsidR="00ED548A" w:rsidRPr="00ED548A" w:rsidRDefault="00ED548A" w:rsidP="00ED548A">
      <w:pPr>
        <w:jc w:val="both"/>
        <w:rPr>
          <w:rFonts w:eastAsiaTheme="minorEastAsia"/>
        </w:rPr>
      </w:pPr>
      <w:r w:rsidRPr="00ED548A">
        <w:rPr>
          <w:rFonts w:eastAsiaTheme="minorEastAsia"/>
        </w:rPr>
        <w:t>an individual’s life. Thus, tenure choice is a tradeoff between the homeownership premium and</w:t>
      </w:r>
    </w:p>
    <w:p w14:paraId="4CBBA9A2" w14:textId="77777777" w:rsidR="00ED548A" w:rsidRPr="00ED548A" w:rsidRDefault="00ED548A" w:rsidP="00ED548A">
      <w:pPr>
        <w:jc w:val="both"/>
        <w:rPr>
          <w:rFonts w:eastAsiaTheme="minorEastAsia"/>
        </w:rPr>
      </w:pPr>
      <w:r w:rsidRPr="00ED548A">
        <w:rPr>
          <w:rFonts w:eastAsiaTheme="minorEastAsia"/>
        </w:rPr>
        <w:t>the price risk associated with homeownership.20 New construction in the city requires a building</w:t>
      </w:r>
    </w:p>
    <w:p w14:paraId="566790B4" w14:textId="77777777" w:rsidR="00ED548A" w:rsidRPr="00ED548A" w:rsidRDefault="00ED548A" w:rsidP="00ED548A">
      <w:pPr>
        <w:jc w:val="both"/>
        <w:rPr>
          <w:rFonts w:eastAsiaTheme="minorEastAsia"/>
        </w:rPr>
      </w:pPr>
      <w:r w:rsidRPr="00ED548A">
        <w:rPr>
          <w:rFonts w:eastAsiaTheme="minorEastAsia"/>
        </w:rPr>
        <w:t>permit, and the number of building permits allowed is decided by city residents through majority</w:t>
      </w:r>
    </w:p>
    <w:p w14:paraId="5E2735F6" w14:textId="77777777" w:rsidR="00ED548A" w:rsidRPr="00ED548A" w:rsidRDefault="00ED548A" w:rsidP="00ED548A">
      <w:pPr>
        <w:jc w:val="both"/>
        <w:rPr>
          <w:rFonts w:eastAsiaTheme="minorEastAsia"/>
        </w:rPr>
      </w:pPr>
      <w:r w:rsidRPr="00ED548A">
        <w:rPr>
          <w:rFonts w:eastAsiaTheme="minorEastAsia"/>
        </w:rPr>
        <w:t>voting. Permits are assigned to developers, who do not vote, and who must pay a fee for every</w:t>
      </w:r>
    </w:p>
    <w:p w14:paraId="214DFFC7" w14:textId="77777777" w:rsidR="00ED548A" w:rsidRPr="00ED548A" w:rsidRDefault="00ED548A" w:rsidP="00ED548A">
      <w:pPr>
        <w:jc w:val="both"/>
        <w:rPr>
          <w:rFonts w:eastAsiaTheme="minorEastAsia"/>
        </w:rPr>
      </w:pPr>
      <w:r w:rsidRPr="00ED548A">
        <w:rPr>
          <w:rFonts w:eastAsiaTheme="minorEastAsia"/>
        </w:rPr>
        <w:t>new permit. Aggregate permit fees paid are split equally among all city residents. These fees</w:t>
      </w:r>
    </w:p>
    <w:p w14:paraId="485A2DDD" w14:textId="77777777" w:rsidR="00ED548A" w:rsidRPr="00ED548A" w:rsidRDefault="00ED548A" w:rsidP="00ED548A">
      <w:pPr>
        <w:jc w:val="both"/>
        <w:rPr>
          <w:rFonts w:eastAsiaTheme="minorEastAsia"/>
        </w:rPr>
      </w:pPr>
      <w:r w:rsidRPr="00ED548A">
        <w:rPr>
          <w:rFonts w:eastAsiaTheme="minorEastAsia"/>
        </w:rPr>
        <w:t>can be interpreted as a rough proxy for the general economic gains that development can bring to</w:t>
      </w:r>
    </w:p>
    <w:p w14:paraId="469E5672" w14:textId="77777777" w:rsidR="00ED548A" w:rsidRPr="00ED548A" w:rsidRDefault="00ED548A" w:rsidP="00ED548A">
      <w:pPr>
        <w:jc w:val="both"/>
        <w:rPr>
          <w:rFonts w:eastAsiaTheme="minorEastAsia"/>
        </w:rPr>
      </w:pPr>
      <w:r w:rsidRPr="00ED548A">
        <w:rPr>
          <w:rFonts w:eastAsiaTheme="minorEastAsia"/>
        </w:rPr>
        <w:t>an area.</w:t>
      </w:r>
    </w:p>
    <w:p w14:paraId="4367211D" w14:textId="77777777" w:rsidR="00ED548A" w:rsidRPr="00ED548A" w:rsidRDefault="00ED548A" w:rsidP="00ED548A">
      <w:pPr>
        <w:jc w:val="both"/>
        <w:rPr>
          <w:rFonts w:eastAsiaTheme="minorEastAsia"/>
        </w:rPr>
      </w:pPr>
      <w:r w:rsidRPr="00ED548A">
        <w:rPr>
          <w:rFonts w:eastAsiaTheme="minorEastAsia"/>
        </w:rPr>
        <w:t>Not only do city residents receive a share of the total permit fees raised, but they also</w:t>
      </w:r>
    </w:p>
    <w:p w14:paraId="666E3D3C" w14:textId="77777777" w:rsidR="00ED548A" w:rsidRPr="00ED548A" w:rsidRDefault="00ED548A" w:rsidP="00ED548A">
      <w:pPr>
        <w:jc w:val="both"/>
        <w:rPr>
          <w:rFonts w:eastAsiaTheme="minorEastAsia"/>
        </w:rPr>
      </w:pPr>
      <w:r w:rsidRPr="00ED548A">
        <w:rPr>
          <w:rFonts w:eastAsiaTheme="minorEastAsia"/>
        </w:rPr>
        <w:t>benefit from new construction because the larger housing supply reduces future rents, and all city</w:t>
      </w:r>
    </w:p>
    <w:p w14:paraId="2E300F9F" w14:textId="77777777" w:rsidR="00ED548A" w:rsidRPr="00ED548A" w:rsidRDefault="00ED548A" w:rsidP="00ED548A">
      <w:pPr>
        <w:jc w:val="both"/>
        <w:rPr>
          <w:rFonts w:eastAsiaTheme="minorEastAsia"/>
        </w:rPr>
      </w:pPr>
      <w:r w:rsidRPr="00ED548A">
        <w:rPr>
          <w:rFonts w:eastAsiaTheme="minorEastAsia"/>
        </w:rPr>
        <w:t>residents must pay rent either to themselves or to absentee landlords. However, the reduction in</w:t>
      </w:r>
    </w:p>
    <w:p w14:paraId="04D42507" w14:textId="77777777" w:rsidR="00ED548A" w:rsidRPr="00ED548A" w:rsidRDefault="00ED548A" w:rsidP="00ED548A">
      <w:pPr>
        <w:jc w:val="both"/>
        <w:rPr>
          <w:rFonts w:eastAsiaTheme="minorEastAsia"/>
        </w:rPr>
      </w:pPr>
      <w:r w:rsidRPr="00ED548A">
        <w:rPr>
          <w:rFonts w:eastAsiaTheme="minorEastAsia"/>
        </w:rPr>
        <w:t xml:space="preserve">rents also </w:t>
      </w:r>
      <w:proofErr w:type="gramStart"/>
      <w:r w:rsidRPr="00ED548A">
        <w:rPr>
          <w:rFonts w:eastAsiaTheme="minorEastAsia"/>
        </w:rPr>
        <w:t>causes</w:t>
      </w:r>
      <w:proofErr w:type="gramEnd"/>
      <w:r w:rsidRPr="00ED548A">
        <w:rPr>
          <w:rFonts w:eastAsiaTheme="minorEastAsia"/>
        </w:rPr>
        <w:t xml:space="preserve"> house prices to fall, leading to lower end-of-period consumption. In the model,</w:t>
      </w:r>
    </w:p>
    <w:p w14:paraId="389B5DF3" w14:textId="77777777" w:rsidR="00ED548A" w:rsidRPr="00ED548A" w:rsidRDefault="00ED548A" w:rsidP="00ED548A">
      <w:pPr>
        <w:jc w:val="both"/>
        <w:rPr>
          <w:rFonts w:eastAsiaTheme="minorEastAsia"/>
        </w:rPr>
      </w:pPr>
      <w:r w:rsidRPr="00ED548A">
        <w:rPr>
          <w:rFonts w:eastAsiaTheme="minorEastAsia"/>
        </w:rPr>
        <w:lastRenderedPageBreak/>
        <w:t>construction does not occur if the net benefit accruing to the median voter is negative—i.e., if the</w:t>
      </w:r>
      <w:r>
        <w:rPr>
          <w:rFonts w:eastAsiaTheme="minorEastAsia"/>
        </w:rPr>
        <w:t xml:space="preserve"> </w:t>
      </w:r>
      <w:r w:rsidRPr="00ED548A">
        <w:rPr>
          <w:rFonts w:eastAsiaTheme="minorEastAsia"/>
        </w:rPr>
        <w:t>benefit owing to lower future rents and the voter’s share of permit fees is less than the decrease</w:t>
      </w:r>
    </w:p>
    <w:p w14:paraId="3B700A58" w14:textId="77777777" w:rsidR="00ED548A" w:rsidRPr="00ED548A" w:rsidRDefault="00ED548A" w:rsidP="00ED548A">
      <w:pPr>
        <w:jc w:val="both"/>
        <w:rPr>
          <w:rFonts w:eastAsiaTheme="minorEastAsia"/>
        </w:rPr>
      </w:pPr>
      <w:r w:rsidRPr="00ED548A">
        <w:rPr>
          <w:rFonts w:eastAsiaTheme="minorEastAsia"/>
        </w:rPr>
        <w:t>in final consumption through lower house prices.</w:t>
      </w:r>
    </w:p>
    <w:p w14:paraId="5449AE5B" w14:textId="77777777" w:rsidR="00ED548A" w:rsidRPr="00ED548A" w:rsidRDefault="00ED548A" w:rsidP="00ED548A">
      <w:pPr>
        <w:jc w:val="both"/>
        <w:rPr>
          <w:rFonts w:eastAsiaTheme="minorEastAsia"/>
        </w:rPr>
      </w:pPr>
      <w:r w:rsidRPr="00ED548A">
        <w:rPr>
          <w:rFonts w:eastAsiaTheme="minorEastAsia"/>
        </w:rPr>
        <w:t xml:space="preserve">Using this model, </w:t>
      </w:r>
      <w:proofErr w:type="spellStart"/>
      <w:r w:rsidRPr="00ED548A">
        <w:rPr>
          <w:rFonts w:eastAsiaTheme="minorEastAsia"/>
        </w:rPr>
        <w:t>Ortalo-Magne</w:t>
      </w:r>
      <w:proofErr w:type="spellEnd"/>
      <w:r w:rsidRPr="00ED548A">
        <w:rPr>
          <w:rFonts w:eastAsiaTheme="minorEastAsia"/>
        </w:rPr>
        <w:t xml:space="preserve"> and Prat show that a homeownership subsidy makes</w:t>
      </w:r>
    </w:p>
    <w:p w14:paraId="29B2B17A" w14:textId="77777777" w:rsidR="00ED548A" w:rsidRPr="00ED548A" w:rsidRDefault="00ED548A" w:rsidP="00ED548A">
      <w:pPr>
        <w:jc w:val="both"/>
        <w:rPr>
          <w:rFonts w:eastAsiaTheme="minorEastAsia"/>
        </w:rPr>
      </w:pPr>
      <w:r w:rsidRPr="00ED548A">
        <w:rPr>
          <w:rFonts w:eastAsiaTheme="minorEastAsia"/>
        </w:rPr>
        <w:t>homes less affordable. Absent the constraints on new construction, the subsidy would have no</w:t>
      </w:r>
    </w:p>
    <w:p w14:paraId="474F55AF" w14:textId="77777777" w:rsidR="00ED548A" w:rsidRPr="00ED548A" w:rsidRDefault="00ED548A" w:rsidP="00ED548A">
      <w:pPr>
        <w:jc w:val="both"/>
        <w:rPr>
          <w:rFonts w:eastAsiaTheme="minorEastAsia"/>
        </w:rPr>
      </w:pPr>
      <w:r w:rsidRPr="00ED548A">
        <w:rPr>
          <w:rFonts w:eastAsiaTheme="minorEastAsia"/>
        </w:rPr>
        <w:t>effect on affordability because it would be exactly offset by an increase in house prices.</w:t>
      </w:r>
    </w:p>
    <w:p w14:paraId="4996F589" w14:textId="77777777" w:rsidR="00ED548A" w:rsidRPr="00ED548A" w:rsidRDefault="00ED548A" w:rsidP="00ED548A">
      <w:pPr>
        <w:jc w:val="both"/>
        <w:rPr>
          <w:rFonts w:eastAsiaTheme="minorEastAsia"/>
        </w:rPr>
      </w:pPr>
      <w:r w:rsidRPr="00ED548A">
        <w:rPr>
          <w:rFonts w:eastAsiaTheme="minorEastAsia"/>
        </w:rPr>
        <w:t>However, the subsidy causes the median city resident to own more housing, thereby leading to</w:t>
      </w:r>
    </w:p>
    <w:p w14:paraId="3F56763D" w14:textId="77777777" w:rsidR="00ED548A" w:rsidRPr="00ED548A" w:rsidRDefault="00ED548A" w:rsidP="00ED548A">
      <w:pPr>
        <w:jc w:val="both"/>
        <w:rPr>
          <w:rFonts w:eastAsiaTheme="minorEastAsia"/>
        </w:rPr>
      </w:pPr>
      <w:r w:rsidRPr="00ED548A">
        <w:rPr>
          <w:rFonts w:eastAsiaTheme="minorEastAsia"/>
        </w:rPr>
        <w:t>more opposition to city growth. It is therefore the reduction in permitted new construction that</w:t>
      </w:r>
    </w:p>
    <w:p w14:paraId="7302EA75" w14:textId="77777777" w:rsidR="00ED548A" w:rsidRPr="00ED548A" w:rsidRDefault="00ED548A" w:rsidP="00ED548A">
      <w:pPr>
        <w:jc w:val="both"/>
        <w:rPr>
          <w:rFonts w:eastAsiaTheme="minorEastAsia"/>
        </w:rPr>
      </w:pPr>
      <w:r w:rsidRPr="00ED548A">
        <w:rPr>
          <w:rFonts w:eastAsiaTheme="minorEastAsia"/>
        </w:rPr>
        <w:t>raises equilibrium house prices and reduces affordability.</w:t>
      </w:r>
    </w:p>
    <w:p w14:paraId="51E984B6" w14:textId="77777777" w:rsidR="00ED548A" w:rsidRPr="00ED548A" w:rsidRDefault="00ED548A" w:rsidP="00ED548A">
      <w:pPr>
        <w:jc w:val="both"/>
        <w:rPr>
          <w:rFonts w:eastAsiaTheme="minorEastAsia"/>
        </w:rPr>
      </w:pPr>
      <w:r w:rsidRPr="00ED548A">
        <w:rPr>
          <w:rFonts w:eastAsiaTheme="minorEastAsia"/>
        </w:rPr>
        <w:t>In contrast to the homeownership subsidy, an increase in the permit fee boosts support for</w:t>
      </w:r>
    </w:p>
    <w:p w14:paraId="06951DDA" w14:textId="77777777" w:rsidR="00ED548A" w:rsidRPr="00ED548A" w:rsidRDefault="00ED548A" w:rsidP="00ED548A">
      <w:pPr>
        <w:jc w:val="both"/>
        <w:rPr>
          <w:rFonts w:eastAsiaTheme="minorEastAsia"/>
        </w:rPr>
      </w:pPr>
      <w:r w:rsidRPr="00ED548A">
        <w:rPr>
          <w:rFonts w:eastAsiaTheme="minorEastAsia"/>
        </w:rPr>
        <w:t>urban growth, leading to an increase in city size. The expansion of the housing supply reduces</w:t>
      </w:r>
    </w:p>
    <w:p w14:paraId="21A6DE9B" w14:textId="77777777" w:rsidR="00ED548A" w:rsidRPr="00ED548A" w:rsidRDefault="00ED548A" w:rsidP="00ED548A">
      <w:pPr>
        <w:jc w:val="both"/>
        <w:rPr>
          <w:rFonts w:eastAsiaTheme="minorEastAsia"/>
        </w:rPr>
      </w:pPr>
      <w:r w:rsidRPr="00ED548A">
        <w:rPr>
          <w:rFonts w:eastAsiaTheme="minorEastAsia"/>
        </w:rPr>
        <w:t xml:space="preserve">rents, making all city residents better off. This result illustrates </w:t>
      </w:r>
      <w:proofErr w:type="spellStart"/>
      <w:r w:rsidRPr="00ED548A">
        <w:rPr>
          <w:rFonts w:eastAsiaTheme="minorEastAsia"/>
        </w:rPr>
        <w:t>Fischel’s</w:t>
      </w:r>
      <w:proofErr w:type="spellEnd"/>
      <w:r w:rsidRPr="00ED548A">
        <w:rPr>
          <w:rFonts w:eastAsiaTheme="minorEastAsia"/>
        </w:rPr>
        <w:t xml:space="preserve"> argument that the more</w:t>
      </w:r>
    </w:p>
    <w:p w14:paraId="19B6B2CF" w14:textId="77777777" w:rsidR="00ED548A" w:rsidRPr="00ED548A" w:rsidRDefault="00ED548A" w:rsidP="00ED548A">
      <w:pPr>
        <w:jc w:val="both"/>
        <w:rPr>
          <w:rFonts w:eastAsiaTheme="minorEastAsia"/>
        </w:rPr>
      </w:pPr>
      <w:r w:rsidRPr="00ED548A">
        <w:rPr>
          <w:rFonts w:eastAsiaTheme="minorEastAsia"/>
        </w:rPr>
        <w:t>homeowners internalize the benefit from new construction, the less opposed to development they</w:t>
      </w:r>
    </w:p>
    <w:p w14:paraId="0166C056" w14:textId="5720396C" w:rsidR="00ED548A" w:rsidRPr="00AC74F5" w:rsidRDefault="00ED548A" w:rsidP="00ED548A">
      <w:pPr>
        <w:jc w:val="both"/>
        <w:rPr>
          <w:rFonts w:eastAsiaTheme="minorEastAsia"/>
          <w:lang w:val="it-IT"/>
        </w:rPr>
      </w:pPr>
      <w:proofErr w:type="spellStart"/>
      <w:r w:rsidRPr="00AC74F5">
        <w:rPr>
          <w:rFonts w:eastAsiaTheme="minorEastAsia"/>
          <w:lang w:val="it-IT"/>
        </w:rPr>
        <w:t>will</w:t>
      </w:r>
      <w:proofErr w:type="spellEnd"/>
      <w:r w:rsidRPr="00AC74F5">
        <w:rPr>
          <w:rFonts w:eastAsiaTheme="minorEastAsia"/>
          <w:lang w:val="it-IT"/>
        </w:rPr>
        <w:t xml:space="preserve"> be.</w:t>
      </w:r>
    </w:p>
    <w:p w14:paraId="00C5C794" w14:textId="697B8271" w:rsidR="007D5C79" w:rsidRDefault="007D5C79" w:rsidP="002A0EA3">
      <w:pPr>
        <w:jc w:val="both"/>
        <w:rPr>
          <w:rFonts w:eastAsiaTheme="minorEastAsia"/>
          <w:lang w:val="it-IT"/>
        </w:rPr>
      </w:pPr>
      <w:r w:rsidRPr="007D5C79">
        <w:rPr>
          <w:rFonts w:eastAsiaTheme="minorEastAsia"/>
          <w:highlight w:val="yellow"/>
          <w:lang w:val="it-IT"/>
        </w:rPr>
        <w:t>Mettere qui il modello teorico?</w:t>
      </w:r>
    </w:p>
    <w:p w14:paraId="42481493" w14:textId="3F084C71" w:rsidR="007D5C79" w:rsidRPr="001D0011" w:rsidRDefault="001D0011" w:rsidP="002A0EA3">
      <w:pPr>
        <w:jc w:val="both"/>
        <w:rPr>
          <w:rFonts w:eastAsiaTheme="minorEastAsia"/>
        </w:rPr>
      </w:pPr>
      <w:r w:rsidRPr="001D0011">
        <w:rPr>
          <w:rFonts w:eastAsiaTheme="minorEastAsia"/>
        </w:rPr>
        <w:t>+</w:t>
      </w:r>
    </w:p>
    <w:p w14:paraId="4EBDB533" w14:textId="5CBF9D20" w:rsidR="0033143C" w:rsidRPr="001D0011" w:rsidRDefault="001D0011" w:rsidP="002A0EA3">
      <w:pPr>
        <w:jc w:val="both"/>
        <w:rPr>
          <w:rFonts w:eastAsiaTheme="minorEastAsia"/>
          <w:lang w:val="it-IT"/>
        </w:rPr>
      </w:pPr>
      <w:proofErr w:type="spellStart"/>
      <w:r w:rsidRPr="001D0011">
        <w:rPr>
          <w:rFonts w:eastAsiaTheme="minorEastAsia"/>
        </w:rPr>
        <w:t>Brueckner</w:t>
      </w:r>
      <w:proofErr w:type="spellEnd"/>
      <w:r w:rsidRPr="001D0011">
        <w:rPr>
          <w:rFonts w:eastAsiaTheme="minorEastAsia"/>
        </w:rPr>
        <w:t xml:space="preserve"> J.K. (2009) Government Land Use Interventions: An Economic Analysis.</w:t>
      </w:r>
      <w:r>
        <w:rPr>
          <w:rFonts w:eastAsiaTheme="minorEastAsia"/>
        </w:rPr>
        <w:t xml:space="preserve"> </w:t>
      </w:r>
      <w:r w:rsidRPr="001D0011">
        <w:rPr>
          <w:rFonts w:eastAsiaTheme="minorEastAsia"/>
        </w:rPr>
        <w:sym w:font="Wingdings" w:char="F0E0"/>
      </w:r>
      <w:r w:rsidRPr="001D0011">
        <w:rPr>
          <w:rFonts w:eastAsiaTheme="minorEastAsia"/>
          <w:lang w:val="it-IT"/>
        </w:rPr>
        <w:t>teoria economica degli effetti della regolamentazione su house supply and house prices</w:t>
      </w:r>
    </w:p>
    <w:p w14:paraId="3DFBC252" w14:textId="78165E52" w:rsidR="001D0011" w:rsidRPr="00F96097" w:rsidRDefault="001D0011" w:rsidP="001D0011">
      <w:pPr>
        <w:pStyle w:val="Heading3"/>
        <w:rPr>
          <w:rFonts w:eastAsiaTheme="minorEastAsia"/>
          <w:lang w:val="it-IT"/>
        </w:rPr>
      </w:pPr>
      <w:r w:rsidRPr="00F96097">
        <w:rPr>
          <w:rFonts w:eastAsiaTheme="minorEastAsia"/>
          <w:lang w:val="it-IT"/>
        </w:rPr>
        <w:t>Liquidità</w:t>
      </w:r>
      <w:r w:rsidR="00D56AA9">
        <w:rPr>
          <w:rStyle w:val="FootnoteReference"/>
          <w:rFonts w:eastAsiaTheme="minorEastAsia"/>
        </w:rPr>
        <w:footnoteReference w:id="25"/>
      </w:r>
    </w:p>
    <w:p w14:paraId="39CBC0F3" w14:textId="18D6652C" w:rsidR="00764C29" w:rsidRDefault="00444DC6" w:rsidP="001D0011">
      <w:pPr>
        <w:rPr>
          <w:lang w:val="it-IT"/>
        </w:rPr>
      </w:pPr>
      <w:r>
        <w:rPr>
          <w:lang w:val="it-IT"/>
        </w:rPr>
        <w:t xml:space="preserve">L’illiquidità di mercato è un concetto elusivo. Non viene osservata in modo diretto e ha una serie di implicazioni che non possono essere catturate con una sola misura. Vi sono due differenti prospettive nello studio dell’illiquidità. </w:t>
      </w:r>
    </w:p>
    <w:p w14:paraId="73F40766" w14:textId="218F9391" w:rsidR="00444DC6" w:rsidRDefault="00444DC6" w:rsidP="001D0011">
      <w:pPr>
        <w:rPr>
          <w:lang w:val="it-IT"/>
        </w:rPr>
      </w:pPr>
      <w:r>
        <w:rPr>
          <w:lang w:val="it-IT"/>
        </w:rPr>
        <w:t xml:space="preserve">La prima asserisce che il rischio di liquidità nasce dall’asimmetria informativa. </w:t>
      </w:r>
      <w:r w:rsidR="000C34E7">
        <w:rPr>
          <w:lang w:val="it-IT"/>
        </w:rPr>
        <w:t>La seconda sostiene che il rischio di liquidità deriva dai costi di transazione elevati.</w:t>
      </w:r>
    </w:p>
    <w:p w14:paraId="1C1CD681" w14:textId="3078852E" w:rsidR="000C34E7" w:rsidRDefault="00940BE4" w:rsidP="001D0011">
      <w:pPr>
        <w:rPr>
          <w:lang w:val="it-IT"/>
        </w:rPr>
      </w:pPr>
      <w:r>
        <w:rPr>
          <w:lang w:val="it-IT"/>
        </w:rPr>
        <w:t>S</w:t>
      </w:r>
      <w:r w:rsidR="000C34E7">
        <w:rPr>
          <w:lang w:val="it-IT"/>
        </w:rPr>
        <w:t xml:space="preserve">ui mercati finanziari </w:t>
      </w:r>
      <w:r>
        <w:rPr>
          <w:lang w:val="it-IT"/>
        </w:rPr>
        <w:t>il prezzo si forma facendo incontrare offerta e domanda in ogni istante temporale e la sua misura è come i flussi degli ordini impattano sul prezzo.</w:t>
      </w:r>
    </w:p>
    <w:p w14:paraId="1A9A05BD" w14:textId="71A5DA46" w:rsidR="00940BE4" w:rsidRDefault="00940BE4" w:rsidP="001D0011">
      <w:pPr>
        <w:rPr>
          <w:lang w:val="it-IT"/>
        </w:rPr>
      </w:pPr>
      <w:r>
        <w:rPr>
          <w:lang w:val="it-IT"/>
        </w:rPr>
        <w:t xml:space="preserve">Invece i prezzi nel mercato RE si formano con la ricerca sequenziale di venditori e acquirenti insieme alla </w:t>
      </w:r>
      <w:proofErr w:type="spellStart"/>
      <w:r>
        <w:rPr>
          <w:lang w:val="it-IT"/>
        </w:rPr>
        <w:t>optimal</w:t>
      </w:r>
      <w:proofErr w:type="spellEnd"/>
      <w:r>
        <w:rPr>
          <w:lang w:val="it-IT"/>
        </w:rPr>
        <w:t xml:space="preserve"> </w:t>
      </w:r>
      <w:proofErr w:type="spellStart"/>
      <w:r>
        <w:rPr>
          <w:lang w:val="it-IT"/>
        </w:rPr>
        <w:t>stopping</w:t>
      </w:r>
      <w:proofErr w:type="spellEnd"/>
      <w:r>
        <w:rPr>
          <w:lang w:val="it-IT"/>
        </w:rPr>
        <w:t xml:space="preserve"> rule dei venditori; </w:t>
      </w:r>
      <w:proofErr w:type="gramStart"/>
      <w:r w:rsidR="00F924F6">
        <w:rPr>
          <w:lang w:val="it-IT"/>
        </w:rPr>
        <w:t>quindi</w:t>
      </w:r>
      <w:proofErr w:type="gramEnd"/>
      <w:r w:rsidR="00F924F6">
        <w:rPr>
          <w:lang w:val="it-IT"/>
        </w:rPr>
        <w:t xml:space="preserve"> l’illiquidità nel mercato RE non può essere misurata con l’impatto dei flussi degli ordini sui prezzi. </w:t>
      </w:r>
    </w:p>
    <w:p w14:paraId="02B39D34" w14:textId="5F4561E1" w:rsidR="00F924F6" w:rsidRDefault="00F924F6" w:rsidP="00F924F6">
      <w:pPr>
        <w:pStyle w:val="Heading4"/>
        <w:rPr>
          <w:lang w:val="it-IT"/>
        </w:rPr>
      </w:pPr>
      <w:r>
        <w:rPr>
          <w:lang w:val="it-IT"/>
        </w:rPr>
        <w:t>Misurare l’</w:t>
      </w:r>
      <w:proofErr w:type="spellStart"/>
      <w:r>
        <w:rPr>
          <w:lang w:val="it-IT"/>
        </w:rPr>
        <w:t>illiquidtà</w:t>
      </w:r>
      <w:proofErr w:type="spellEnd"/>
      <w:r>
        <w:rPr>
          <w:lang w:val="it-IT"/>
        </w:rPr>
        <w:t xml:space="preserve"> nel </w:t>
      </w:r>
      <w:proofErr w:type="spellStart"/>
      <w:r>
        <w:rPr>
          <w:lang w:val="it-IT"/>
        </w:rPr>
        <w:t>real</w:t>
      </w:r>
      <w:proofErr w:type="spellEnd"/>
      <w:r>
        <w:rPr>
          <w:lang w:val="it-IT"/>
        </w:rPr>
        <w:t xml:space="preserve"> estate</w:t>
      </w:r>
    </w:p>
    <w:p w14:paraId="03C8F013" w14:textId="4EB86A85" w:rsidR="00F924F6" w:rsidRPr="00F924F6" w:rsidRDefault="00B46BBA" w:rsidP="00F924F6">
      <w:pPr>
        <w:rPr>
          <w:lang w:val="it-IT"/>
        </w:rPr>
      </w:pPr>
      <w:r w:rsidRPr="00B46BBA">
        <w:rPr>
          <w:highlight w:val="yellow"/>
          <w:lang w:val="it-IT"/>
        </w:rPr>
        <w:t>Scrivere capitolo, quello sotto è un’altra parte</w:t>
      </w:r>
    </w:p>
    <w:p w14:paraId="3B693E3E" w14:textId="280A3264" w:rsidR="00673158" w:rsidRDefault="00764C29" w:rsidP="00764C29">
      <w:pPr>
        <w:jc w:val="both"/>
        <w:rPr>
          <w:lang w:val="it-IT"/>
        </w:rPr>
      </w:pPr>
      <w:r w:rsidRPr="00764C29">
        <w:rPr>
          <w:lang w:val="it-IT"/>
        </w:rPr>
        <w:t>Con gli occhi di un investit</w:t>
      </w:r>
      <w:r w:rsidR="009601AF">
        <w:rPr>
          <w:lang w:val="it-IT"/>
        </w:rPr>
        <w:t>o</w:t>
      </w:r>
      <w:r w:rsidRPr="00764C29">
        <w:rPr>
          <w:lang w:val="it-IT"/>
        </w:rPr>
        <w:t>re, il più grande motivo</w:t>
      </w:r>
      <w:r>
        <w:rPr>
          <w:lang w:val="it-IT"/>
        </w:rPr>
        <w:t xml:space="preserve"> di esitazione nell’operare nel mercato immobiliare è la cronica bassa liquidità. La prospettiva di dover aspettare mesi, se non anni, per vedere il proprio investimento liquidato terrorizza, se non addirittura repelle, una gran parte del capitale che circola nei mercati.</w:t>
      </w:r>
    </w:p>
    <w:p w14:paraId="53AF3CEF" w14:textId="05D43E03" w:rsidR="00673158" w:rsidRDefault="00673158" w:rsidP="00673158">
      <w:pPr>
        <w:jc w:val="center"/>
        <w:rPr>
          <w:lang w:val="it-IT"/>
        </w:rPr>
      </w:pPr>
      <w:r>
        <w:rPr>
          <w:noProof/>
        </w:rPr>
        <w:lastRenderedPageBreak/>
        <w:drawing>
          <wp:inline distT="0" distB="0" distL="0" distR="0" wp14:anchorId="5984AB02" wp14:editId="51A16316">
            <wp:extent cx="4572000" cy="2743200"/>
            <wp:effectExtent l="0" t="0" r="0" b="0"/>
            <wp:docPr id="14" name="Chart 14">
              <a:extLst xmlns:a="http://schemas.openxmlformats.org/drawingml/2006/main">
                <a:ext uri="{FF2B5EF4-FFF2-40B4-BE49-F238E27FC236}">
                  <a16:creationId xmlns:a16="http://schemas.microsoft.com/office/drawing/2014/main" id="{7A568193-EC74-40CD-92E8-467F373773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3A5BA1C7" w14:textId="411160F0" w:rsidR="00673158" w:rsidRPr="00673158" w:rsidRDefault="00673158" w:rsidP="00673158">
      <w:pPr>
        <w:jc w:val="center"/>
      </w:pPr>
      <w:proofErr w:type="spellStart"/>
      <w:r w:rsidRPr="00673158">
        <w:t>Figura</w:t>
      </w:r>
      <w:proofErr w:type="spellEnd"/>
      <w:r w:rsidRPr="00673158">
        <w:t xml:space="preserve"> 11: The median number of days property listings spend on the market in </w:t>
      </w:r>
      <w:r>
        <w:t>USA</w:t>
      </w:r>
      <w:r w:rsidRPr="00673158">
        <w:t xml:space="preserve"> </w:t>
      </w:r>
      <w:r>
        <w:t>observed monthly</w:t>
      </w:r>
      <w:r>
        <w:rPr>
          <w:rStyle w:val="FootnoteReference"/>
        </w:rPr>
        <w:footnoteReference w:id="26"/>
      </w:r>
    </w:p>
    <w:p w14:paraId="7676597D" w14:textId="04C17C70" w:rsidR="00764C29" w:rsidRDefault="00F96097" w:rsidP="00764C29">
      <w:pPr>
        <w:jc w:val="both"/>
        <w:rPr>
          <w:lang w:val="it-IT"/>
        </w:rPr>
      </w:pPr>
      <w:r>
        <w:rPr>
          <w:lang w:val="it-IT"/>
        </w:rPr>
        <w:t xml:space="preserve">L’idea di fondo è che il mercato immobiliare sia composto da beni eterogenei che vengono scambiati su mercati decentralizzati e che le transazioni su questo mercato sono spesso caratterizzate da ricerche costose e commissioni alte a livello assoluto. La tesi è che l’aspetto più importante della illiquidità del mercato immobiliare (sia residenziale che commerciale) siano il tempo di latenza per la vendita e l’incertezza riguardo la valutazione. </w:t>
      </w:r>
    </w:p>
    <w:p w14:paraId="54E20913" w14:textId="6C00BF3B" w:rsidR="00764C29" w:rsidRDefault="00764C29" w:rsidP="00764C29">
      <w:pPr>
        <w:jc w:val="both"/>
        <w:rPr>
          <w:lang w:val="it-IT"/>
        </w:rPr>
      </w:pPr>
      <w:r>
        <w:rPr>
          <w:lang w:val="it-IT"/>
        </w:rPr>
        <w:t>Vista l’eterogeneità e l’infrequenza con cui gli asset immobiliari vengono scambiati, è evidente che non è corretto applicare le usuali formule di stima di rischio e ricavo:</w:t>
      </w:r>
    </w:p>
    <w:bookmarkStart w:id="0" w:name="_Hlk97804545"/>
    <w:p w14:paraId="73B530E5" w14:textId="3C22F0C9" w:rsidR="00764C29" w:rsidRPr="00764C29" w:rsidRDefault="00BB5742" w:rsidP="00764C29">
      <w:pPr>
        <w:jc w:val="both"/>
        <w:rPr>
          <w:rFonts w:eastAsiaTheme="minorEastAsia"/>
          <w:lang w:val="it-IT"/>
        </w:rPr>
      </w:pPr>
      <m:oMathPara>
        <m:oMath>
          <m:acc>
            <m:accPr>
              <m:ctrlPr>
                <w:rPr>
                  <w:rFonts w:ascii="Cambria Math" w:hAnsi="Cambria Math"/>
                  <w:i/>
                  <w:lang w:val="it-IT"/>
                </w:rPr>
              </m:ctrlPr>
            </m:accPr>
            <m:e>
              <m:r>
                <w:rPr>
                  <w:rFonts w:ascii="Cambria Math" w:hAnsi="Cambria Math"/>
                  <w:lang w:val="it-IT"/>
                </w:rPr>
                <m:t>r</m:t>
              </m:r>
            </m:e>
          </m:acc>
          <m:r>
            <w:rPr>
              <w:rFonts w:ascii="Cambria Math" w:hAnsi="Cambria Math"/>
              <w:lang w:val="it-IT"/>
            </w:rPr>
            <m:t>=</m:t>
          </m:r>
          <m:f>
            <m:fPr>
              <m:ctrlPr>
                <w:rPr>
                  <w:rFonts w:ascii="Cambria Math" w:hAnsi="Cambria Math"/>
                  <w:i/>
                  <w:lang w:val="it-IT"/>
                </w:rPr>
              </m:ctrlPr>
            </m:fPr>
            <m:num>
              <m:nary>
                <m:naryPr>
                  <m:chr m:val="∑"/>
                  <m:limLoc m:val="undOvr"/>
                  <m:ctrlPr>
                    <w:rPr>
                      <w:rFonts w:ascii="Cambria Math" w:hAnsi="Cambria Math"/>
                      <w:i/>
                      <w:lang w:val="it-IT"/>
                    </w:rPr>
                  </m:ctrlPr>
                </m:naryPr>
                <m:sub>
                  <m:r>
                    <w:rPr>
                      <w:rFonts w:ascii="Cambria Math" w:hAnsi="Cambria Math"/>
                      <w:lang w:val="it-IT"/>
                    </w:rPr>
                    <m:t>i=1</m:t>
                  </m:r>
                </m:sub>
                <m:sup>
                  <m:r>
                    <w:rPr>
                      <w:rFonts w:ascii="Cambria Math" w:hAnsi="Cambria Math"/>
                      <w:lang w:val="it-IT"/>
                    </w:rPr>
                    <m:t>T</m:t>
                  </m:r>
                </m:sup>
                <m:e>
                  <m:d>
                    <m:dPr>
                      <m:ctrlPr>
                        <w:rPr>
                          <w:rFonts w:ascii="Cambria Math" w:hAnsi="Cambria Math"/>
                          <w:i/>
                          <w:lang w:val="it-IT"/>
                        </w:rPr>
                      </m:ctrlPr>
                    </m:dPr>
                    <m:e>
                      <m:f>
                        <m:fPr>
                          <m:ctrlPr>
                            <w:rPr>
                              <w:rFonts w:ascii="Cambria Math" w:hAnsi="Cambria Math"/>
                              <w:i/>
                              <w:lang w:val="it-IT"/>
                            </w:rPr>
                          </m:ctrlPr>
                        </m:fPr>
                        <m:num>
                          <m:sSub>
                            <m:sSubPr>
                              <m:ctrlPr>
                                <w:rPr>
                                  <w:rFonts w:ascii="Cambria Math" w:hAnsi="Cambria Math"/>
                                  <w:i/>
                                  <w:lang w:val="it-IT"/>
                                </w:rPr>
                              </m:ctrlPr>
                            </m:sSubPr>
                            <m:e>
                              <m:r>
                                <w:rPr>
                                  <w:rFonts w:ascii="Cambria Math" w:hAnsi="Cambria Math"/>
                                  <w:lang w:val="it-IT"/>
                                </w:rPr>
                                <m:t>P</m:t>
                              </m:r>
                            </m:e>
                            <m:sub>
                              <m:r>
                                <w:rPr>
                                  <w:rFonts w:ascii="Cambria Math" w:hAnsi="Cambria Math"/>
                                  <w:lang w:val="it-IT"/>
                                </w:rPr>
                                <m:t>i</m:t>
                              </m:r>
                            </m:sub>
                          </m:sSub>
                          <m:r>
                            <w:rPr>
                              <w:rFonts w:ascii="Cambria Math" w:hAnsi="Cambria Math"/>
                              <w:lang w:val="it-IT"/>
                            </w:rPr>
                            <m:t>-</m:t>
                          </m:r>
                          <m:sSub>
                            <m:sSubPr>
                              <m:ctrlPr>
                                <w:rPr>
                                  <w:rFonts w:ascii="Cambria Math" w:hAnsi="Cambria Math"/>
                                  <w:i/>
                                  <w:lang w:val="it-IT"/>
                                </w:rPr>
                              </m:ctrlPr>
                            </m:sSubPr>
                            <m:e>
                              <m:r>
                                <w:rPr>
                                  <w:rFonts w:ascii="Cambria Math" w:hAnsi="Cambria Math"/>
                                  <w:lang w:val="it-IT"/>
                                </w:rPr>
                                <m:t>P</m:t>
                              </m:r>
                            </m:e>
                            <m:sub>
                              <m:r>
                                <w:rPr>
                                  <w:rFonts w:ascii="Cambria Math" w:hAnsi="Cambria Math"/>
                                  <w:lang w:val="it-IT"/>
                                </w:rPr>
                                <m:t>i-1</m:t>
                              </m:r>
                            </m:sub>
                          </m:sSub>
                        </m:num>
                        <m:den>
                          <m:sSub>
                            <m:sSubPr>
                              <m:ctrlPr>
                                <w:rPr>
                                  <w:rFonts w:ascii="Cambria Math" w:hAnsi="Cambria Math"/>
                                  <w:i/>
                                  <w:lang w:val="it-IT"/>
                                </w:rPr>
                              </m:ctrlPr>
                            </m:sSubPr>
                            <m:e>
                              <m:r>
                                <w:rPr>
                                  <w:rFonts w:ascii="Cambria Math" w:hAnsi="Cambria Math"/>
                                  <w:lang w:val="it-IT"/>
                                </w:rPr>
                                <m:t>P</m:t>
                              </m:r>
                            </m:e>
                            <m:sub>
                              <m:r>
                                <w:rPr>
                                  <w:rFonts w:ascii="Cambria Math" w:hAnsi="Cambria Math"/>
                                  <w:lang w:val="it-IT"/>
                                </w:rPr>
                                <m:t>i-1</m:t>
                              </m:r>
                            </m:sub>
                          </m:sSub>
                        </m:den>
                      </m:f>
                    </m:e>
                  </m:d>
                </m:e>
              </m:nary>
            </m:num>
            <m:den>
              <m:r>
                <w:rPr>
                  <w:rFonts w:ascii="Cambria Math" w:hAnsi="Cambria Math"/>
                  <w:lang w:val="it-IT"/>
                </w:rPr>
                <m:t>T</m:t>
              </m:r>
            </m:den>
          </m:f>
        </m:oMath>
      </m:oMathPara>
      <w:bookmarkEnd w:id="0"/>
    </w:p>
    <w:p w14:paraId="19D6127F" w14:textId="04478741" w:rsidR="00764C29" w:rsidRPr="00764C29" w:rsidRDefault="00BB5742" w:rsidP="00764C29">
      <w:pPr>
        <w:jc w:val="both"/>
        <w:rPr>
          <w:rFonts w:eastAsiaTheme="minorEastAsia"/>
          <w:lang w:val="it-IT"/>
        </w:rPr>
      </w:pPr>
      <m:oMathPara>
        <m:oMath>
          <m:acc>
            <m:accPr>
              <m:ctrlPr>
                <w:rPr>
                  <w:rFonts w:ascii="Cambria Math" w:eastAsiaTheme="minorEastAsia" w:hAnsi="Cambria Math"/>
                  <w:i/>
                  <w:lang w:val="it-IT"/>
                </w:rPr>
              </m:ctrlPr>
            </m:accPr>
            <m:e>
              <m:r>
                <w:rPr>
                  <w:rFonts w:ascii="Cambria Math" w:eastAsiaTheme="minorEastAsia" w:hAnsi="Cambria Math"/>
                  <w:lang w:val="it-IT"/>
                </w:rPr>
                <m:t>σ</m:t>
              </m:r>
            </m:e>
          </m:acc>
          <m:r>
            <w:rPr>
              <w:rFonts w:ascii="Cambria Math" w:eastAsiaTheme="minorEastAsia" w:hAnsi="Cambria Math"/>
              <w:lang w:val="it-IT"/>
            </w:rPr>
            <m:t>=</m:t>
          </m:r>
          <m:rad>
            <m:radPr>
              <m:degHide m:val="1"/>
              <m:ctrlPr>
                <w:rPr>
                  <w:rFonts w:ascii="Cambria Math" w:eastAsiaTheme="minorEastAsia" w:hAnsi="Cambria Math"/>
                  <w:i/>
                  <w:lang w:val="it-IT"/>
                </w:rPr>
              </m:ctrlPr>
            </m:radPr>
            <m:deg/>
            <m:e>
              <m:f>
                <m:fPr>
                  <m:ctrlPr>
                    <w:rPr>
                      <w:rFonts w:ascii="Cambria Math" w:eastAsiaTheme="minorEastAsia" w:hAnsi="Cambria Math"/>
                      <w:i/>
                      <w:lang w:val="it-IT"/>
                    </w:rPr>
                  </m:ctrlPr>
                </m:fPr>
                <m:num>
                  <m:nary>
                    <m:naryPr>
                      <m:chr m:val="∑"/>
                      <m:limLoc m:val="undOvr"/>
                      <m:ctrlPr>
                        <w:rPr>
                          <w:rFonts w:ascii="Cambria Math" w:eastAsiaTheme="minorEastAsia" w:hAnsi="Cambria Math"/>
                          <w:i/>
                          <w:lang w:val="it-IT"/>
                        </w:rPr>
                      </m:ctrlPr>
                    </m:naryPr>
                    <m:sub>
                      <m:r>
                        <w:rPr>
                          <w:rFonts w:ascii="Cambria Math" w:eastAsiaTheme="minorEastAsia" w:hAnsi="Cambria Math"/>
                          <w:lang w:val="it-IT"/>
                        </w:rPr>
                        <m:t>i=1</m:t>
                      </m:r>
                    </m:sub>
                    <m:sup>
                      <m:r>
                        <w:rPr>
                          <w:rFonts w:ascii="Cambria Math" w:eastAsiaTheme="minorEastAsia" w:hAnsi="Cambria Math"/>
                          <w:lang w:val="it-IT"/>
                        </w:rPr>
                        <m:t>T</m:t>
                      </m:r>
                    </m:sup>
                    <m:e>
                      <m:sSup>
                        <m:sSupPr>
                          <m:ctrlPr>
                            <w:rPr>
                              <w:rFonts w:ascii="Cambria Math" w:eastAsiaTheme="minorEastAsia" w:hAnsi="Cambria Math"/>
                              <w:i/>
                              <w:lang w:val="it-IT"/>
                            </w:rPr>
                          </m:ctrlPr>
                        </m:sSupPr>
                        <m:e>
                          <m:d>
                            <m:dPr>
                              <m:ctrlPr>
                                <w:rPr>
                                  <w:rFonts w:ascii="Cambria Math" w:eastAsiaTheme="minorEastAsia" w:hAnsi="Cambria Math"/>
                                  <w:i/>
                                  <w:lang w:val="it-IT"/>
                                </w:rPr>
                              </m:ctrlPr>
                            </m:dPr>
                            <m:e>
                              <m:f>
                                <m:fPr>
                                  <m:ctrlPr>
                                    <w:rPr>
                                      <w:rFonts w:ascii="Cambria Math" w:eastAsiaTheme="minorEastAsia" w:hAnsi="Cambria Math"/>
                                      <w:i/>
                                      <w:lang w:val="it-IT"/>
                                    </w:rPr>
                                  </m:ctrlPr>
                                </m:fPr>
                                <m:num>
                                  <m:sSub>
                                    <m:sSubPr>
                                      <m:ctrlPr>
                                        <w:rPr>
                                          <w:rFonts w:ascii="Cambria Math" w:eastAsiaTheme="minorEastAsia" w:hAnsi="Cambria Math"/>
                                          <w:i/>
                                          <w:lang w:val="it-IT"/>
                                        </w:rPr>
                                      </m:ctrlPr>
                                    </m:sSubPr>
                                    <m:e>
                                      <m:r>
                                        <w:rPr>
                                          <w:rFonts w:ascii="Cambria Math" w:eastAsiaTheme="minorEastAsia" w:hAnsi="Cambria Math"/>
                                          <w:lang w:val="it-IT"/>
                                        </w:rPr>
                                        <m:t>P</m:t>
                                      </m:r>
                                    </m:e>
                                    <m:sub>
                                      <m:r>
                                        <w:rPr>
                                          <w:rFonts w:ascii="Cambria Math" w:eastAsiaTheme="minorEastAsia" w:hAnsi="Cambria Math"/>
                                          <w:lang w:val="it-IT"/>
                                        </w:rPr>
                                        <m:t>i</m:t>
                                      </m:r>
                                    </m:sub>
                                  </m:sSub>
                                  <m:r>
                                    <w:rPr>
                                      <w:rFonts w:ascii="Cambria Math" w:eastAsiaTheme="minorEastAsia" w:hAnsi="Cambria Math"/>
                                      <w:lang w:val="it-IT"/>
                                    </w:rPr>
                                    <m:t>-</m:t>
                                  </m:r>
                                  <m:sSub>
                                    <m:sSubPr>
                                      <m:ctrlPr>
                                        <w:rPr>
                                          <w:rFonts w:ascii="Cambria Math" w:eastAsiaTheme="minorEastAsia" w:hAnsi="Cambria Math"/>
                                          <w:i/>
                                          <w:lang w:val="it-IT"/>
                                        </w:rPr>
                                      </m:ctrlPr>
                                    </m:sSubPr>
                                    <m:e>
                                      <m:r>
                                        <w:rPr>
                                          <w:rFonts w:ascii="Cambria Math" w:eastAsiaTheme="minorEastAsia" w:hAnsi="Cambria Math"/>
                                          <w:lang w:val="it-IT"/>
                                        </w:rPr>
                                        <m:t>P</m:t>
                                      </m:r>
                                    </m:e>
                                    <m:sub>
                                      <m:r>
                                        <w:rPr>
                                          <w:rFonts w:ascii="Cambria Math" w:eastAsiaTheme="minorEastAsia" w:hAnsi="Cambria Math"/>
                                          <w:lang w:val="it-IT"/>
                                        </w:rPr>
                                        <m:t>i-1</m:t>
                                      </m:r>
                                    </m:sub>
                                  </m:sSub>
                                </m:num>
                                <m:den>
                                  <m:sSub>
                                    <m:sSubPr>
                                      <m:ctrlPr>
                                        <w:rPr>
                                          <w:rFonts w:ascii="Cambria Math" w:eastAsiaTheme="minorEastAsia" w:hAnsi="Cambria Math"/>
                                          <w:i/>
                                          <w:lang w:val="it-IT"/>
                                        </w:rPr>
                                      </m:ctrlPr>
                                    </m:sSubPr>
                                    <m:e>
                                      <m:r>
                                        <w:rPr>
                                          <w:rFonts w:ascii="Cambria Math" w:eastAsiaTheme="minorEastAsia" w:hAnsi="Cambria Math"/>
                                          <w:lang w:val="it-IT"/>
                                        </w:rPr>
                                        <m:t>P</m:t>
                                      </m:r>
                                    </m:e>
                                    <m:sub>
                                      <m:r>
                                        <w:rPr>
                                          <w:rFonts w:ascii="Cambria Math" w:eastAsiaTheme="minorEastAsia" w:hAnsi="Cambria Math"/>
                                          <w:lang w:val="it-IT"/>
                                        </w:rPr>
                                        <m:t>i-1</m:t>
                                      </m:r>
                                    </m:sub>
                                  </m:sSub>
                                </m:den>
                              </m:f>
                              <m:r>
                                <w:rPr>
                                  <w:rFonts w:ascii="Cambria Math" w:eastAsiaTheme="minorEastAsia" w:hAnsi="Cambria Math"/>
                                  <w:lang w:val="it-IT"/>
                                </w:rPr>
                                <m:t>-</m:t>
                              </m:r>
                              <m:acc>
                                <m:accPr>
                                  <m:ctrlPr>
                                    <w:rPr>
                                      <w:rFonts w:ascii="Cambria Math" w:eastAsiaTheme="minorEastAsia" w:hAnsi="Cambria Math"/>
                                      <w:i/>
                                      <w:lang w:val="it-IT"/>
                                    </w:rPr>
                                  </m:ctrlPr>
                                </m:accPr>
                                <m:e>
                                  <m:r>
                                    <w:rPr>
                                      <w:rFonts w:ascii="Cambria Math" w:eastAsiaTheme="minorEastAsia" w:hAnsi="Cambria Math"/>
                                      <w:lang w:val="it-IT"/>
                                    </w:rPr>
                                    <m:t>r</m:t>
                                  </m:r>
                                </m:e>
                              </m:acc>
                            </m:e>
                          </m:d>
                        </m:e>
                        <m:sup>
                          <m:r>
                            <w:rPr>
                              <w:rFonts w:ascii="Cambria Math" w:eastAsiaTheme="minorEastAsia" w:hAnsi="Cambria Math"/>
                              <w:lang w:val="it-IT"/>
                            </w:rPr>
                            <m:t>2</m:t>
                          </m:r>
                        </m:sup>
                      </m:sSup>
                    </m:e>
                  </m:nary>
                </m:num>
                <m:den>
                  <m:r>
                    <w:rPr>
                      <w:rFonts w:ascii="Cambria Math" w:eastAsiaTheme="minorEastAsia" w:hAnsi="Cambria Math"/>
                      <w:lang w:val="it-IT"/>
                    </w:rPr>
                    <m:t>T</m:t>
                  </m:r>
                </m:den>
              </m:f>
            </m:e>
          </m:rad>
        </m:oMath>
      </m:oMathPara>
    </w:p>
    <w:p w14:paraId="2C7E1B8D" w14:textId="6A9CDFAC" w:rsidR="00764C29" w:rsidRDefault="00764C29" w:rsidP="00764C29">
      <w:pPr>
        <w:jc w:val="center"/>
        <w:rPr>
          <w:rFonts w:eastAsiaTheme="minorEastAsia"/>
          <w:i/>
          <w:lang w:val="it-IT"/>
        </w:rPr>
      </w:pPr>
      <w:r w:rsidRPr="00764C29">
        <w:rPr>
          <w:rFonts w:eastAsiaTheme="minorEastAsia"/>
          <w:i/>
          <w:lang w:val="it-IT"/>
        </w:rPr>
        <w:t>Equazione (6)</w:t>
      </w:r>
    </w:p>
    <w:p w14:paraId="1F3DB7A2" w14:textId="0EB84270" w:rsidR="00764C29" w:rsidRDefault="00764C29" w:rsidP="00764C29">
      <w:pPr>
        <w:jc w:val="both"/>
        <w:rPr>
          <w:rFonts w:eastAsiaTheme="minorEastAsia"/>
          <w:lang w:val="it-IT"/>
        </w:rPr>
      </w:pPr>
      <w:r>
        <w:rPr>
          <w:rFonts w:eastAsiaTheme="minorEastAsia"/>
          <w:lang w:val="it-IT"/>
        </w:rPr>
        <w:t xml:space="preserve">È necessario tener conto delle peculiarità del mercato RE per poter arrivare ad una stima ex-ante esatta dei </w:t>
      </w:r>
      <w:r w:rsidR="009601AF">
        <w:rPr>
          <w:rFonts w:eastAsiaTheme="minorEastAsia"/>
          <w:lang w:val="it-IT"/>
        </w:rPr>
        <w:t>rendimenti</w:t>
      </w:r>
      <w:r>
        <w:rPr>
          <w:rFonts w:eastAsiaTheme="minorEastAsia"/>
          <w:lang w:val="it-IT"/>
        </w:rPr>
        <w:t xml:space="preserve"> attesi.</w:t>
      </w:r>
    </w:p>
    <w:p w14:paraId="6F99D542" w14:textId="43776553" w:rsidR="00D561EE" w:rsidRDefault="00D561EE" w:rsidP="00764C29">
      <w:pPr>
        <w:jc w:val="both"/>
        <w:rPr>
          <w:rFonts w:eastAsiaTheme="minorEastAsia"/>
          <w:lang w:val="it-IT"/>
        </w:rPr>
      </w:pPr>
      <w:r w:rsidRPr="00D561EE">
        <w:rPr>
          <w:rFonts w:eastAsiaTheme="minorEastAsia"/>
          <w:lang w:val="it-IT"/>
        </w:rPr>
        <w:t>Il processo di scambio nel mercato immobiliare è molto diverso da quello dei mercati di capitali relativi alle azioni societarie. È facile capirlo in modo intuitivo: il tempo che intercorre tra la messa in vendita di un immobile e il suo effettivo acquisto dalla controparte è molto maggiore rispetto a quello delle azioni sul mercato dei capitali.</w:t>
      </w:r>
    </w:p>
    <w:p w14:paraId="04D740E0" w14:textId="5676ECE7" w:rsidR="007B0DD3" w:rsidRDefault="007B0DD3" w:rsidP="00764C29">
      <w:pPr>
        <w:jc w:val="both"/>
        <w:rPr>
          <w:rFonts w:eastAsiaTheme="minorEastAsia"/>
          <w:lang w:val="it-IT"/>
        </w:rPr>
      </w:pPr>
      <w:proofErr w:type="gramStart"/>
      <w:r>
        <w:rPr>
          <w:rFonts w:eastAsiaTheme="minorEastAsia"/>
          <w:lang w:val="it-IT"/>
        </w:rPr>
        <w:t>Infatti</w:t>
      </w:r>
      <w:proofErr w:type="gramEnd"/>
      <w:r>
        <w:rPr>
          <w:rFonts w:eastAsiaTheme="minorEastAsia"/>
          <w:lang w:val="it-IT"/>
        </w:rPr>
        <w:t xml:space="preserve"> le correnti metodologie di apprezzamento immobiliare si basano puramente sui prezzi storici e sul tempo in cui avvengono le transazion</w:t>
      </w:r>
      <w:r w:rsidR="00D561EE">
        <w:rPr>
          <w:rFonts w:eastAsiaTheme="minorEastAsia"/>
          <w:lang w:val="it-IT"/>
        </w:rPr>
        <w:t>i</w:t>
      </w:r>
      <w:r>
        <w:rPr>
          <w:rFonts w:eastAsiaTheme="minorEastAsia"/>
          <w:lang w:val="it-IT"/>
        </w:rPr>
        <w:t xml:space="preserve">, che però non tengono conto dell’incertezza del marketing </w:t>
      </w:r>
      <w:proofErr w:type="spellStart"/>
      <w:r>
        <w:rPr>
          <w:rFonts w:eastAsiaTheme="minorEastAsia"/>
          <w:lang w:val="it-IT"/>
        </w:rPr>
        <w:t>period</w:t>
      </w:r>
      <w:proofErr w:type="spellEnd"/>
      <w:r>
        <w:rPr>
          <w:rFonts w:eastAsiaTheme="minorEastAsia"/>
          <w:lang w:val="it-IT"/>
        </w:rPr>
        <w:t>.</w:t>
      </w:r>
    </w:p>
    <w:p w14:paraId="2B6B4C43" w14:textId="209355FF" w:rsidR="00D561EE" w:rsidRDefault="00D561EE" w:rsidP="00D561EE">
      <w:pPr>
        <w:pStyle w:val="Heading4"/>
        <w:rPr>
          <w:rFonts w:eastAsiaTheme="minorEastAsia"/>
          <w:lang w:val="it-IT"/>
        </w:rPr>
      </w:pPr>
      <w:r>
        <w:rPr>
          <w:rFonts w:eastAsiaTheme="minorEastAsia"/>
          <w:lang w:val="it-IT"/>
        </w:rPr>
        <w:t>La dinamica dei prezzi nel RE</w:t>
      </w:r>
    </w:p>
    <w:p w14:paraId="4F56CCD6" w14:textId="2E8CB019" w:rsidR="00D561EE" w:rsidRDefault="00D623DD" w:rsidP="00D561EE">
      <w:pPr>
        <w:rPr>
          <w:rFonts w:eastAsiaTheme="minorEastAsia"/>
          <w:lang w:val="it-IT"/>
        </w:rPr>
      </w:pPr>
      <w:r>
        <w:rPr>
          <w:lang w:val="it-IT"/>
        </w:rPr>
        <w:t xml:space="preserve">La Figura X illustra la dinamica del prezzo nel mercato immobiliare che è caratterizzato da un peculiare processo di transazione. </w:t>
      </w:r>
      <m:oMath>
        <m:sSub>
          <m:sSubPr>
            <m:ctrlPr>
              <w:rPr>
                <w:rFonts w:ascii="Cambria Math" w:hAnsi="Cambria Math"/>
                <w:i/>
                <w:lang w:val="it-IT"/>
              </w:rPr>
            </m:ctrlPr>
          </m:sSubPr>
          <m:e>
            <m:r>
              <w:rPr>
                <w:rFonts w:ascii="Cambria Math" w:hAnsi="Cambria Math"/>
                <w:lang w:val="it-IT"/>
              </w:rPr>
              <m:t>T</m:t>
            </m:r>
          </m:e>
          <m:sub>
            <m:r>
              <w:rPr>
                <w:rFonts w:ascii="Cambria Math" w:hAnsi="Cambria Math"/>
                <w:lang w:val="it-IT"/>
              </w:rPr>
              <m:t>H</m:t>
            </m:r>
          </m:sub>
        </m:sSub>
      </m:oMath>
      <w:r>
        <w:rPr>
          <w:rFonts w:eastAsiaTheme="minorEastAsia"/>
          <w:lang w:val="it-IT"/>
        </w:rPr>
        <w:t xml:space="preserve"> è l’istante in cui l’immobile viene messo sul mercato e </w:t>
      </w:r>
      <m:oMath>
        <m:acc>
          <m:accPr>
            <m:chr m:val="̃"/>
            <m:ctrlPr>
              <w:rPr>
                <w:rFonts w:ascii="Cambria Math" w:eastAsiaTheme="minorEastAsia" w:hAnsi="Cambria Math"/>
                <w:i/>
                <w:lang w:val="it-IT"/>
              </w:rPr>
            </m:ctrlPr>
          </m:accPr>
          <m:e>
            <m:r>
              <w:rPr>
                <w:rFonts w:ascii="Cambria Math" w:eastAsiaTheme="minorEastAsia" w:hAnsi="Cambria Math"/>
                <w:lang w:val="it-IT"/>
              </w:rPr>
              <m:t>t</m:t>
            </m:r>
          </m:e>
        </m:acc>
      </m:oMath>
      <w:r>
        <w:rPr>
          <w:rFonts w:eastAsiaTheme="minorEastAsia"/>
          <w:lang w:val="it-IT"/>
        </w:rPr>
        <w:t xml:space="preserve"> è un potenziale </w:t>
      </w:r>
      <w:r>
        <w:rPr>
          <w:rFonts w:eastAsiaTheme="minorEastAsia"/>
          <w:lang w:val="it-IT"/>
        </w:rPr>
        <w:lastRenderedPageBreak/>
        <w:t xml:space="preserve">marketing period con prezzo di vendita </w:t>
      </w:r>
      <m:oMath>
        <m:acc>
          <m:accPr>
            <m:chr m:val="̃"/>
            <m:ctrlPr>
              <w:rPr>
                <w:rFonts w:ascii="Cambria Math" w:eastAsiaTheme="minorEastAsia" w:hAnsi="Cambria Math"/>
                <w:i/>
                <w:lang w:val="it-IT"/>
              </w:rPr>
            </m:ctrlPr>
          </m:accPr>
          <m:e>
            <m:sSub>
              <m:sSubPr>
                <m:ctrlPr>
                  <w:rPr>
                    <w:rFonts w:ascii="Cambria Math" w:eastAsiaTheme="minorEastAsia" w:hAnsi="Cambria Math"/>
                    <w:i/>
                    <w:lang w:val="it-IT"/>
                  </w:rPr>
                </m:ctrlPr>
              </m:sSubPr>
              <m:e>
                <m:r>
                  <w:rPr>
                    <w:rFonts w:ascii="Cambria Math" w:eastAsiaTheme="minorEastAsia" w:hAnsi="Cambria Math"/>
                    <w:lang w:val="it-IT"/>
                  </w:rPr>
                  <m:t>P</m:t>
                </m:r>
              </m:e>
              <m:sub>
                <m:sSub>
                  <m:sSubPr>
                    <m:ctrlPr>
                      <w:rPr>
                        <w:rFonts w:ascii="Cambria Math" w:eastAsiaTheme="minorEastAsia" w:hAnsi="Cambria Math"/>
                        <w:i/>
                        <w:lang w:val="it-IT"/>
                      </w:rPr>
                    </m:ctrlPr>
                  </m:sSubPr>
                  <m:e>
                    <m:r>
                      <w:rPr>
                        <w:rFonts w:ascii="Cambria Math" w:eastAsiaTheme="minorEastAsia" w:hAnsi="Cambria Math"/>
                        <w:lang w:val="it-IT"/>
                      </w:rPr>
                      <m:t>T</m:t>
                    </m:r>
                  </m:e>
                  <m:sub>
                    <m:r>
                      <w:rPr>
                        <w:rFonts w:ascii="Cambria Math" w:eastAsiaTheme="minorEastAsia" w:hAnsi="Cambria Math"/>
                        <w:lang w:val="it-IT"/>
                      </w:rPr>
                      <m:t>H</m:t>
                    </m:r>
                  </m:sub>
                </m:sSub>
                <m:r>
                  <w:rPr>
                    <w:rFonts w:ascii="Cambria Math" w:eastAsiaTheme="minorEastAsia" w:hAnsi="Cambria Math"/>
                    <w:lang w:val="it-IT"/>
                  </w:rPr>
                  <m:t>+</m:t>
                </m:r>
                <m:acc>
                  <m:accPr>
                    <m:chr m:val="̃"/>
                    <m:ctrlPr>
                      <w:rPr>
                        <w:rFonts w:ascii="Cambria Math" w:eastAsiaTheme="minorEastAsia" w:hAnsi="Cambria Math"/>
                        <w:i/>
                        <w:lang w:val="it-IT"/>
                      </w:rPr>
                    </m:ctrlPr>
                  </m:accPr>
                  <m:e>
                    <m:r>
                      <w:rPr>
                        <w:rFonts w:ascii="Cambria Math" w:eastAsiaTheme="minorEastAsia" w:hAnsi="Cambria Math"/>
                        <w:lang w:val="it-IT"/>
                      </w:rPr>
                      <m:t>t</m:t>
                    </m:r>
                  </m:e>
                </m:acc>
              </m:sub>
            </m:sSub>
          </m:e>
        </m:acc>
        <m:r>
          <w:rPr>
            <w:rFonts w:ascii="Cambria Math" w:eastAsiaTheme="minorEastAsia" w:hAnsi="Cambria Math"/>
            <w:lang w:val="it-IT"/>
          </w:rPr>
          <m:t xml:space="preserve"> (</m:t>
        </m:r>
        <m:acc>
          <m:accPr>
            <m:chr m:val="̃"/>
            <m:ctrlPr>
              <w:rPr>
                <w:rFonts w:ascii="Cambria Math" w:eastAsiaTheme="minorEastAsia" w:hAnsi="Cambria Math"/>
                <w:i/>
                <w:lang w:val="it-IT"/>
              </w:rPr>
            </m:ctrlPr>
          </m:accPr>
          <m:e>
            <m:r>
              <w:rPr>
                <w:rFonts w:ascii="Cambria Math" w:eastAsiaTheme="minorEastAsia" w:hAnsi="Cambria Math"/>
                <w:lang w:val="it-IT"/>
              </w:rPr>
              <m:t>t</m:t>
            </m:r>
          </m:e>
        </m:acc>
        <m:r>
          <w:rPr>
            <w:rFonts w:ascii="Cambria Math" w:eastAsiaTheme="minorEastAsia" w:hAnsi="Cambria Math"/>
            <w:lang w:val="it-IT"/>
          </w:rPr>
          <m:t>=</m:t>
        </m:r>
        <m:sSub>
          <m:sSubPr>
            <m:ctrlPr>
              <w:rPr>
                <w:rFonts w:ascii="Cambria Math" w:eastAsiaTheme="minorEastAsia" w:hAnsi="Cambria Math"/>
                <w:i/>
                <w:lang w:val="it-IT"/>
              </w:rPr>
            </m:ctrlPr>
          </m:sSubPr>
          <m:e>
            <m:r>
              <w:rPr>
                <w:rFonts w:ascii="Cambria Math" w:eastAsiaTheme="minorEastAsia" w:hAnsi="Cambria Math"/>
                <w:lang w:val="it-IT"/>
              </w:rPr>
              <m:t>t</m:t>
            </m:r>
          </m:e>
          <m:sub>
            <m:r>
              <w:rPr>
                <w:rFonts w:ascii="Cambria Math" w:eastAsiaTheme="minorEastAsia" w:hAnsi="Cambria Math"/>
                <w:lang w:val="it-IT"/>
              </w:rPr>
              <m:t>1</m:t>
            </m:r>
          </m:sub>
        </m:sSub>
        <m:r>
          <w:rPr>
            <w:rFonts w:ascii="Cambria Math" w:eastAsiaTheme="minorEastAsia" w:hAnsi="Cambria Math"/>
            <w:lang w:val="it-IT"/>
          </w:rPr>
          <m:t>,</m:t>
        </m:r>
        <m:sSub>
          <m:sSubPr>
            <m:ctrlPr>
              <w:rPr>
                <w:rFonts w:ascii="Cambria Math" w:eastAsiaTheme="minorEastAsia" w:hAnsi="Cambria Math"/>
                <w:i/>
                <w:lang w:val="it-IT"/>
              </w:rPr>
            </m:ctrlPr>
          </m:sSubPr>
          <m:e>
            <m:r>
              <w:rPr>
                <w:rFonts w:ascii="Cambria Math" w:eastAsiaTheme="minorEastAsia" w:hAnsi="Cambria Math"/>
                <w:lang w:val="it-IT"/>
              </w:rPr>
              <m:t>t</m:t>
            </m:r>
          </m:e>
          <m:sub>
            <m:r>
              <w:rPr>
                <w:rFonts w:ascii="Cambria Math" w:eastAsiaTheme="minorEastAsia" w:hAnsi="Cambria Math"/>
                <w:lang w:val="it-IT"/>
              </w:rPr>
              <m:t>2</m:t>
            </m:r>
          </m:sub>
        </m:sSub>
        <m:r>
          <w:rPr>
            <w:rFonts w:ascii="Cambria Math" w:eastAsiaTheme="minorEastAsia" w:hAnsi="Cambria Math"/>
            <w:lang w:val="it-IT"/>
          </w:rPr>
          <m:t>…)</m:t>
        </m:r>
      </m:oMath>
      <w:r w:rsidR="004478D2">
        <w:rPr>
          <w:rFonts w:eastAsiaTheme="minorEastAsia"/>
          <w:lang w:val="it-IT"/>
        </w:rPr>
        <w:t xml:space="preserve">. In ogni periodo </w:t>
      </w:r>
      <m:oMath>
        <m:sSub>
          <m:sSubPr>
            <m:ctrlPr>
              <w:rPr>
                <w:rFonts w:ascii="Cambria Math" w:eastAsiaTheme="minorEastAsia" w:hAnsi="Cambria Math"/>
                <w:i/>
                <w:lang w:val="it-IT"/>
              </w:rPr>
            </m:ctrlPr>
          </m:sSubPr>
          <m:e>
            <m:r>
              <w:rPr>
                <w:rFonts w:ascii="Cambria Math" w:eastAsiaTheme="minorEastAsia" w:hAnsi="Cambria Math"/>
                <w:lang w:val="it-IT"/>
              </w:rPr>
              <m:t>t</m:t>
            </m:r>
          </m:e>
          <m:sub>
            <m:r>
              <w:rPr>
                <w:rFonts w:ascii="Cambria Math" w:eastAsiaTheme="minorEastAsia" w:hAnsi="Cambria Math"/>
                <w:lang w:val="it-IT"/>
              </w:rPr>
              <m:t>i</m:t>
            </m:r>
          </m:sub>
        </m:sSub>
      </m:oMath>
      <w:r w:rsidR="004478D2">
        <w:rPr>
          <w:rFonts w:eastAsiaTheme="minorEastAsia"/>
          <w:lang w:val="it-IT"/>
        </w:rPr>
        <w:t xml:space="preserve"> il venditore dell’immobile si vede arrivare dei potenziali acquirenti con tempistiche e offerte casuali. Vi sono due possibilità:</w:t>
      </w:r>
    </w:p>
    <w:p w14:paraId="664C7DE8" w14:textId="595A4653" w:rsidR="004478D2" w:rsidRDefault="004478D2" w:rsidP="004478D2">
      <w:pPr>
        <w:pStyle w:val="ListParagraph"/>
        <w:numPr>
          <w:ilvl w:val="0"/>
          <w:numId w:val="21"/>
        </w:numPr>
        <w:rPr>
          <w:lang w:val="it-IT"/>
        </w:rPr>
      </w:pPr>
      <w:r>
        <w:rPr>
          <w:lang w:val="it-IT"/>
        </w:rPr>
        <w:t>Il venditore accetta l’offerta poiché il prezzo offerto è maggiore o uguale del prezzo minimo accettabile (</w:t>
      </w:r>
      <w:r w:rsidRPr="004478D2">
        <w:rPr>
          <w:lang w:val="it-IT"/>
        </w:rPr>
        <w:t xml:space="preserve">MAP – Minimum </w:t>
      </w:r>
      <w:proofErr w:type="spellStart"/>
      <w:r w:rsidRPr="004478D2">
        <w:rPr>
          <w:lang w:val="it-IT"/>
        </w:rPr>
        <w:t>Acceptable</w:t>
      </w:r>
      <w:proofErr w:type="spellEnd"/>
      <w:r w:rsidRPr="004478D2">
        <w:rPr>
          <w:lang w:val="it-IT"/>
        </w:rPr>
        <w:t xml:space="preserve"> Price)</w:t>
      </w:r>
      <w:r>
        <w:rPr>
          <w:lang w:val="it-IT"/>
        </w:rPr>
        <w:t>;</w:t>
      </w:r>
    </w:p>
    <w:p w14:paraId="7748B391" w14:textId="2DA0C7BD" w:rsidR="004478D2" w:rsidRDefault="004478D2" w:rsidP="004478D2">
      <w:pPr>
        <w:pStyle w:val="ListParagraph"/>
        <w:numPr>
          <w:ilvl w:val="0"/>
          <w:numId w:val="21"/>
        </w:numPr>
        <w:rPr>
          <w:lang w:val="it-IT"/>
        </w:rPr>
      </w:pPr>
      <w:r>
        <w:rPr>
          <w:lang w:val="it-IT"/>
        </w:rPr>
        <w:t xml:space="preserve">Il venditore non accetta poiché il prezzo offerto è inferiore al MAP o semplicemente perché non vi è alcun acquirente. </w:t>
      </w:r>
    </w:p>
    <w:p w14:paraId="0C1B7302" w14:textId="263E6833" w:rsidR="004478D2" w:rsidRDefault="004478D2" w:rsidP="004478D2">
      <w:pPr>
        <w:jc w:val="center"/>
        <w:rPr>
          <w:lang w:val="it-IT"/>
        </w:rPr>
      </w:pPr>
      <w:r>
        <w:rPr>
          <w:noProof/>
        </w:rPr>
        <w:drawing>
          <wp:inline distT="0" distB="0" distL="0" distR="0" wp14:anchorId="37D946CC" wp14:editId="79F4250D">
            <wp:extent cx="3987800" cy="228600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rotWithShape="1">
                    <a:blip r:embed="rId21"/>
                    <a:srcRect l="10583" t="54554" r="24258" b="15956"/>
                    <a:stretch/>
                  </pic:blipFill>
                  <pic:spPr bwMode="auto">
                    <a:xfrm>
                      <a:off x="0" y="0"/>
                      <a:ext cx="3987800" cy="2286000"/>
                    </a:xfrm>
                    <a:prstGeom prst="rect">
                      <a:avLst/>
                    </a:prstGeom>
                    <a:ln>
                      <a:noFill/>
                    </a:ln>
                    <a:extLst>
                      <a:ext uri="{53640926-AAD7-44D8-BBD7-CCE9431645EC}">
                        <a14:shadowObscured xmlns:a14="http://schemas.microsoft.com/office/drawing/2010/main"/>
                      </a:ext>
                    </a:extLst>
                  </pic:spPr>
                </pic:pic>
              </a:graphicData>
            </a:graphic>
          </wp:inline>
        </w:drawing>
      </w:r>
    </w:p>
    <w:p w14:paraId="43302566" w14:textId="1236284B" w:rsidR="004478D2" w:rsidRDefault="004478D2" w:rsidP="004478D2">
      <w:pPr>
        <w:jc w:val="center"/>
        <w:rPr>
          <w:lang w:val="it-IT"/>
        </w:rPr>
      </w:pPr>
      <w:r>
        <w:rPr>
          <w:lang w:val="it-IT"/>
        </w:rPr>
        <w:t>Figura 12</w:t>
      </w:r>
    </w:p>
    <w:p w14:paraId="42B46D7C" w14:textId="39D72768" w:rsidR="001D4D9C" w:rsidRPr="004478D2" w:rsidRDefault="001D4D9C" w:rsidP="001D4D9C">
      <w:pPr>
        <w:pStyle w:val="Heading4"/>
        <w:rPr>
          <w:lang w:val="it-IT"/>
        </w:rPr>
      </w:pPr>
      <w:proofErr w:type="spellStart"/>
      <w:r>
        <w:rPr>
          <w:lang w:val="it-IT"/>
        </w:rPr>
        <w:t>Liquidity</w:t>
      </w:r>
      <w:proofErr w:type="spellEnd"/>
      <w:r>
        <w:rPr>
          <w:lang w:val="it-IT"/>
        </w:rPr>
        <w:t xml:space="preserve"> </w:t>
      </w:r>
      <w:proofErr w:type="spellStart"/>
      <w:r>
        <w:rPr>
          <w:lang w:val="it-IT"/>
        </w:rPr>
        <w:t>Bias</w:t>
      </w:r>
      <w:proofErr w:type="spellEnd"/>
    </w:p>
    <w:p w14:paraId="4F29E7AC" w14:textId="7E5B0B7A" w:rsidR="007B0DD3" w:rsidRDefault="007B0DD3" w:rsidP="00764C29">
      <w:pPr>
        <w:jc w:val="both"/>
        <w:rPr>
          <w:rFonts w:eastAsiaTheme="minorEastAsia"/>
          <w:lang w:val="it-IT"/>
        </w:rPr>
      </w:pPr>
      <w:r>
        <w:rPr>
          <w:rFonts w:eastAsiaTheme="minorEastAsia"/>
          <w:lang w:val="it-IT"/>
        </w:rPr>
        <w:t xml:space="preserve">L’incertezza del marketing </w:t>
      </w:r>
      <w:proofErr w:type="spellStart"/>
      <w:r>
        <w:rPr>
          <w:rFonts w:eastAsiaTheme="minorEastAsia"/>
          <w:lang w:val="it-IT"/>
        </w:rPr>
        <w:t>period</w:t>
      </w:r>
      <w:proofErr w:type="spellEnd"/>
      <w:r>
        <w:rPr>
          <w:rFonts w:eastAsiaTheme="minorEastAsia"/>
          <w:lang w:val="it-IT"/>
        </w:rPr>
        <w:t xml:space="preserve"> aggiunge un rischio per l’investitore. Per esempio, si supponga che ci siano </w:t>
      </w:r>
      <m:oMath>
        <m:r>
          <w:rPr>
            <w:rFonts w:ascii="Cambria Math" w:eastAsiaTheme="minorEastAsia" w:hAnsi="Cambria Math"/>
            <w:lang w:val="it-IT"/>
          </w:rPr>
          <m:t>N</m:t>
        </m:r>
      </m:oMath>
      <w:r>
        <w:rPr>
          <w:rFonts w:eastAsiaTheme="minorEastAsia"/>
          <w:lang w:val="it-IT"/>
        </w:rPr>
        <w:t xml:space="preserve"> immobili simili fra loro messi in vendita sul mercato al tempo </w:t>
      </w:r>
      <w:bookmarkStart w:id="1" w:name="_Hlk97805012"/>
      <m:oMath>
        <m:sSub>
          <m:sSubPr>
            <m:ctrlPr>
              <w:rPr>
                <w:rFonts w:ascii="Cambria Math" w:eastAsiaTheme="minorEastAsia" w:hAnsi="Cambria Math"/>
                <w:i/>
                <w:lang w:val="it-IT"/>
              </w:rPr>
            </m:ctrlPr>
          </m:sSubPr>
          <m:e>
            <m:r>
              <w:rPr>
                <w:rFonts w:ascii="Cambria Math" w:eastAsiaTheme="minorEastAsia" w:hAnsi="Cambria Math"/>
                <w:lang w:val="it-IT"/>
              </w:rPr>
              <m:t>T</m:t>
            </m:r>
          </m:e>
          <m:sub>
            <m:r>
              <w:rPr>
                <w:rFonts w:ascii="Cambria Math" w:eastAsiaTheme="minorEastAsia" w:hAnsi="Cambria Math"/>
                <w:lang w:val="it-IT"/>
              </w:rPr>
              <m:t>H</m:t>
            </m:r>
          </m:sub>
        </m:sSub>
      </m:oMath>
      <w:bookmarkEnd w:id="1"/>
      <w:r>
        <w:rPr>
          <w:rFonts w:eastAsiaTheme="minorEastAsia"/>
          <w:lang w:val="it-IT"/>
        </w:rPr>
        <w:t>. Per semplicità, si assuma che questi asset fossero stati comprati al tempo 0</w:t>
      </w:r>
      <w:r w:rsidR="000372C9">
        <w:rPr>
          <w:rFonts w:eastAsiaTheme="minorEastAsia"/>
          <w:lang w:val="it-IT"/>
        </w:rPr>
        <w:t xml:space="preserve"> con un prezzo di €1. In ogni istante </w:t>
      </w:r>
      <m:oMath>
        <m:r>
          <w:rPr>
            <w:rFonts w:ascii="Cambria Math" w:eastAsiaTheme="minorEastAsia" w:hAnsi="Cambria Math"/>
            <w:lang w:val="it-IT"/>
          </w:rPr>
          <m:t>T</m:t>
        </m:r>
      </m:oMath>
      <w:r w:rsidR="000372C9">
        <w:rPr>
          <w:rFonts w:eastAsiaTheme="minorEastAsia"/>
          <w:lang w:val="it-IT"/>
        </w:rPr>
        <w:t xml:space="preserve">, si ipotizza che vi siano </w:t>
      </w:r>
      <m:oMath>
        <m:r>
          <w:rPr>
            <w:rFonts w:ascii="Cambria Math" w:eastAsiaTheme="minorEastAsia" w:hAnsi="Cambria Math"/>
            <w:lang w:val="it-IT"/>
          </w:rPr>
          <m:t>n (n≤N)</m:t>
        </m:r>
      </m:oMath>
      <w:r w:rsidR="000372C9">
        <w:rPr>
          <w:rFonts w:eastAsiaTheme="minorEastAsia"/>
          <w:lang w:val="it-IT"/>
        </w:rPr>
        <w:t xml:space="preserve"> asset che vengono venduti. La Figura 1</w:t>
      </w:r>
      <w:r w:rsidR="00673158">
        <w:rPr>
          <w:rFonts w:eastAsiaTheme="minorEastAsia"/>
          <w:lang w:val="it-IT"/>
        </w:rPr>
        <w:t>2</w:t>
      </w:r>
      <w:r w:rsidR="000372C9">
        <w:rPr>
          <w:rFonts w:eastAsiaTheme="minorEastAsia"/>
          <w:lang w:val="it-IT"/>
        </w:rPr>
        <w:t xml:space="preserve"> illustra l’istante e il prezzo di vendita:</w:t>
      </w:r>
    </w:p>
    <w:p w14:paraId="0ABCB170" w14:textId="3F9E4586" w:rsidR="000372C9" w:rsidRDefault="000372C9" w:rsidP="000372C9">
      <w:pPr>
        <w:jc w:val="center"/>
        <w:rPr>
          <w:rFonts w:eastAsiaTheme="minorEastAsia"/>
          <w:lang w:val="it-IT"/>
        </w:rPr>
      </w:pPr>
      <w:r>
        <w:rPr>
          <w:noProof/>
        </w:rPr>
        <w:drawing>
          <wp:inline distT="0" distB="0" distL="0" distR="0" wp14:anchorId="34B52D7D" wp14:editId="52CDE385">
            <wp:extent cx="4654550" cy="18986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9234" t="58731" r="14712" b="16776"/>
                    <a:stretch/>
                  </pic:blipFill>
                  <pic:spPr bwMode="auto">
                    <a:xfrm>
                      <a:off x="0" y="0"/>
                      <a:ext cx="4654550" cy="1898650"/>
                    </a:xfrm>
                    <a:prstGeom prst="rect">
                      <a:avLst/>
                    </a:prstGeom>
                    <a:ln>
                      <a:noFill/>
                    </a:ln>
                    <a:extLst>
                      <a:ext uri="{53640926-AAD7-44D8-BBD7-CCE9431645EC}">
                        <a14:shadowObscured xmlns:a14="http://schemas.microsoft.com/office/drawing/2010/main"/>
                      </a:ext>
                    </a:extLst>
                  </pic:spPr>
                </pic:pic>
              </a:graphicData>
            </a:graphic>
          </wp:inline>
        </w:drawing>
      </w:r>
    </w:p>
    <w:p w14:paraId="35DE0836" w14:textId="0DE1EFEE" w:rsidR="000372C9" w:rsidRDefault="000372C9" w:rsidP="000372C9">
      <w:pPr>
        <w:jc w:val="center"/>
        <w:rPr>
          <w:rFonts w:eastAsiaTheme="minorEastAsia"/>
          <w:lang w:val="it-IT"/>
        </w:rPr>
      </w:pPr>
      <w:r>
        <w:rPr>
          <w:rFonts w:eastAsiaTheme="minorEastAsia"/>
          <w:lang w:val="it-IT"/>
        </w:rPr>
        <w:t>Figura 1</w:t>
      </w:r>
      <w:r w:rsidR="004478D2">
        <w:rPr>
          <w:rFonts w:eastAsiaTheme="minorEastAsia"/>
          <w:lang w:val="it-IT"/>
        </w:rPr>
        <w:t xml:space="preserve">3 </w:t>
      </w:r>
    </w:p>
    <w:p w14:paraId="0E234C8E" w14:textId="667E0AD5" w:rsidR="000372C9" w:rsidRDefault="00DF6560" w:rsidP="000372C9">
      <w:pPr>
        <w:jc w:val="both"/>
        <w:rPr>
          <w:rFonts w:eastAsiaTheme="minorEastAsia"/>
          <w:lang w:val="it-IT"/>
        </w:rPr>
      </w:pPr>
      <w:r>
        <w:rPr>
          <w:rFonts w:eastAsiaTheme="minorEastAsia"/>
          <w:lang w:val="it-IT"/>
        </w:rPr>
        <w:t xml:space="preserve">Al tempo </w:t>
      </w:r>
      <m:oMath>
        <m:sSub>
          <m:sSubPr>
            <m:ctrlPr>
              <w:rPr>
                <w:rFonts w:ascii="Cambria Math" w:eastAsiaTheme="minorEastAsia" w:hAnsi="Cambria Math"/>
                <w:i/>
                <w:lang w:val="it-IT"/>
              </w:rPr>
            </m:ctrlPr>
          </m:sSubPr>
          <m:e>
            <m:r>
              <w:rPr>
                <w:rFonts w:ascii="Cambria Math" w:eastAsiaTheme="minorEastAsia" w:hAnsi="Cambria Math"/>
                <w:lang w:val="it-IT"/>
              </w:rPr>
              <m:t>T</m:t>
            </m:r>
          </m:e>
          <m:sub>
            <m:r>
              <w:rPr>
                <w:rFonts w:ascii="Cambria Math" w:eastAsiaTheme="minorEastAsia" w:hAnsi="Cambria Math"/>
                <w:lang w:val="it-IT"/>
              </w:rPr>
              <m:t>H</m:t>
            </m:r>
          </m:sub>
        </m:sSub>
        <m:r>
          <w:rPr>
            <w:rFonts w:ascii="Cambria Math" w:eastAsiaTheme="minorEastAsia" w:hAnsi="Cambria Math"/>
            <w:lang w:val="it-IT"/>
          </w:rPr>
          <m:t>+T</m:t>
        </m:r>
      </m:oMath>
      <w:r>
        <w:rPr>
          <w:rFonts w:eastAsiaTheme="minorEastAsia"/>
          <w:lang w:val="it-IT"/>
        </w:rPr>
        <w:t xml:space="preserve"> si osserva che l’immobile </w:t>
      </w:r>
      <m:oMath>
        <m:r>
          <w:rPr>
            <w:rFonts w:ascii="Cambria Math" w:eastAsiaTheme="minorEastAsia" w:hAnsi="Cambria Math"/>
            <w:lang w:val="it-IT"/>
          </w:rPr>
          <m:t>i</m:t>
        </m:r>
      </m:oMath>
      <w:r>
        <w:rPr>
          <w:rFonts w:eastAsiaTheme="minorEastAsia"/>
          <w:lang w:val="it-IT"/>
        </w:rPr>
        <w:t xml:space="preserve"> è stato venduto al tempo </w:t>
      </w:r>
      <m:oMath>
        <m:sSub>
          <m:sSubPr>
            <m:ctrlPr>
              <w:rPr>
                <w:rFonts w:ascii="Cambria Math" w:eastAsiaTheme="minorEastAsia" w:hAnsi="Cambria Math"/>
                <w:i/>
                <w:lang w:val="it-IT"/>
              </w:rPr>
            </m:ctrlPr>
          </m:sSubPr>
          <m:e>
            <m:r>
              <w:rPr>
                <w:rFonts w:ascii="Cambria Math" w:eastAsiaTheme="minorEastAsia" w:hAnsi="Cambria Math"/>
                <w:lang w:val="it-IT"/>
              </w:rPr>
              <m:t>T</m:t>
            </m:r>
          </m:e>
          <m:sub>
            <m:r>
              <w:rPr>
                <w:rFonts w:ascii="Cambria Math" w:eastAsiaTheme="minorEastAsia" w:hAnsi="Cambria Math"/>
                <w:lang w:val="it-IT"/>
              </w:rPr>
              <m:t>i</m:t>
            </m:r>
          </m:sub>
        </m:sSub>
      </m:oMath>
      <w:r>
        <w:rPr>
          <w:rFonts w:eastAsiaTheme="minorEastAsia"/>
          <w:lang w:val="it-IT"/>
        </w:rPr>
        <w:t xml:space="preserve"> con un rendimento medio:</w:t>
      </w:r>
    </w:p>
    <w:p w14:paraId="0C726D37" w14:textId="3100ACF0" w:rsidR="00DF6560" w:rsidRPr="00550720" w:rsidRDefault="00BB5742" w:rsidP="00DF6560">
      <w:pPr>
        <w:jc w:val="center"/>
        <w:rPr>
          <w:rFonts w:eastAsiaTheme="minorEastAsia"/>
          <w:lang w:val="it-IT"/>
        </w:rPr>
      </w:pPr>
      <m:oMathPara>
        <m:oMath>
          <m:acc>
            <m:accPr>
              <m:ctrlPr>
                <w:rPr>
                  <w:rFonts w:ascii="Cambria Math" w:eastAsiaTheme="minorEastAsia" w:hAnsi="Cambria Math"/>
                  <w:i/>
                  <w:lang w:val="it-IT"/>
                </w:rPr>
              </m:ctrlPr>
            </m:accPr>
            <m:e>
              <m:r>
                <w:rPr>
                  <w:rFonts w:ascii="Cambria Math" w:eastAsiaTheme="minorEastAsia" w:hAnsi="Cambria Math"/>
                  <w:lang w:val="it-IT"/>
                </w:rPr>
                <m:t>r</m:t>
              </m:r>
            </m:e>
          </m:acc>
          <m:r>
            <w:rPr>
              <w:rFonts w:ascii="Cambria Math" w:eastAsiaTheme="minorEastAsia" w:hAnsi="Cambria Math"/>
              <w:lang w:val="it-IT"/>
            </w:rPr>
            <m:t>=</m:t>
          </m:r>
          <m:f>
            <m:fPr>
              <m:ctrlPr>
                <w:rPr>
                  <w:rFonts w:ascii="Cambria Math" w:eastAsiaTheme="minorEastAsia" w:hAnsi="Cambria Math"/>
                  <w:i/>
                  <w:lang w:val="it-IT"/>
                </w:rPr>
              </m:ctrlPr>
            </m:fPr>
            <m:num>
              <m:nary>
                <m:naryPr>
                  <m:chr m:val="∑"/>
                  <m:limLoc m:val="undOvr"/>
                  <m:ctrlPr>
                    <w:rPr>
                      <w:rFonts w:ascii="Cambria Math" w:eastAsiaTheme="minorEastAsia" w:hAnsi="Cambria Math"/>
                      <w:i/>
                      <w:lang w:val="it-IT"/>
                    </w:rPr>
                  </m:ctrlPr>
                </m:naryPr>
                <m:sub>
                  <m:r>
                    <w:rPr>
                      <w:rFonts w:ascii="Cambria Math" w:eastAsiaTheme="minorEastAsia" w:hAnsi="Cambria Math"/>
                      <w:lang w:val="it-IT"/>
                    </w:rPr>
                    <m:t>i=1</m:t>
                  </m:r>
                </m:sub>
                <m:sup>
                  <m:r>
                    <w:rPr>
                      <w:rFonts w:ascii="Cambria Math" w:eastAsiaTheme="minorEastAsia" w:hAnsi="Cambria Math"/>
                      <w:lang w:val="it-IT"/>
                    </w:rPr>
                    <m:t>T</m:t>
                  </m:r>
                </m:sup>
                <m:e>
                  <m:d>
                    <m:dPr>
                      <m:ctrlPr>
                        <w:rPr>
                          <w:rFonts w:ascii="Cambria Math" w:eastAsiaTheme="minorEastAsia" w:hAnsi="Cambria Math"/>
                          <w:i/>
                          <w:lang w:val="it-IT"/>
                        </w:rPr>
                      </m:ctrlPr>
                    </m:dPr>
                    <m:e>
                      <m:f>
                        <m:fPr>
                          <m:ctrlPr>
                            <w:rPr>
                              <w:rFonts w:ascii="Cambria Math" w:eastAsiaTheme="minorEastAsia" w:hAnsi="Cambria Math"/>
                              <w:i/>
                              <w:lang w:val="it-IT"/>
                            </w:rPr>
                          </m:ctrlPr>
                        </m:fPr>
                        <m:num>
                          <m:sSub>
                            <m:sSubPr>
                              <m:ctrlPr>
                                <w:rPr>
                                  <w:rFonts w:ascii="Cambria Math" w:eastAsiaTheme="minorEastAsia" w:hAnsi="Cambria Math"/>
                                  <w:i/>
                                  <w:lang w:val="it-IT"/>
                                </w:rPr>
                              </m:ctrlPr>
                            </m:sSubPr>
                            <m:e>
                              <m:r>
                                <w:rPr>
                                  <w:rFonts w:ascii="Cambria Math" w:eastAsiaTheme="minorEastAsia" w:hAnsi="Cambria Math"/>
                                  <w:lang w:val="it-IT"/>
                                </w:rPr>
                                <m:t>P</m:t>
                              </m:r>
                            </m:e>
                            <m:sub>
                              <m:r>
                                <w:rPr>
                                  <w:rFonts w:ascii="Cambria Math" w:eastAsiaTheme="minorEastAsia" w:hAnsi="Cambria Math"/>
                                  <w:lang w:val="it-IT"/>
                                </w:rPr>
                                <m:t>i</m:t>
                              </m:r>
                            </m:sub>
                          </m:sSub>
                          <m:r>
                            <w:rPr>
                              <w:rFonts w:ascii="Cambria Math" w:eastAsiaTheme="minorEastAsia" w:hAnsi="Cambria Math"/>
                              <w:lang w:val="it-IT"/>
                            </w:rPr>
                            <m:t>-</m:t>
                          </m:r>
                          <m:sSub>
                            <m:sSubPr>
                              <m:ctrlPr>
                                <w:rPr>
                                  <w:rFonts w:ascii="Cambria Math" w:eastAsiaTheme="minorEastAsia" w:hAnsi="Cambria Math"/>
                                  <w:i/>
                                  <w:lang w:val="it-IT"/>
                                </w:rPr>
                              </m:ctrlPr>
                            </m:sSubPr>
                            <m:e>
                              <m:r>
                                <w:rPr>
                                  <w:rFonts w:ascii="Cambria Math" w:eastAsiaTheme="minorEastAsia" w:hAnsi="Cambria Math"/>
                                  <w:lang w:val="it-IT"/>
                                </w:rPr>
                                <m:t>P</m:t>
                              </m:r>
                            </m:e>
                            <m:sub>
                              <m:r>
                                <w:rPr>
                                  <w:rFonts w:ascii="Cambria Math" w:eastAsiaTheme="minorEastAsia" w:hAnsi="Cambria Math"/>
                                  <w:lang w:val="it-IT"/>
                                </w:rPr>
                                <m:t>i-1</m:t>
                              </m:r>
                            </m:sub>
                          </m:sSub>
                        </m:num>
                        <m:den>
                          <m:sSub>
                            <m:sSubPr>
                              <m:ctrlPr>
                                <w:rPr>
                                  <w:rFonts w:ascii="Cambria Math" w:eastAsiaTheme="minorEastAsia" w:hAnsi="Cambria Math"/>
                                  <w:i/>
                                  <w:lang w:val="it-IT"/>
                                </w:rPr>
                              </m:ctrlPr>
                            </m:sSubPr>
                            <m:e>
                              <m:r>
                                <w:rPr>
                                  <w:rFonts w:ascii="Cambria Math" w:eastAsiaTheme="minorEastAsia" w:hAnsi="Cambria Math"/>
                                  <w:lang w:val="it-IT"/>
                                </w:rPr>
                                <m:t>P</m:t>
                              </m:r>
                            </m:e>
                            <m:sub>
                              <m:r>
                                <w:rPr>
                                  <w:rFonts w:ascii="Cambria Math" w:eastAsiaTheme="minorEastAsia" w:hAnsi="Cambria Math"/>
                                  <w:lang w:val="it-IT"/>
                                </w:rPr>
                                <m:t>i-1</m:t>
                              </m:r>
                            </m:sub>
                          </m:sSub>
                        </m:den>
                      </m:f>
                    </m:e>
                  </m:d>
                </m:e>
              </m:nary>
            </m:num>
            <m:den>
              <m:r>
                <w:rPr>
                  <w:rFonts w:ascii="Cambria Math" w:eastAsiaTheme="minorEastAsia" w:hAnsi="Cambria Math"/>
                  <w:lang w:val="it-IT"/>
                </w:rPr>
                <m:t>n</m:t>
              </m:r>
            </m:den>
          </m:f>
        </m:oMath>
      </m:oMathPara>
    </w:p>
    <w:p w14:paraId="4BA69E88" w14:textId="487663E7" w:rsidR="00550720" w:rsidRDefault="00550720" w:rsidP="00550720">
      <w:pPr>
        <w:jc w:val="both"/>
        <w:rPr>
          <w:rFonts w:eastAsiaTheme="minorEastAsia"/>
          <w:lang w:val="it-IT"/>
        </w:rPr>
      </w:pPr>
      <w:r>
        <w:rPr>
          <w:rFonts w:eastAsiaTheme="minorEastAsia"/>
          <w:lang w:val="it-IT"/>
        </w:rPr>
        <w:t xml:space="preserve">E si noti che solo ex-post </w:t>
      </w:r>
      <m:oMath>
        <m:r>
          <w:rPr>
            <w:rFonts w:ascii="Cambria Math" w:eastAsiaTheme="minorEastAsia" w:hAnsi="Cambria Math"/>
            <w:lang w:val="it-IT"/>
          </w:rPr>
          <m:t>n</m:t>
        </m:r>
      </m:oMath>
      <w:r>
        <w:rPr>
          <w:rFonts w:eastAsiaTheme="minorEastAsia"/>
          <w:lang w:val="it-IT"/>
        </w:rPr>
        <w:t xml:space="preserve"> è conosciuto. </w:t>
      </w:r>
      <w:r w:rsidR="00BD5548">
        <w:rPr>
          <w:rFonts w:eastAsiaTheme="minorEastAsia"/>
          <w:lang w:val="it-IT"/>
        </w:rPr>
        <w:t xml:space="preserve">Quindi guardando indietro il tempo ed il numero di asset venduti sono variabile completamente deterministiche. Ma tuttavia, mettendosi al tempo </w:t>
      </w:r>
      <m:oMath>
        <m:sSub>
          <m:sSubPr>
            <m:ctrlPr>
              <w:rPr>
                <w:rFonts w:ascii="Cambria Math" w:eastAsiaTheme="minorEastAsia" w:hAnsi="Cambria Math"/>
                <w:i/>
                <w:lang w:val="it-IT"/>
              </w:rPr>
            </m:ctrlPr>
          </m:sSubPr>
          <m:e>
            <m:r>
              <w:rPr>
                <w:rFonts w:ascii="Cambria Math" w:eastAsiaTheme="minorEastAsia" w:hAnsi="Cambria Math"/>
                <w:lang w:val="it-IT"/>
              </w:rPr>
              <m:t>T</m:t>
            </m:r>
          </m:e>
          <m:sub>
            <m:r>
              <w:rPr>
                <w:rFonts w:ascii="Cambria Math" w:eastAsiaTheme="minorEastAsia" w:hAnsi="Cambria Math"/>
                <w:lang w:val="it-IT"/>
              </w:rPr>
              <m:t>H</m:t>
            </m:r>
          </m:sub>
        </m:sSub>
      </m:oMath>
      <w:r w:rsidR="00BD5548">
        <w:rPr>
          <w:rFonts w:eastAsiaTheme="minorEastAsia"/>
          <w:lang w:val="it-IT"/>
        </w:rPr>
        <w:t xml:space="preserve">, il tempo in cui questi asset verranno venduti non è conosciuto. È facile capire quindi come nel momento in cui il proprietario di un </w:t>
      </w:r>
      <w:r w:rsidR="00BD5548">
        <w:rPr>
          <w:rFonts w:eastAsiaTheme="minorEastAsia"/>
          <w:lang w:val="it-IT"/>
        </w:rPr>
        <w:lastRenderedPageBreak/>
        <w:t xml:space="preserve">immobile vende sul mercato il proprio bene esso debba affrontare due tipologie di rischi: il rischio di prezzo e il rischio del </w:t>
      </w:r>
      <w:proofErr w:type="spellStart"/>
      <w:r w:rsidR="00BD5548">
        <w:rPr>
          <w:rFonts w:eastAsiaTheme="minorEastAsia"/>
          <w:lang w:val="it-IT"/>
        </w:rPr>
        <w:t>markeitng</w:t>
      </w:r>
      <w:proofErr w:type="spellEnd"/>
      <w:r w:rsidR="00BD5548">
        <w:rPr>
          <w:rFonts w:eastAsiaTheme="minorEastAsia"/>
          <w:lang w:val="it-IT"/>
        </w:rPr>
        <w:t xml:space="preserve"> </w:t>
      </w:r>
      <w:proofErr w:type="spellStart"/>
      <w:r w:rsidR="00BD5548">
        <w:rPr>
          <w:rFonts w:eastAsiaTheme="minorEastAsia"/>
          <w:lang w:val="it-IT"/>
        </w:rPr>
        <w:t>period</w:t>
      </w:r>
      <w:proofErr w:type="spellEnd"/>
      <w:r w:rsidR="00597DDA">
        <w:rPr>
          <w:rFonts w:eastAsiaTheme="minorEastAsia"/>
          <w:lang w:val="it-IT"/>
        </w:rPr>
        <w:t xml:space="preserve"> (</w:t>
      </w:r>
      <w:proofErr w:type="spellStart"/>
      <w:r w:rsidR="00597DDA" w:rsidRPr="00597DDA">
        <w:rPr>
          <w:rFonts w:eastAsiaTheme="minorEastAsia"/>
          <w:b/>
          <w:bCs/>
          <w:lang w:val="it-IT"/>
        </w:rPr>
        <w:t>liquidity</w:t>
      </w:r>
      <w:proofErr w:type="spellEnd"/>
      <w:r w:rsidR="00597DDA" w:rsidRPr="00597DDA">
        <w:rPr>
          <w:rFonts w:eastAsiaTheme="minorEastAsia"/>
          <w:b/>
          <w:bCs/>
          <w:lang w:val="it-IT"/>
        </w:rPr>
        <w:t xml:space="preserve"> </w:t>
      </w:r>
      <w:proofErr w:type="spellStart"/>
      <w:r w:rsidR="00597DDA" w:rsidRPr="00597DDA">
        <w:rPr>
          <w:rFonts w:eastAsiaTheme="minorEastAsia"/>
          <w:b/>
          <w:bCs/>
          <w:lang w:val="it-IT"/>
        </w:rPr>
        <w:t>bias</w:t>
      </w:r>
      <w:proofErr w:type="spellEnd"/>
      <w:r w:rsidR="00597DDA">
        <w:rPr>
          <w:rFonts w:eastAsiaTheme="minorEastAsia"/>
          <w:lang w:val="it-IT"/>
        </w:rPr>
        <w:t>)</w:t>
      </w:r>
      <w:r w:rsidR="00BD5548">
        <w:rPr>
          <w:rFonts w:eastAsiaTheme="minorEastAsia"/>
          <w:lang w:val="it-IT"/>
        </w:rPr>
        <w:t xml:space="preserve">. </w:t>
      </w:r>
    </w:p>
    <w:p w14:paraId="735D7159" w14:textId="77ABD217" w:rsidR="00DF3D24" w:rsidRDefault="00DF3D24" w:rsidP="00550720">
      <w:pPr>
        <w:jc w:val="both"/>
        <w:rPr>
          <w:rFonts w:eastAsiaTheme="minorEastAsia"/>
          <w:lang w:val="it-IT"/>
        </w:rPr>
      </w:pPr>
      <w:r>
        <w:rPr>
          <w:rFonts w:eastAsiaTheme="minorEastAsia"/>
          <w:lang w:val="it-IT"/>
        </w:rPr>
        <w:t xml:space="preserve">È importante sottolineare come nel mercato finanziario centralizzato, dal momento che il tempo per scambiare un titolo è minimo, il rischio associato con lag temporali di scambio può essere ignorato. </w:t>
      </w:r>
    </w:p>
    <w:p w14:paraId="15A7A722" w14:textId="5515C33F" w:rsidR="007D4B42" w:rsidRDefault="007D4B42" w:rsidP="007D4B42">
      <w:pPr>
        <w:pStyle w:val="Heading4"/>
        <w:rPr>
          <w:rFonts w:eastAsiaTheme="minorEastAsia"/>
          <w:lang w:val="it-IT"/>
        </w:rPr>
      </w:pPr>
      <w:proofErr w:type="spellStart"/>
      <w:r>
        <w:rPr>
          <w:rFonts w:eastAsiaTheme="minorEastAsia"/>
          <w:lang w:val="it-IT"/>
        </w:rPr>
        <w:t>Valuation</w:t>
      </w:r>
      <w:proofErr w:type="spellEnd"/>
      <w:r>
        <w:rPr>
          <w:rFonts w:eastAsiaTheme="minorEastAsia"/>
          <w:lang w:val="it-IT"/>
        </w:rPr>
        <w:t xml:space="preserve"> </w:t>
      </w:r>
      <w:proofErr w:type="spellStart"/>
      <w:r>
        <w:rPr>
          <w:rFonts w:eastAsiaTheme="minorEastAsia"/>
          <w:lang w:val="it-IT"/>
        </w:rPr>
        <w:t>Bias</w:t>
      </w:r>
      <w:proofErr w:type="spellEnd"/>
    </w:p>
    <w:p w14:paraId="2F1F2F51" w14:textId="0FCFB25A" w:rsidR="007D4B42" w:rsidRDefault="007D4B42" w:rsidP="007D4B42">
      <w:pPr>
        <w:rPr>
          <w:lang w:val="it-IT"/>
        </w:rPr>
      </w:pPr>
    </w:p>
    <w:p w14:paraId="2DF9F107" w14:textId="60B3CBE5" w:rsidR="007D4B42" w:rsidRDefault="007D4B42" w:rsidP="007D4B42">
      <w:pPr>
        <w:rPr>
          <w:rFonts w:eastAsiaTheme="minorEastAsia"/>
          <w:lang w:val="it-IT"/>
        </w:rPr>
      </w:pPr>
      <w:r>
        <w:rPr>
          <w:lang w:val="it-IT"/>
        </w:rPr>
        <w:t xml:space="preserve">Nel mercato finanziario, dal momento che gli investitori possono vendere i propri titoli sul mercato ai prezzi osservati in ogni momento, il prezzo storico al tempo </w:t>
      </w:r>
      <m:oMath>
        <m:r>
          <w:rPr>
            <w:rFonts w:ascii="Cambria Math" w:hAnsi="Cambria Math"/>
            <w:lang w:val="it-IT"/>
          </w:rPr>
          <m:t>t</m:t>
        </m:r>
      </m:oMath>
      <w:r>
        <w:rPr>
          <w:rFonts w:eastAsiaTheme="minorEastAsia"/>
          <w:lang w:val="it-IT"/>
        </w:rPr>
        <w:t xml:space="preserve"> rappresenta </w:t>
      </w:r>
      <w:r w:rsidR="00F71BE3">
        <w:rPr>
          <w:rFonts w:eastAsiaTheme="minorEastAsia"/>
          <w:lang w:val="it-IT"/>
        </w:rPr>
        <w:t xml:space="preserve">il prezzo effettivo, ovvero il prezzo a cui un venditore potrebbe scambiare in quel momento. Tuttavia, nel mercato immobiliare, come detto nel paragrafo precedente, vi è incertezza riguardo la durata del marketing </w:t>
      </w:r>
      <w:proofErr w:type="spellStart"/>
      <w:r w:rsidR="00F71BE3">
        <w:rPr>
          <w:rFonts w:eastAsiaTheme="minorEastAsia"/>
          <w:lang w:val="it-IT"/>
        </w:rPr>
        <w:t>period</w:t>
      </w:r>
      <w:proofErr w:type="spellEnd"/>
      <w:r w:rsidR="00F71BE3">
        <w:rPr>
          <w:rFonts w:eastAsiaTheme="minorEastAsia"/>
          <w:lang w:val="it-IT"/>
        </w:rPr>
        <w:t>. Da qui nascono quindi due importanti differenze fra le due asset class:</w:t>
      </w:r>
    </w:p>
    <w:p w14:paraId="6BC11345" w14:textId="77777777" w:rsidR="00B51B01" w:rsidRDefault="00F71BE3" w:rsidP="00F71BE3">
      <w:pPr>
        <w:pStyle w:val="ListParagraph"/>
        <w:numPr>
          <w:ilvl w:val="0"/>
          <w:numId w:val="22"/>
        </w:numPr>
        <w:rPr>
          <w:lang w:val="it-IT"/>
        </w:rPr>
      </w:pPr>
      <w:r>
        <w:rPr>
          <w:lang w:val="it-IT"/>
        </w:rPr>
        <w:t xml:space="preserve">In ogni periodo, solo una piccola porzione di immobili viene effettivamente venduta e quindi tolta dal mercato. I </w:t>
      </w:r>
      <w:proofErr w:type="spellStart"/>
      <w:r>
        <w:rPr>
          <w:lang w:val="it-IT"/>
        </w:rPr>
        <w:t>transaction</w:t>
      </w:r>
      <w:proofErr w:type="spellEnd"/>
      <w:r>
        <w:rPr>
          <w:lang w:val="it-IT"/>
        </w:rPr>
        <w:t xml:space="preserve"> price (prezzi di transazione)</w:t>
      </w:r>
      <w:r w:rsidR="00B51B01">
        <w:rPr>
          <w:lang w:val="it-IT"/>
        </w:rPr>
        <w:t xml:space="preserve"> al tempo </w:t>
      </w:r>
      <w:r w:rsidR="00B51B01">
        <w:rPr>
          <w:i/>
          <w:iCs/>
          <w:lang w:val="it-IT"/>
        </w:rPr>
        <w:t>t</w:t>
      </w:r>
      <w:r w:rsidR="00B51B01">
        <w:rPr>
          <w:lang w:val="it-IT"/>
        </w:rPr>
        <w:t xml:space="preserve"> riflettono solo i prezzi degli immobili venduti in quel momento; tuttavia, potrebbero non rappresentare i prezzi di immobili simili ancora sul mercato in attesa di essere venduti. </w:t>
      </w:r>
    </w:p>
    <w:p w14:paraId="6CA1F09F" w14:textId="04DF2442" w:rsidR="00F71BE3" w:rsidRPr="00F71BE3" w:rsidRDefault="00B51B01" w:rsidP="00F71BE3">
      <w:pPr>
        <w:pStyle w:val="ListParagraph"/>
        <w:numPr>
          <w:ilvl w:val="0"/>
          <w:numId w:val="22"/>
        </w:numPr>
        <w:rPr>
          <w:lang w:val="it-IT"/>
        </w:rPr>
      </w:pPr>
      <w:r>
        <w:rPr>
          <w:lang w:val="it-IT"/>
        </w:rPr>
        <w:t xml:space="preserve">Gli investitori RE verosimilmente aspettano a lungo prima di vedere il proprio asset liquidato, al contrario del mercato finanziario. Quindi il prezzo delle proprietà vendute al tempo </w:t>
      </w:r>
      <w:r>
        <w:rPr>
          <w:i/>
          <w:iCs/>
          <w:lang w:val="it-IT"/>
        </w:rPr>
        <w:t xml:space="preserve">t </w:t>
      </w:r>
      <w:r>
        <w:rPr>
          <w:lang w:val="it-IT"/>
        </w:rPr>
        <w:t xml:space="preserve">potrebbe non riflettere il prezzo degli altri immobili appena messi sul mercato. In altre parole, il </w:t>
      </w:r>
      <w:proofErr w:type="spellStart"/>
      <w:r>
        <w:rPr>
          <w:lang w:val="it-IT"/>
        </w:rPr>
        <w:t>transaction</w:t>
      </w:r>
      <w:proofErr w:type="spellEnd"/>
      <w:r>
        <w:rPr>
          <w:lang w:val="it-IT"/>
        </w:rPr>
        <w:t xml:space="preserve"> price al tempo </w:t>
      </w:r>
      <w:r>
        <w:rPr>
          <w:i/>
          <w:iCs/>
          <w:lang w:val="it-IT"/>
        </w:rPr>
        <w:t xml:space="preserve">t </w:t>
      </w:r>
      <w:r>
        <w:rPr>
          <w:lang w:val="it-IT"/>
        </w:rPr>
        <w:t xml:space="preserve">non rappresenta il prezzo a cui un qualunque venditore potrebbe scambiare in quel momento.  </w:t>
      </w:r>
    </w:p>
    <w:p w14:paraId="713AF695" w14:textId="0D40F8C6" w:rsidR="007D4B42" w:rsidRPr="007D4B42" w:rsidRDefault="00280945" w:rsidP="007D4B42">
      <w:pPr>
        <w:rPr>
          <w:lang w:val="it-IT"/>
        </w:rPr>
      </w:pPr>
      <w:r>
        <w:rPr>
          <w:lang w:val="it-IT"/>
        </w:rPr>
        <w:t xml:space="preserve">Il time lag è importante poiché incide molto sull’apprezzamento degli immobili. Un </w:t>
      </w:r>
      <w:proofErr w:type="spellStart"/>
      <w:r>
        <w:rPr>
          <w:lang w:val="it-IT"/>
        </w:rPr>
        <w:t>invesitore</w:t>
      </w:r>
      <w:proofErr w:type="spellEnd"/>
      <w:r>
        <w:rPr>
          <w:lang w:val="it-IT"/>
        </w:rPr>
        <w:t xml:space="preserve"> che ha bisogno di liquidare la posizione immediatamente sarà disposto a far scendere il MAP, e quindi il </w:t>
      </w:r>
      <w:proofErr w:type="spellStart"/>
      <w:r>
        <w:rPr>
          <w:lang w:val="it-IT"/>
        </w:rPr>
        <w:t>transaction</w:t>
      </w:r>
      <w:proofErr w:type="spellEnd"/>
      <w:r>
        <w:rPr>
          <w:lang w:val="it-IT"/>
        </w:rPr>
        <w:t xml:space="preserve"> price, solo per non dover aspettare, non per un cambiamento nella </w:t>
      </w:r>
      <w:proofErr w:type="spellStart"/>
      <w:r>
        <w:rPr>
          <w:lang w:val="it-IT"/>
        </w:rPr>
        <w:t>valutazioen</w:t>
      </w:r>
      <w:proofErr w:type="spellEnd"/>
      <w:r>
        <w:rPr>
          <w:lang w:val="it-IT"/>
        </w:rPr>
        <w:t xml:space="preserve"> del proprio asset. </w:t>
      </w:r>
    </w:p>
    <w:p w14:paraId="1D664E3C" w14:textId="7A270544" w:rsidR="00081B99" w:rsidRDefault="00081B99" w:rsidP="00081B99">
      <w:pPr>
        <w:jc w:val="center"/>
        <w:rPr>
          <w:lang w:val="it-IT"/>
        </w:rPr>
      </w:pPr>
      <w:r>
        <w:rPr>
          <w:noProof/>
        </w:rPr>
        <w:drawing>
          <wp:inline distT="0" distB="0" distL="0" distR="0" wp14:anchorId="5269EAC0" wp14:editId="224CDF80">
            <wp:extent cx="3219450" cy="1885950"/>
            <wp:effectExtent l="0" t="0" r="0" b="0"/>
            <wp:docPr id="15" name="Picture 15" descr="A picture containing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Word&#10;&#10;Description automatically generated"/>
                    <pic:cNvPicPr/>
                  </pic:nvPicPr>
                  <pic:blipFill rotWithShape="1">
                    <a:blip r:embed="rId23"/>
                    <a:srcRect l="10997" t="56684" r="36398" b="18988"/>
                    <a:stretch/>
                  </pic:blipFill>
                  <pic:spPr bwMode="auto">
                    <a:xfrm>
                      <a:off x="0" y="0"/>
                      <a:ext cx="3219450" cy="1885950"/>
                    </a:xfrm>
                    <a:prstGeom prst="rect">
                      <a:avLst/>
                    </a:prstGeom>
                    <a:ln>
                      <a:noFill/>
                    </a:ln>
                    <a:extLst>
                      <a:ext uri="{53640926-AAD7-44D8-BBD7-CCE9431645EC}">
                        <a14:shadowObscured xmlns:a14="http://schemas.microsoft.com/office/drawing/2010/main"/>
                      </a:ext>
                    </a:extLst>
                  </pic:spPr>
                </pic:pic>
              </a:graphicData>
            </a:graphic>
          </wp:inline>
        </w:drawing>
      </w:r>
    </w:p>
    <w:p w14:paraId="460204C1" w14:textId="2D99422C" w:rsidR="00081B99" w:rsidRDefault="00081B99" w:rsidP="00081B99">
      <w:pPr>
        <w:jc w:val="center"/>
        <w:rPr>
          <w:lang w:val="it-IT"/>
        </w:rPr>
      </w:pPr>
      <w:r>
        <w:rPr>
          <w:lang w:val="it-IT"/>
        </w:rPr>
        <w:t>Figura 1</w:t>
      </w:r>
      <w:r w:rsidR="004478D2">
        <w:rPr>
          <w:lang w:val="it-IT"/>
        </w:rPr>
        <w:t>4</w:t>
      </w:r>
    </w:p>
    <w:p w14:paraId="582D64A2" w14:textId="09F8CA25" w:rsidR="00081B99" w:rsidRDefault="00081B99" w:rsidP="00081B99">
      <w:pPr>
        <w:jc w:val="both"/>
        <w:rPr>
          <w:lang w:val="it-IT"/>
        </w:rPr>
      </w:pPr>
      <w:r>
        <w:rPr>
          <w:lang w:val="it-IT"/>
        </w:rPr>
        <w:t>La Figura 13 illustra la relazione tra la distribuzione dei prezzi offerti (</w:t>
      </w:r>
      <w:proofErr w:type="spellStart"/>
      <w:r>
        <w:rPr>
          <w:lang w:val="it-IT"/>
        </w:rPr>
        <w:t>bidding</w:t>
      </w:r>
      <w:proofErr w:type="spellEnd"/>
      <w:r>
        <w:rPr>
          <w:lang w:val="it-IT"/>
        </w:rPr>
        <w:t xml:space="preserve"> prices) e dei prezzi andati a buon fine e trasformati in transazioni (</w:t>
      </w:r>
      <w:proofErr w:type="spellStart"/>
      <w:r>
        <w:rPr>
          <w:lang w:val="it-IT"/>
        </w:rPr>
        <w:t>transaction</w:t>
      </w:r>
      <w:proofErr w:type="spellEnd"/>
      <w:r>
        <w:rPr>
          <w:lang w:val="it-IT"/>
        </w:rPr>
        <w:t xml:space="preserve"> prices). </w:t>
      </w:r>
    </w:p>
    <w:p w14:paraId="353D6EF6" w14:textId="4539B6AE" w:rsidR="00E40497" w:rsidRDefault="00081B99" w:rsidP="00081B99">
      <w:pPr>
        <w:jc w:val="both"/>
        <w:rPr>
          <w:rFonts w:eastAsiaTheme="minorEastAsia"/>
          <w:lang w:val="it-IT"/>
        </w:rPr>
      </w:pPr>
      <w:r>
        <w:rPr>
          <w:lang w:val="it-IT"/>
        </w:rPr>
        <w:t xml:space="preserve">In ogni istante </w:t>
      </w:r>
      <m:oMath>
        <m:r>
          <w:rPr>
            <w:rFonts w:ascii="Cambria Math" w:hAnsi="Cambria Math"/>
            <w:lang w:val="it-IT"/>
          </w:rPr>
          <m:t>t</m:t>
        </m:r>
      </m:oMath>
      <w:r>
        <w:rPr>
          <w:rFonts w:eastAsiaTheme="minorEastAsia"/>
          <w:lang w:val="it-IT"/>
        </w:rPr>
        <w:t xml:space="preserve"> si supponga che i bidding prices si distribuiscano tra B e A, dove </w:t>
      </w:r>
      <m:oMath>
        <m:bar>
          <m:barPr>
            <m:ctrlPr>
              <w:rPr>
                <w:rFonts w:ascii="Cambria Math" w:eastAsiaTheme="minorEastAsia" w:hAnsi="Cambria Math"/>
                <w:i/>
                <w:lang w:val="it-IT"/>
              </w:rPr>
            </m:ctrlPr>
          </m:barPr>
          <m:e>
            <m:sSub>
              <m:sSubPr>
                <m:ctrlPr>
                  <w:rPr>
                    <w:rFonts w:ascii="Cambria Math" w:eastAsiaTheme="minorEastAsia" w:hAnsi="Cambria Math"/>
                    <w:i/>
                    <w:lang w:val="it-IT"/>
                  </w:rPr>
                </m:ctrlPr>
              </m:sSubPr>
              <m:e>
                <m:r>
                  <w:rPr>
                    <w:rFonts w:ascii="Cambria Math" w:eastAsiaTheme="minorEastAsia" w:hAnsi="Cambria Math"/>
                    <w:lang w:val="it-IT"/>
                  </w:rPr>
                  <m:t>P</m:t>
                </m:r>
              </m:e>
              <m:sub>
                <m:r>
                  <w:rPr>
                    <w:rFonts w:ascii="Cambria Math" w:eastAsiaTheme="minorEastAsia" w:hAnsi="Cambria Math"/>
                    <w:lang w:val="it-IT"/>
                  </w:rPr>
                  <m:t>t</m:t>
                </m:r>
              </m:sub>
            </m:sSub>
          </m:e>
        </m:bar>
      </m:oMath>
      <w:r>
        <w:rPr>
          <w:rFonts w:eastAsiaTheme="minorEastAsia"/>
          <w:lang w:val="it-IT"/>
        </w:rPr>
        <w:t xml:space="preserve"> </w:t>
      </w:r>
      <w:r w:rsidR="00E40497">
        <w:rPr>
          <w:rFonts w:eastAsiaTheme="minorEastAsia"/>
          <w:lang w:val="it-IT"/>
        </w:rPr>
        <w:t xml:space="preserve">è un possibile minimo </w:t>
      </w:r>
      <w:proofErr w:type="spellStart"/>
      <w:r w:rsidR="00E40497">
        <w:rPr>
          <w:rFonts w:eastAsiaTheme="minorEastAsia"/>
          <w:lang w:val="it-IT"/>
        </w:rPr>
        <w:t>bidding</w:t>
      </w:r>
      <w:proofErr w:type="spellEnd"/>
      <w:r w:rsidR="00E40497">
        <w:rPr>
          <w:rFonts w:eastAsiaTheme="minorEastAsia"/>
          <w:lang w:val="it-IT"/>
        </w:rPr>
        <w:t xml:space="preserve"> price mentre </w:t>
      </w:r>
      <m:oMath>
        <m:bar>
          <m:barPr>
            <m:pos m:val="top"/>
            <m:ctrlPr>
              <w:rPr>
                <w:rFonts w:ascii="Cambria Math" w:eastAsiaTheme="minorEastAsia" w:hAnsi="Cambria Math"/>
                <w:i/>
                <w:lang w:val="it-IT"/>
              </w:rPr>
            </m:ctrlPr>
          </m:barPr>
          <m:e>
            <m:sSub>
              <m:sSubPr>
                <m:ctrlPr>
                  <w:rPr>
                    <w:rFonts w:ascii="Cambria Math" w:eastAsiaTheme="minorEastAsia" w:hAnsi="Cambria Math"/>
                    <w:i/>
                    <w:lang w:val="it-IT"/>
                  </w:rPr>
                </m:ctrlPr>
              </m:sSubPr>
              <m:e>
                <m:r>
                  <w:rPr>
                    <w:rFonts w:ascii="Cambria Math" w:eastAsiaTheme="minorEastAsia" w:hAnsi="Cambria Math"/>
                    <w:lang w:val="it-IT"/>
                  </w:rPr>
                  <m:t>P</m:t>
                </m:r>
              </m:e>
              <m:sub>
                <m:r>
                  <w:rPr>
                    <w:rFonts w:ascii="Cambria Math" w:eastAsiaTheme="minorEastAsia" w:hAnsi="Cambria Math"/>
                    <w:lang w:val="it-IT"/>
                  </w:rPr>
                  <m:t>t</m:t>
                </m:r>
              </m:sub>
            </m:sSub>
          </m:e>
        </m:bar>
      </m:oMath>
      <w:r w:rsidR="00E40497">
        <w:rPr>
          <w:rFonts w:eastAsiaTheme="minorEastAsia"/>
          <w:lang w:val="it-IT"/>
        </w:rPr>
        <w:t xml:space="preserve"> è un possibile massimo bidding price. Dal momento che il transaction price è il prezzo quando il bidding price è alto almeno quanto il minimo prezzo accettabile dal venditore si distribuisce tra O e A. </w:t>
      </w:r>
    </w:p>
    <w:p w14:paraId="286F959B" w14:textId="5A8D30C0" w:rsidR="00081B99" w:rsidRDefault="00E40497" w:rsidP="00081B99">
      <w:pPr>
        <w:jc w:val="both"/>
        <w:rPr>
          <w:rFonts w:eastAsiaTheme="minorEastAsia"/>
          <w:lang w:val="it-IT"/>
        </w:rPr>
      </w:pPr>
      <w:r>
        <w:rPr>
          <w:rFonts w:eastAsiaTheme="minorEastAsia"/>
          <w:lang w:val="it-IT"/>
        </w:rPr>
        <w:t xml:space="preserve">Ci sono due importanti takeaways nella Figura 13. Il primo è che il </w:t>
      </w:r>
      <w:proofErr w:type="spellStart"/>
      <w:r>
        <w:rPr>
          <w:rFonts w:eastAsiaTheme="minorEastAsia"/>
          <w:lang w:val="it-IT"/>
        </w:rPr>
        <w:t>transaction</w:t>
      </w:r>
      <w:proofErr w:type="spellEnd"/>
      <w:r>
        <w:rPr>
          <w:rFonts w:eastAsiaTheme="minorEastAsia"/>
          <w:lang w:val="it-IT"/>
        </w:rPr>
        <w:t xml:space="preserve"> price è un </w:t>
      </w:r>
      <w:proofErr w:type="spellStart"/>
      <w:r>
        <w:rPr>
          <w:rFonts w:eastAsiaTheme="minorEastAsia"/>
          <w:lang w:val="it-IT"/>
        </w:rPr>
        <w:t>bidding</w:t>
      </w:r>
      <w:proofErr w:type="spellEnd"/>
      <w:r>
        <w:rPr>
          <w:rFonts w:eastAsiaTheme="minorEastAsia"/>
          <w:lang w:val="it-IT"/>
        </w:rPr>
        <w:t xml:space="preserve"> price sopra il MAP. </w:t>
      </w:r>
      <w:r w:rsidR="00863CBB">
        <w:rPr>
          <w:rFonts w:eastAsiaTheme="minorEastAsia"/>
          <w:lang w:val="it-IT"/>
        </w:rPr>
        <w:t xml:space="preserve">Dunque, il </w:t>
      </w:r>
      <w:proofErr w:type="spellStart"/>
      <w:r w:rsidR="00863CBB">
        <w:rPr>
          <w:rFonts w:eastAsiaTheme="minorEastAsia"/>
          <w:lang w:val="it-IT"/>
        </w:rPr>
        <w:t>transaction</w:t>
      </w:r>
      <w:proofErr w:type="spellEnd"/>
      <w:r w:rsidR="00863CBB">
        <w:rPr>
          <w:rFonts w:eastAsiaTheme="minorEastAsia"/>
          <w:lang w:val="it-IT"/>
        </w:rPr>
        <w:t xml:space="preserve"> price atteso </w:t>
      </w:r>
      <w:r w:rsidR="00372654">
        <w:rPr>
          <w:rFonts w:eastAsiaTheme="minorEastAsia"/>
          <w:lang w:val="it-IT"/>
        </w:rPr>
        <w:t xml:space="preserve">molto probabilmente è più alto del </w:t>
      </w:r>
      <w:proofErr w:type="spellStart"/>
      <w:r w:rsidR="00372654">
        <w:rPr>
          <w:rFonts w:eastAsiaTheme="minorEastAsia"/>
          <w:lang w:val="it-IT"/>
        </w:rPr>
        <w:t>bidding</w:t>
      </w:r>
      <w:proofErr w:type="spellEnd"/>
      <w:r w:rsidR="00372654">
        <w:rPr>
          <w:rFonts w:eastAsiaTheme="minorEastAsia"/>
          <w:lang w:val="it-IT"/>
        </w:rPr>
        <w:t xml:space="preserve"> price atteso lungo la </w:t>
      </w:r>
      <w:r w:rsidR="00372654">
        <w:rPr>
          <w:rFonts w:eastAsiaTheme="minorEastAsia"/>
          <w:lang w:val="it-IT"/>
        </w:rPr>
        <w:lastRenderedPageBreak/>
        <w:t xml:space="preserve">linea temporale. Il secondo è che l’investitore che subisce uno shock di liquidità e deve vendere il suo immobile in tempo breve verosimilmente si aspetta di ricevere un prezzo dalla distribuzione dei </w:t>
      </w:r>
      <w:proofErr w:type="spellStart"/>
      <w:r w:rsidR="00372654">
        <w:rPr>
          <w:rFonts w:eastAsiaTheme="minorEastAsia"/>
          <w:lang w:val="it-IT"/>
        </w:rPr>
        <w:t>bidding</w:t>
      </w:r>
      <w:proofErr w:type="spellEnd"/>
      <w:r w:rsidR="00372654">
        <w:rPr>
          <w:rFonts w:eastAsiaTheme="minorEastAsia"/>
          <w:lang w:val="it-IT"/>
        </w:rPr>
        <w:t xml:space="preserve"> price che non quella dei </w:t>
      </w:r>
      <w:proofErr w:type="spellStart"/>
      <w:r w:rsidR="00372654">
        <w:rPr>
          <w:rFonts w:eastAsiaTheme="minorEastAsia"/>
          <w:lang w:val="it-IT"/>
        </w:rPr>
        <w:t>transaction</w:t>
      </w:r>
      <w:proofErr w:type="spellEnd"/>
      <w:r w:rsidR="00372654">
        <w:rPr>
          <w:rFonts w:eastAsiaTheme="minorEastAsia"/>
          <w:lang w:val="it-IT"/>
        </w:rPr>
        <w:t xml:space="preserve"> price. </w:t>
      </w:r>
      <w:proofErr w:type="gramStart"/>
      <w:r w:rsidR="00372654">
        <w:rPr>
          <w:rFonts w:eastAsiaTheme="minorEastAsia"/>
          <w:lang w:val="it-IT"/>
        </w:rPr>
        <w:t>In altre parole</w:t>
      </w:r>
      <w:proofErr w:type="gramEnd"/>
      <w:r w:rsidR="00372654">
        <w:rPr>
          <w:rFonts w:eastAsiaTheme="minorEastAsia"/>
          <w:lang w:val="it-IT"/>
        </w:rPr>
        <w:t xml:space="preserve"> vi potrebbe essere un </w:t>
      </w:r>
      <w:proofErr w:type="spellStart"/>
      <w:r w:rsidR="00372654">
        <w:rPr>
          <w:rFonts w:eastAsiaTheme="minorEastAsia"/>
          <w:lang w:val="it-IT"/>
        </w:rPr>
        <w:t>bias</w:t>
      </w:r>
      <w:proofErr w:type="spellEnd"/>
      <w:r w:rsidR="00372654">
        <w:rPr>
          <w:rFonts w:eastAsiaTheme="minorEastAsia"/>
          <w:lang w:val="it-IT"/>
        </w:rPr>
        <w:t xml:space="preserve"> se il suo rischio e rendimento vengono stimati dai </w:t>
      </w:r>
      <w:proofErr w:type="spellStart"/>
      <w:r w:rsidR="00372654">
        <w:rPr>
          <w:rFonts w:eastAsiaTheme="minorEastAsia"/>
          <w:lang w:val="it-IT"/>
        </w:rPr>
        <w:t>transaction</w:t>
      </w:r>
      <w:proofErr w:type="spellEnd"/>
      <w:r w:rsidR="00372654">
        <w:rPr>
          <w:rFonts w:eastAsiaTheme="minorEastAsia"/>
          <w:lang w:val="it-IT"/>
        </w:rPr>
        <w:t xml:space="preserve"> price. Questo </w:t>
      </w:r>
      <w:proofErr w:type="spellStart"/>
      <w:r w:rsidR="00372654">
        <w:rPr>
          <w:rFonts w:eastAsiaTheme="minorEastAsia"/>
          <w:lang w:val="it-IT"/>
        </w:rPr>
        <w:t>bias</w:t>
      </w:r>
      <w:proofErr w:type="spellEnd"/>
      <w:r w:rsidR="00372654">
        <w:rPr>
          <w:rFonts w:eastAsiaTheme="minorEastAsia"/>
          <w:lang w:val="it-IT"/>
        </w:rPr>
        <w:t xml:space="preserve"> viene chiamato “</w:t>
      </w:r>
      <w:proofErr w:type="spellStart"/>
      <w:r w:rsidR="00372654" w:rsidRPr="00597DDA">
        <w:rPr>
          <w:rFonts w:eastAsiaTheme="minorEastAsia"/>
          <w:b/>
          <w:bCs/>
          <w:lang w:val="it-IT"/>
        </w:rPr>
        <w:t>valuation</w:t>
      </w:r>
      <w:proofErr w:type="spellEnd"/>
      <w:r w:rsidR="00372654" w:rsidRPr="00597DDA">
        <w:rPr>
          <w:rFonts w:eastAsiaTheme="minorEastAsia"/>
          <w:b/>
          <w:bCs/>
          <w:lang w:val="it-IT"/>
        </w:rPr>
        <w:t xml:space="preserve"> </w:t>
      </w:r>
      <w:proofErr w:type="spellStart"/>
      <w:r w:rsidR="00372654" w:rsidRPr="00597DDA">
        <w:rPr>
          <w:rFonts w:eastAsiaTheme="minorEastAsia"/>
          <w:b/>
          <w:bCs/>
          <w:lang w:val="it-IT"/>
        </w:rPr>
        <w:t>bias</w:t>
      </w:r>
      <w:proofErr w:type="spellEnd"/>
      <w:r w:rsidR="00372654">
        <w:rPr>
          <w:rFonts w:eastAsiaTheme="minorEastAsia"/>
          <w:lang w:val="it-IT"/>
        </w:rPr>
        <w:t>”</w:t>
      </w:r>
      <w:r w:rsidR="00CF702A">
        <w:rPr>
          <w:rFonts w:eastAsiaTheme="minorEastAsia"/>
          <w:lang w:val="it-IT"/>
        </w:rPr>
        <w:t xml:space="preserve"> e può essere inteso come il valore del tempo che l’asset rimane sul mercato prima di essere venduto.</w:t>
      </w:r>
    </w:p>
    <w:p w14:paraId="75942D2F" w14:textId="53958834" w:rsidR="00CF702A" w:rsidRDefault="00CF702A" w:rsidP="00CF702A">
      <w:pPr>
        <w:jc w:val="center"/>
        <w:rPr>
          <w:rFonts w:eastAsiaTheme="minorEastAsia"/>
          <w:lang w:val="it-IT"/>
        </w:rPr>
      </w:pPr>
      <w:r>
        <w:rPr>
          <w:noProof/>
        </w:rPr>
        <w:drawing>
          <wp:inline distT="0" distB="0" distL="0" distR="0" wp14:anchorId="68693FFE" wp14:editId="63F54644">
            <wp:extent cx="3714750" cy="2676525"/>
            <wp:effectExtent l="0" t="0" r="0" b="952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rotWithShape="1">
                    <a:blip r:embed="rId24"/>
                    <a:srcRect l="4565" t="29735" r="14505" b="24230"/>
                    <a:stretch/>
                  </pic:blipFill>
                  <pic:spPr bwMode="auto">
                    <a:xfrm>
                      <a:off x="0" y="0"/>
                      <a:ext cx="3719295" cy="2679800"/>
                    </a:xfrm>
                    <a:prstGeom prst="rect">
                      <a:avLst/>
                    </a:prstGeom>
                    <a:ln>
                      <a:noFill/>
                    </a:ln>
                    <a:extLst>
                      <a:ext uri="{53640926-AAD7-44D8-BBD7-CCE9431645EC}">
                        <a14:shadowObscured xmlns:a14="http://schemas.microsoft.com/office/drawing/2010/main"/>
                      </a:ext>
                    </a:extLst>
                  </pic:spPr>
                </pic:pic>
              </a:graphicData>
            </a:graphic>
          </wp:inline>
        </w:drawing>
      </w:r>
    </w:p>
    <w:p w14:paraId="2A970324" w14:textId="037921B1" w:rsidR="00CF702A" w:rsidRDefault="00CF702A" w:rsidP="00CF702A">
      <w:pPr>
        <w:jc w:val="center"/>
        <w:rPr>
          <w:rFonts w:eastAsiaTheme="minorEastAsia"/>
          <w:lang w:val="it-IT"/>
        </w:rPr>
      </w:pPr>
      <w:r>
        <w:rPr>
          <w:rFonts w:eastAsiaTheme="minorEastAsia"/>
          <w:lang w:val="it-IT"/>
        </w:rPr>
        <w:t>Figura 1</w:t>
      </w:r>
      <w:r w:rsidR="004478D2">
        <w:rPr>
          <w:rFonts w:eastAsiaTheme="minorEastAsia"/>
          <w:lang w:val="it-IT"/>
        </w:rPr>
        <w:t>5</w:t>
      </w:r>
    </w:p>
    <w:p w14:paraId="287B4B06" w14:textId="205D5902" w:rsidR="00CF702A" w:rsidRPr="00764C29" w:rsidRDefault="00CF702A" w:rsidP="00081B99">
      <w:pPr>
        <w:jc w:val="both"/>
        <w:rPr>
          <w:lang w:val="it-IT"/>
        </w:rPr>
      </w:pPr>
      <w:r>
        <w:rPr>
          <w:lang w:val="it-IT"/>
        </w:rPr>
        <w:t xml:space="preserve">È possibile </w:t>
      </w:r>
      <w:r w:rsidR="00597DDA">
        <w:rPr>
          <w:lang w:val="it-IT"/>
        </w:rPr>
        <w:t xml:space="preserve">capire meglio la relazione fra il </w:t>
      </w:r>
      <w:proofErr w:type="spellStart"/>
      <w:r w:rsidR="00597DDA">
        <w:rPr>
          <w:lang w:val="it-IT"/>
        </w:rPr>
        <w:t>liquidity</w:t>
      </w:r>
      <w:proofErr w:type="spellEnd"/>
      <w:r w:rsidR="00597DDA">
        <w:rPr>
          <w:lang w:val="it-IT"/>
        </w:rPr>
        <w:t xml:space="preserve"> </w:t>
      </w:r>
      <w:proofErr w:type="spellStart"/>
      <w:r w:rsidR="00597DDA">
        <w:rPr>
          <w:lang w:val="it-IT"/>
        </w:rPr>
        <w:t>bias</w:t>
      </w:r>
      <w:proofErr w:type="spellEnd"/>
      <w:r w:rsidR="00597DDA">
        <w:rPr>
          <w:lang w:val="it-IT"/>
        </w:rPr>
        <w:t xml:space="preserve"> e il </w:t>
      </w:r>
      <w:proofErr w:type="spellStart"/>
      <w:r w:rsidR="00597DDA">
        <w:rPr>
          <w:lang w:val="it-IT"/>
        </w:rPr>
        <w:t>valuation</w:t>
      </w:r>
      <w:proofErr w:type="spellEnd"/>
      <w:r w:rsidR="00597DDA">
        <w:rPr>
          <w:lang w:val="it-IT"/>
        </w:rPr>
        <w:t xml:space="preserve"> </w:t>
      </w:r>
      <w:proofErr w:type="spellStart"/>
      <w:r w:rsidR="00597DDA">
        <w:rPr>
          <w:lang w:val="it-IT"/>
        </w:rPr>
        <w:t>bias</w:t>
      </w:r>
      <w:proofErr w:type="spellEnd"/>
      <w:r w:rsidR="00597DDA">
        <w:rPr>
          <w:lang w:val="it-IT"/>
        </w:rPr>
        <w:t xml:space="preserve"> in Figura 14. Con la presenza del rischio di marketing </w:t>
      </w:r>
      <w:proofErr w:type="spellStart"/>
      <w:r w:rsidR="00597DDA">
        <w:rPr>
          <w:lang w:val="it-IT"/>
        </w:rPr>
        <w:t>period</w:t>
      </w:r>
      <w:proofErr w:type="spellEnd"/>
      <w:r w:rsidR="00597DDA">
        <w:rPr>
          <w:lang w:val="it-IT"/>
        </w:rPr>
        <w:t xml:space="preserve"> (il marketing </w:t>
      </w:r>
      <w:proofErr w:type="spellStart"/>
      <w:r w:rsidR="00597DDA">
        <w:rPr>
          <w:lang w:val="it-IT"/>
        </w:rPr>
        <w:t>period</w:t>
      </w:r>
      <w:proofErr w:type="spellEnd"/>
      <w:r w:rsidR="00597DDA">
        <w:rPr>
          <w:lang w:val="it-IT"/>
        </w:rPr>
        <w:t xml:space="preserve"> può essere indicato come una variabile casuale </w:t>
      </w:r>
      <m:oMath>
        <m:acc>
          <m:accPr>
            <m:chr m:val="̃"/>
            <m:ctrlPr>
              <w:rPr>
                <w:rFonts w:ascii="Cambria Math" w:hAnsi="Cambria Math"/>
                <w:i/>
                <w:lang w:val="it-IT"/>
              </w:rPr>
            </m:ctrlPr>
          </m:accPr>
          <m:e>
            <m:r>
              <w:rPr>
                <w:rFonts w:ascii="Cambria Math" w:hAnsi="Cambria Math"/>
                <w:lang w:val="it-IT"/>
              </w:rPr>
              <m:t>t</m:t>
            </m:r>
          </m:e>
        </m:acc>
        <m:r>
          <w:rPr>
            <w:rFonts w:ascii="Cambria Math" w:eastAsiaTheme="minorEastAsia" w:hAnsi="Cambria Math"/>
            <w:lang w:val="it-IT"/>
          </w:rPr>
          <m:t>&gt;0</m:t>
        </m:r>
      </m:oMath>
      <w:r w:rsidR="00597DDA">
        <w:rPr>
          <w:rFonts w:eastAsiaTheme="minorEastAsia"/>
          <w:lang w:val="it-IT"/>
        </w:rPr>
        <w:t xml:space="preserve">), gli investitori immobiliari devono affrontare sia il rischio legato ai transaction price sia quello legato al marketing period. </w:t>
      </w:r>
      <w:r w:rsidR="00526958">
        <w:rPr>
          <w:rFonts w:eastAsiaTheme="minorEastAsia"/>
          <w:lang w:val="it-IT"/>
        </w:rPr>
        <w:t xml:space="preserve">Il </w:t>
      </w:r>
      <w:proofErr w:type="spellStart"/>
      <w:r w:rsidR="00526958">
        <w:rPr>
          <w:rFonts w:eastAsiaTheme="minorEastAsia"/>
          <w:lang w:val="it-IT"/>
        </w:rPr>
        <w:t>liquidity</w:t>
      </w:r>
      <w:proofErr w:type="spellEnd"/>
      <w:r w:rsidR="00526958">
        <w:rPr>
          <w:rFonts w:eastAsiaTheme="minorEastAsia"/>
          <w:lang w:val="it-IT"/>
        </w:rPr>
        <w:t xml:space="preserve"> risk è dato dal fatto che i prezzi immobiliari in ogni istante non riescono a tenere conto anche del rischio di marketing </w:t>
      </w:r>
      <w:proofErr w:type="spellStart"/>
      <w:r w:rsidR="00526958">
        <w:rPr>
          <w:rFonts w:eastAsiaTheme="minorEastAsia"/>
          <w:lang w:val="it-IT"/>
        </w:rPr>
        <w:t>period</w:t>
      </w:r>
      <w:proofErr w:type="spellEnd"/>
      <w:r w:rsidR="00526958">
        <w:rPr>
          <w:rFonts w:eastAsiaTheme="minorEastAsia"/>
          <w:lang w:val="it-IT"/>
        </w:rPr>
        <w:t xml:space="preserve">, mentre il </w:t>
      </w:r>
      <w:proofErr w:type="spellStart"/>
      <w:r w:rsidR="00526958">
        <w:rPr>
          <w:rFonts w:eastAsiaTheme="minorEastAsia"/>
          <w:lang w:val="it-IT"/>
        </w:rPr>
        <w:t>valuation</w:t>
      </w:r>
      <w:proofErr w:type="spellEnd"/>
      <w:r w:rsidR="00526958">
        <w:rPr>
          <w:rFonts w:eastAsiaTheme="minorEastAsia"/>
          <w:lang w:val="it-IT"/>
        </w:rPr>
        <w:t xml:space="preserve"> </w:t>
      </w:r>
      <w:proofErr w:type="spellStart"/>
      <w:r w:rsidR="00526958">
        <w:rPr>
          <w:rFonts w:eastAsiaTheme="minorEastAsia"/>
          <w:lang w:val="it-IT"/>
        </w:rPr>
        <w:t>bias</w:t>
      </w:r>
      <w:proofErr w:type="spellEnd"/>
      <w:r w:rsidR="00526958">
        <w:rPr>
          <w:rFonts w:eastAsiaTheme="minorEastAsia"/>
          <w:lang w:val="it-IT"/>
        </w:rPr>
        <w:t xml:space="preserve"> entra in gioco nel momento in cui i </w:t>
      </w:r>
      <w:proofErr w:type="spellStart"/>
      <w:r w:rsidR="00526958">
        <w:rPr>
          <w:rFonts w:eastAsiaTheme="minorEastAsia"/>
          <w:lang w:val="it-IT"/>
        </w:rPr>
        <w:t>transaction</w:t>
      </w:r>
      <w:proofErr w:type="spellEnd"/>
      <w:r w:rsidR="00526958">
        <w:rPr>
          <w:rFonts w:eastAsiaTheme="minorEastAsia"/>
          <w:lang w:val="it-IT"/>
        </w:rPr>
        <w:t xml:space="preserve"> price vengono applicati agli investitori che vendono velocemente. </w:t>
      </w:r>
    </w:p>
    <w:p w14:paraId="51D2E814" w14:textId="24B815F5" w:rsidR="00764C29" w:rsidRDefault="00B46BBA" w:rsidP="002A0EA3">
      <w:pPr>
        <w:jc w:val="both"/>
        <w:rPr>
          <w:rFonts w:eastAsiaTheme="minorEastAsia"/>
          <w:lang w:val="it-IT"/>
        </w:rPr>
      </w:pPr>
      <w:r w:rsidRPr="00B46BBA">
        <w:rPr>
          <w:rFonts w:eastAsiaTheme="minorEastAsia"/>
          <w:highlight w:val="yellow"/>
          <w:lang w:val="it-IT"/>
        </w:rPr>
        <w:t xml:space="preserve">Alla fine della pappardella si dimostra che in realtà il RE ha </w:t>
      </w:r>
      <w:proofErr w:type="spellStart"/>
      <w:r w:rsidRPr="00B46BBA">
        <w:rPr>
          <w:rFonts w:eastAsiaTheme="minorEastAsia"/>
          <w:highlight w:val="yellow"/>
          <w:lang w:val="it-IT"/>
        </w:rPr>
        <w:t>returns</w:t>
      </w:r>
      <w:proofErr w:type="spellEnd"/>
      <w:r w:rsidRPr="00B46BBA">
        <w:rPr>
          <w:rFonts w:eastAsiaTheme="minorEastAsia"/>
          <w:highlight w:val="yellow"/>
          <w:lang w:val="it-IT"/>
        </w:rPr>
        <w:t xml:space="preserve"> più bassi e rischio più alto di quello che si calcola come ho fatto io in </w:t>
      </w:r>
      <w:proofErr w:type="spellStart"/>
      <w:r w:rsidRPr="00B46BBA">
        <w:rPr>
          <w:rFonts w:eastAsiaTheme="minorEastAsia"/>
          <w:highlight w:val="yellow"/>
          <w:lang w:val="it-IT"/>
        </w:rPr>
        <w:t>excel</w:t>
      </w:r>
      <w:proofErr w:type="spellEnd"/>
      <w:r w:rsidRPr="00B46BBA">
        <w:rPr>
          <w:rFonts w:eastAsiaTheme="minorEastAsia"/>
          <w:highlight w:val="yellow"/>
          <w:lang w:val="it-IT"/>
        </w:rPr>
        <w:t xml:space="preserve">. Che implicazione ha in economia? Sicuramente togliendo questi due </w:t>
      </w:r>
      <w:proofErr w:type="spellStart"/>
      <w:r w:rsidRPr="00B46BBA">
        <w:rPr>
          <w:rFonts w:eastAsiaTheme="minorEastAsia"/>
          <w:highlight w:val="yellow"/>
          <w:lang w:val="it-IT"/>
        </w:rPr>
        <w:t>bias</w:t>
      </w:r>
      <w:proofErr w:type="spellEnd"/>
      <w:r w:rsidRPr="00B46BBA">
        <w:rPr>
          <w:rFonts w:eastAsiaTheme="minorEastAsia"/>
          <w:highlight w:val="yellow"/>
          <w:lang w:val="it-IT"/>
        </w:rPr>
        <w:t xml:space="preserve"> si aumentano sia i </w:t>
      </w:r>
      <w:proofErr w:type="spellStart"/>
      <w:r w:rsidRPr="00B46BBA">
        <w:rPr>
          <w:rFonts w:eastAsiaTheme="minorEastAsia"/>
          <w:highlight w:val="yellow"/>
          <w:lang w:val="it-IT"/>
        </w:rPr>
        <w:t>return</w:t>
      </w:r>
      <w:proofErr w:type="spellEnd"/>
      <w:r w:rsidRPr="00B46BBA">
        <w:rPr>
          <w:rFonts w:eastAsiaTheme="minorEastAsia"/>
          <w:highlight w:val="yellow"/>
          <w:lang w:val="it-IT"/>
        </w:rPr>
        <w:t xml:space="preserve"> e si abbassa il rischio, ma chi ne beneficia?</w:t>
      </w:r>
    </w:p>
    <w:p w14:paraId="452F1D2A" w14:textId="682C0940" w:rsidR="00355894" w:rsidRDefault="00355894" w:rsidP="00355894">
      <w:pPr>
        <w:pStyle w:val="Heading2"/>
        <w:rPr>
          <w:rFonts w:eastAsiaTheme="minorEastAsia"/>
          <w:lang w:val="it-IT"/>
        </w:rPr>
      </w:pPr>
      <w:r>
        <w:rPr>
          <w:rFonts w:eastAsiaTheme="minorEastAsia"/>
          <w:lang w:val="it-IT"/>
        </w:rPr>
        <w:t>Perché è importante che il mercato sia efficiente? (</w:t>
      </w:r>
      <w:r w:rsidRPr="00355894">
        <w:rPr>
          <w:rFonts w:eastAsiaTheme="minorEastAsia"/>
          <w:lang w:val="it-IT"/>
        </w:rPr>
        <w:t>http://www.economicus.org/library/harvard-chapter2-basic-real-estate-economics.pdf</w:t>
      </w:r>
      <w:r>
        <w:rPr>
          <w:rFonts w:eastAsiaTheme="minorEastAsia"/>
          <w:lang w:val="it-IT"/>
        </w:rPr>
        <w:t>)</w:t>
      </w:r>
    </w:p>
    <w:p w14:paraId="56789403" w14:textId="7C6BDAF3" w:rsidR="00764C29" w:rsidRDefault="00355894" w:rsidP="002A0EA3">
      <w:pPr>
        <w:jc w:val="both"/>
        <w:rPr>
          <w:rFonts w:eastAsiaTheme="minorEastAsia"/>
          <w:lang w:val="it-IT"/>
        </w:rPr>
      </w:pPr>
      <w:proofErr w:type="spellStart"/>
      <w:r w:rsidRPr="00355894">
        <w:rPr>
          <w:rFonts w:eastAsiaTheme="minorEastAsia"/>
          <w:highlight w:val="red"/>
          <w:lang w:val="it-IT"/>
        </w:rPr>
        <w:t>Inefficient</w:t>
      </w:r>
      <w:proofErr w:type="spellEnd"/>
      <w:r w:rsidRPr="00355894">
        <w:rPr>
          <w:rFonts w:eastAsiaTheme="minorEastAsia"/>
          <w:highlight w:val="red"/>
          <w:lang w:val="it-IT"/>
        </w:rPr>
        <w:t xml:space="preserve"> market vuol dire che il mercato non è in equilibrio ma un continuo disequilibrio e fa fatica ad arrivare all’equilibrio.</w:t>
      </w:r>
      <w:r>
        <w:rPr>
          <w:rFonts w:eastAsiaTheme="minorEastAsia"/>
          <w:lang w:val="it-IT"/>
        </w:rPr>
        <w:t xml:space="preserve"> </w:t>
      </w:r>
    </w:p>
    <w:p w14:paraId="55EA8DC0" w14:textId="77777777" w:rsidR="00A4248B" w:rsidRPr="00A4248B" w:rsidRDefault="00355894" w:rsidP="00A4248B">
      <w:pPr>
        <w:jc w:val="both"/>
        <w:rPr>
          <w:rFonts w:eastAsiaTheme="minorEastAsia"/>
        </w:rPr>
      </w:pPr>
      <w:r w:rsidRPr="00355894">
        <w:rPr>
          <w:rFonts w:eastAsiaTheme="minorEastAsia"/>
          <w:highlight w:val="yellow"/>
          <w:lang w:val="it-IT"/>
        </w:rPr>
        <w:t xml:space="preserve">Aggiungere la parte di scienza delle finanze per fare capire come i </w:t>
      </w:r>
      <w:proofErr w:type="spellStart"/>
      <w:r w:rsidRPr="00355894">
        <w:rPr>
          <w:rFonts w:eastAsiaTheme="minorEastAsia"/>
          <w:highlight w:val="yellow"/>
          <w:lang w:val="it-IT"/>
        </w:rPr>
        <w:t>transaction</w:t>
      </w:r>
      <w:proofErr w:type="spellEnd"/>
      <w:r w:rsidRPr="00355894">
        <w:rPr>
          <w:rFonts w:eastAsiaTheme="minorEastAsia"/>
          <w:highlight w:val="yellow"/>
          <w:lang w:val="it-IT"/>
        </w:rPr>
        <w:t xml:space="preserve"> costs impattano sulle curve di demand e supply.</w:t>
      </w:r>
      <w:r w:rsidR="00A4248B">
        <w:rPr>
          <w:rFonts w:eastAsiaTheme="minorEastAsia"/>
          <w:lang w:val="it-IT"/>
        </w:rPr>
        <w:t xml:space="preserve"> </w:t>
      </w:r>
      <w:proofErr w:type="spellStart"/>
      <w:r w:rsidR="00A4248B" w:rsidRPr="00A4248B">
        <w:rPr>
          <w:rFonts w:eastAsiaTheme="minorEastAsia"/>
        </w:rPr>
        <w:t>Intuizione</w:t>
      </w:r>
      <w:proofErr w:type="spellEnd"/>
      <w:r w:rsidR="00A4248B" w:rsidRPr="00A4248B">
        <w:rPr>
          <w:rFonts w:eastAsiaTheme="minorEastAsia"/>
        </w:rPr>
        <w:t xml:space="preserve"> data da: Efficiency of the Market for Residential Real Estate</w:t>
      </w:r>
    </w:p>
    <w:p w14:paraId="224CE8ED" w14:textId="77777777" w:rsidR="00A4248B" w:rsidRPr="00A4248B" w:rsidRDefault="00A4248B" w:rsidP="00A4248B">
      <w:pPr>
        <w:jc w:val="both"/>
        <w:rPr>
          <w:rFonts w:eastAsiaTheme="minorEastAsia"/>
        </w:rPr>
      </w:pPr>
      <w:r w:rsidRPr="00A4248B">
        <w:rPr>
          <w:rFonts w:eastAsiaTheme="minorEastAsia"/>
        </w:rPr>
        <w:t xml:space="preserve">Author(s): Karl L. </w:t>
      </w:r>
      <w:proofErr w:type="spellStart"/>
      <w:r w:rsidRPr="00A4248B">
        <w:rPr>
          <w:rFonts w:eastAsiaTheme="minorEastAsia"/>
        </w:rPr>
        <w:t>Guntermann</w:t>
      </w:r>
      <w:proofErr w:type="spellEnd"/>
      <w:r w:rsidRPr="00A4248B">
        <w:rPr>
          <w:rFonts w:eastAsiaTheme="minorEastAsia"/>
        </w:rPr>
        <w:t xml:space="preserve"> and Richard L. Smith</w:t>
      </w:r>
    </w:p>
    <w:p w14:paraId="50BBA266" w14:textId="7B908E55" w:rsidR="00355894" w:rsidRPr="00A4248B" w:rsidRDefault="00A4248B" w:rsidP="00A4248B">
      <w:pPr>
        <w:jc w:val="both"/>
        <w:rPr>
          <w:rFonts w:eastAsiaTheme="minorEastAsia"/>
        </w:rPr>
      </w:pPr>
      <w:r w:rsidRPr="00A4248B">
        <w:rPr>
          <w:rFonts w:eastAsiaTheme="minorEastAsia"/>
        </w:rPr>
        <w:t>Source: Land Economics, Vol. 63, No. 1 (</w:t>
      </w:r>
      <w:proofErr w:type="gramStart"/>
      <w:r w:rsidRPr="00A4248B">
        <w:rPr>
          <w:rFonts w:eastAsiaTheme="minorEastAsia"/>
        </w:rPr>
        <w:t>Feb.,</w:t>
      </w:r>
      <w:proofErr w:type="gramEnd"/>
      <w:r w:rsidRPr="00A4248B">
        <w:rPr>
          <w:rFonts w:eastAsiaTheme="minorEastAsia"/>
        </w:rPr>
        <w:t xml:space="preserve"> 1987), pp. 34-45</w:t>
      </w:r>
    </w:p>
    <w:p w14:paraId="43B41A36" w14:textId="5B5D1986" w:rsidR="0033143C" w:rsidRDefault="00355894" w:rsidP="002A0EA3">
      <w:pPr>
        <w:jc w:val="both"/>
        <w:rPr>
          <w:rFonts w:eastAsiaTheme="minorEastAsia"/>
          <w:lang w:val="it-IT"/>
        </w:rPr>
      </w:pPr>
      <w:r>
        <w:rPr>
          <w:rFonts w:eastAsiaTheme="minorEastAsia"/>
          <w:lang w:val="it-IT"/>
        </w:rPr>
        <w:t xml:space="preserve">Seguendo la teoria economica </w:t>
      </w:r>
      <w:proofErr w:type="spellStart"/>
      <w:r>
        <w:rPr>
          <w:rFonts w:eastAsiaTheme="minorEastAsia"/>
          <w:lang w:val="it-IT"/>
        </w:rPr>
        <w:t>economica</w:t>
      </w:r>
      <w:proofErr w:type="spellEnd"/>
      <w:r>
        <w:rPr>
          <w:rFonts w:eastAsiaTheme="minorEastAsia"/>
          <w:lang w:val="it-IT"/>
        </w:rPr>
        <w:t xml:space="preserve"> tradizionale, la domanda per beni immobiliari può essere definita come la quantità di spazio o il numero di unità domandate a prezzi diversi. </w:t>
      </w:r>
      <w:r w:rsidR="00181AE6">
        <w:rPr>
          <w:rFonts w:eastAsiaTheme="minorEastAsia"/>
          <w:lang w:val="it-IT"/>
        </w:rPr>
        <w:t xml:space="preserve">Tipicamente la funzione di domanda per immobili è inelastica vista la poca offerta di sostituzione del bene. </w:t>
      </w:r>
    </w:p>
    <w:p w14:paraId="1DA91B20" w14:textId="24AE88A0" w:rsidR="00D5470C" w:rsidRDefault="00D5470C" w:rsidP="002A0EA3">
      <w:pPr>
        <w:jc w:val="both"/>
        <w:rPr>
          <w:rFonts w:eastAsiaTheme="minorEastAsia"/>
          <w:lang w:val="it-IT"/>
        </w:rPr>
      </w:pPr>
      <w:r>
        <w:rPr>
          <w:rFonts w:eastAsiaTheme="minorEastAsia"/>
          <w:lang w:val="it-IT"/>
        </w:rPr>
        <w:t xml:space="preserve">Gli affitti e i prezzi del mercato immobiliare vengono determinati attraverso l’interazione della curva di domanda e offerta, come in ogni altro mercato. </w:t>
      </w:r>
    </w:p>
    <w:p w14:paraId="18BBBB64" w14:textId="3A46ABA0" w:rsidR="00355894" w:rsidRDefault="00355894" w:rsidP="002A0EA3">
      <w:pPr>
        <w:jc w:val="both"/>
        <w:rPr>
          <w:rFonts w:eastAsiaTheme="minorEastAsia"/>
          <w:lang w:val="it-IT"/>
        </w:rPr>
      </w:pPr>
      <w:r>
        <w:rPr>
          <w:noProof/>
        </w:rPr>
        <w:lastRenderedPageBreak/>
        <w:drawing>
          <wp:inline distT="0" distB="0" distL="0" distR="0" wp14:anchorId="7DE4D8FB" wp14:editId="3B3AE3BC">
            <wp:extent cx="5188353" cy="2438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4528" t="35973" r="10695" b="26892"/>
                    <a:stretch/>
                  </pic:blipFill>
                  <pic:spPr bwMode="auto">
                    <a:xfrm>
                      <a:off x="0" y="0"/>
                      <a:ext cx="5188519" cy="2438478"/>
                    </a:xfrm>
                    <a:prstGeom prst="rect">
                      <a:avLst/>
                    </a:prstGeom>
                    <a:ln>
                      <a:noFill/>
                    </a:ln>
                    <a:extLst>
                      <a:ext uri="{53640926-AAD7-44D8-BBD7-CCE9431645EC}">
                        <a14:shadowObscured xmlns:a14="http://schemas.microsoft.com/office/drawing/2010/main"/>
                      </a:ext>
                    </a:extLst>
                  </pic:spPr>
                </pic:pic>
              </a:graphicData>
            </a:graphic>
          </wp:inline>
        </w:drawing>
      </w:r>
    </w:p>
    <w:p w14:paraId="4432E6D3" w14:textId="17462AA6" w:rsidR="00AA66D3" w:rsidRDefault="00AA66D3" w:rsidP="002A0EA3">
      <w:pPr>
        <w:jc w:val="both"/>
        <w:rPr>
          <w:rFonts w:eastAsiaTheme="minorEastAsia"/>
          <w:lang w:val="it-IT"/>
        </w:rPr>
      </w:pPr>
      <w:r>
        <w:rPr>
          <w:rFonts w:eastAsiaTheme="minorEastAsia"/>
          <w:lang w:val="it-IT"/>
        </w:rPr>
        <w:t>Le inefficienze presenti nel mercato immobiliare, come ad esempio i costi di transazione, possono essere pensati come delle imposte che gravano sulla curva della domanda. Il costo di ricerca è infatti sostenuto dagli acquirenti che devono, grazie alle poche informazioni disponibili, riuscire a massimizzare la propria utilità.</w:t>
      </w:r>
    </w:p>
    <w:p w14:paraId="79DEE61D" w14:textId="3D48B47F" w:rsidR="00AA66D3" w:rsidRDefault="006B5996" w:rsidP="002A0EA3">
      <w:pPr>
        <w:jc w:val="both"/>
        <w:rPr>
          <w:rFonts w:eastAsiaTheme="minorEastAsia"/>
          <w:lang w:val="it-IT"/>
        </w:rPr>
      </w:pPr>
      <w:r>
        <w:rPr>
          <w:rFonts w:eastAsiaTheme="minorEastAsia"/>
          <w:lang w:val="it-IT"/>
        </w:rPr>
        <w:t xml:space="preserve">Si immagini una situazione iniziale di questo tipo in cui le curve di offerta e domanda sono in equilibrio. </w:t>
      </w:r>
    </w:p>
    <w:p w14:paraId="30613195" w14:textId="29414CA5" w:rsidR="005B24D0" w:rsidRDefault="006B5996" w:rsidP="002A0EA3">
      <w:pPr>
        <w:jc w:val="both"/>
        <w:rPr>
          <w:rFonts w:eastAsiaTheme="minorEastAsia"/>
          <w:lang w:val="it-IT"/>
        </w:rPr>
      </w:pPr>
      <w:r w:rsidRPr="006B5996">
        <w:rPr>
          <w:rFonts w:eastAsiaTheme="minorEastAsia"/>
        </w:rPr>
        <mc:AlternateContent>
          <mc:Choice Requires="wpg">
            <w:drawing>
              <wp:inline distT="0" distB="0" distL="0" distR="0" wp14:anchorId="7949733D" wp14:editId="0709CCBA">
                <wp:extent cx="1966913" cy="1896508"/>
                <wp:effectExtent l="57150" t="38100" r="0" b="66040"/>
                <wp:docPr id="11" name="Group 15"/>
                <wp:cNvGraphicFramePr xmlns:a="http://schemas.openxmlformats.org/drawingml/2006/main"/>
                <a:graphic xmlns:a="http://schemas.openxmlformats.org/drawingml/2006/main">
                  <a:graphicData uri="http://schemas.microsoft.com/office/word/2010/wordprocessingGroup">
                    <wpg:wgp>
                      <wpg:cNvGrpSpPr/>
                      <wpg:grpSpPr>
                        <a:xfrm>
                          <a:off x="0" y="0"/>
                          <a:ext cx="1966913" cy="1896508"/>
                          <a:chOff x="0" y="0"/>
                          <a:chExt cx="4869754" cy="4081936"/>
                        </a:xfrm>
                      </wpg:grpSpPr>
                      <wps:wsp>
                        <wps:cNvPr id="12" name="Straight Arrow Connector 12"/>
                        <wps:cNvCnPr/>
                        <wps:spPr>
                          <a:xfrm flipV="1">
                            <a:off x="36576" y="0"/>
                            <a:ext cx="0" cy="40306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 name="Straight Arrow Connector 20"/>
                        <wps:cNvCnPr/>
                        <wps:spPr>
                          <a:xfrm>
                            <a:off x="0" y="4016045"/>
                            <a:ext cx="453542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 name="Straight Connector 21"/>
                        <wps:cNvCnPr/>
                        <wps:spPr>
                          <a:xfrm>
                            <a:off x="490118" y="855879"/>
                            <a:ext cx="3416198" cy="2421331"/>
                          </a:xfrm>
                          <a:prstGeom prst="line">
                            <a:avLst/>
                          </a:prstGeom>
                        </wps:spPr>
                        <wps:style>
                          <a:lnRef idx="1">
                            <a:schemeClr val="dk1"/>
                          </a:lnRef>
                          <a:fillRef idx="0">
                            <a:schemeClr val="dk1"/>
                          </a:fillRef>
                          <a:effectRef idx="0">
                            <a:schemeClr val="dk1"/>
                          </a:effectRef>
                          <a:fontRef idx="minor">
                            <a:schemeClr val="tx1"/>
                          </a:fontRef>
                        </wps:style>
                        <wps:bodyPr/>
                      </wps:wsp>
                      <wps:wsp>
                        <wps:cNvPr id="22" name="Straight Connector 22"/>
                        <wps:cNvCnPr/>
                        <wps:spPr>
                          <a:xfrm flipV="1">
                            <a:off x="416964" y="314554"/>
                            <a:ext cx="3247949" cy="247253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TextBox 13"/>
                        <wps:cNvSpPr txBox="1"/>
                        <wps:spPr>
                          <a:xfrm>
                            <a:off x="3712638" y="287153"/>
                            <a:ext cx="892985" cy="1063322"/>
                          </a:xfrm>
                          <a:prstGeom prst="rect">
                            <a:avLst/>
                          </a:prstGeom>
                          <a:noFill/>
                        </wps:spPr>
                        <wps:txbx>
                          <w:txbxContent>
                            <w:p w14:paraId="6D10DA15" w14:textId="77777777" w:rsidR="006B5996" w:rsidRDefault="006B5996" w:rsidP="006B5996">
                              <w:pPr>
                                <w:rPr>
                                  <w:rFonts w:hAnsi="Calibri"/>
                                  <w:color w:val="000000" w:themeColor="text1"/>
                                  <w:kern w:val="24"/>
                                  <w:sz w:val="36"/>
                                  <w:szCs w:val="36"/>
                                </w:rPr>
                              </w:pPr>
                              <w:r>
                                <w:rPr>
                                  <w:rFonts w:hAnsi="Calibri"/>
                                  <w:color w:val="000000" w:themeColor="text1"/>
                                  <w:kern w:val="24"/>
                                  <w:sz w:val="36"/>
                                  <w:szCs w:val="36"/>
                                </w:rPr>
                                <w:t>S</w:t>
                              </w:r>
                            </w:p>
                          </w:txbxContent>
                        </wps:txbx>
                        <wps:bodyPr wrap="square" rtlCol="0">
                          <a:spAutoFit/>
                        </wps:bodyPr>
                      </wps:wsp>
                      <wps:wsp>
                        <wps:cNvPr id="24" name="TextBox 14"/>
                        <wps:cNvSpPr txBox="1"/>
                        <wps:spPr>
                          <a:xfrm>
                            <a:off x="3978342" y="3018614"/>
                            <a:ext cx="891412" cy="1063322"/>
                          </a:xfrm>
                          <a:prstGeom prst="rect">
                            <a:avLst/>
                          </a:prstGeom>
                          <a:noFill/>
                        </wps:spPr>
                        <wps:txbx>
                          <w:txbxContent>
                            <w:p w14:paraId="0B120208" w14:textId="77777777" w:rsidR="006B5996" w:rsidRDefault="006B5996" w:rsidP="006B5996">
                              <w:pPr>
                                <w:rPr>
                                  <w:rFonts w:hAnsi="Calibri"/>
                                  <w:color w:val="000000" w:themeColor="text1"/>
                                  <w:kern w:val="24"/>
                                  <w:sz w:val="36"/>
                                  <w:szCs w:val="36"/>
                                </w:rPr>
                              </w:pPr>
                              <w:r>
                                <w:rPr>
                                  <w:rFonts w:hAnsi="Calibri"/>
                                  <w:color w:val="000000" w:themeColor="text1"/>
                                  <w:kern w:val="24"/>
                                  <w:sz w:val="36"/>
                                  <w:szCs w:val="36"/>
                                </w:rPr>
                                <w:t>D</w:t>
                              </w:r>
                            </w:p>
                          </w:txbxContent>
                        </wps:txbx>
                        <wps:bodyPr wrap="square" rtlCol="0">
                          <a:spAutoFit/>
                        </wps:bodyPr>
                      </wps:wsp>
                    </wpg:wgp>
                  </a:graphicData>
                </a:graphic>
              </wp:inline>
            </w:drawing>
          </mc:Choice>
          <mc:Fallback>
            <w:pict>
              <v:group w14:anchorId="7949733D" id="Group 15" o:spid="_x0000_s1027" style="width:154.9pt;height:149.35pt;mso-position-horizontal-relative:char;mso-position-vertical-relative:line" coordsize="48697,408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">
                <v:shapetype id="_x0000_t32" coordsize="21600,21600" o:spt="32" o:oned="t" path="m,l21600,21600e" filled="f">
                  <v:path arrowok="t" fillok="f" o:connecttype="none"/>
                  <o:lock v:ext="edit" shapetype="t"/>
                </v:shapetype>
                <v:shape id="Straight Arrow Connector 12" o:spid="_x0000_s1028" type="#_x0000_t32" style="position:absolute;left:365;width:0;height:403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" strokecolor="#4472c4 [3204]" strokeweight=".5pt">
                  <v:stroke endarrow="block" joinstyle="miter"/>
                </v:shape>
                <v:shape id="Straight Arrow Connector 20" o:spid="_x0000_s1029" type="#_x0000_t32" style="position:absolute;top:40160;width:4535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" strokecolor="#4472c4 [3204]" strokeweight=".5pt">
                  <v:stroke endarrow="block" joinstyle="miter"/>
                </v:shape>
                <v:line id="Straight Connector 21" o:spid="_x0000_s1030" style="position:absolute;visibility:visible;mso-wrap-style:square" from="4901,8558" to="39063,32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" strokecolor="black [3200]" strokeweight=".5pt">
                  <v:stroke joinstyle="miter"/>
                </v:line>
                <v:line id="Straight Connector 22" o:spid="_x0000_s1031" style="position:absolute;flip:y;visibility:visible;mso-wrap-style:square" from="4169,3145" to="36649,27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shape id="TextBox 13" o:spid="_x0000_s1032" type="#_x0000_t202" style="position:absolute;left:37126;top:2871;width:8930;height:10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" filled="f" stroked="f">
                  <v:textbox style="mso-fit-shape-to-text:t">
                    <w:txbxContent>
                      <w:p w14:paraId="6D10DA15" w14:textId="77777777" w:rsidR="006B5996" w:rsidRDefault="006B5996" w:rsidP="006B5996">
                        <w:pPr>
                          <w:rPr>
                            <w:rFonts w:hAnsi="Calibri"/>
                            <w:color w:val="000000" w:themeColor="text1"/>
                            <w:kern w:val="24"/>
                            <w:sz w:val="36"/>
                            <w:szCs w:val="36"/>
                          </w:rPr>
                        </w:pPr>
                        <w:r>
                          <w:rPr>
                            <w:rFonts w:hAnsi="Calibri"/>
                            <w:color w:val="000000" w:themeColor="text1"/>
                            <w:kern w:val="24"/>
                            <w:sz w:val="36"/>
                            <w:szCs w:val="36"/>
                          </w:rPr>
                          <w:t>S</w:t>
                        </w:r>
                      </w:p>
                    </w:txbxContent>
                  </v:textbox>
                </v:shape>
                <v:shape id="TextBox 14" o:spid="_x0000_s1033" type="#_x0000_t202" style="position:absolute;left:39783;top:30186;width:8914;height:10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" filled="f" stroked="f">
                  <v:textbox style="mso-fit-shape-to-text:t">
                    <w:txbxContent>
                      <w:p w14:paraId="0B120208" w14:textId="77777777" w:rsidR="006B5996" w:rsidRDefault="006B5996" w:rsidP="006B5996">
                        <w:pPr>
                          <w:rPr>
                            <w:rFonts w:hAnsi="Calibri"/>
                            <w:color w:val="000000" w:themeColor="text1"/>
                            <w:kern w:val="24"/>
                            <w:sz w:val="36"/>
                            <w:szCs w:val="36"/>
                          </w:rPr>
                        </w:pPr>
                        <w:r>
                          <w:rPr>
                            <w:rFonts w:hAnsi="Calibri"/>
                            <w:color w:val="000000" w:themeColor="text1"/>
                            <w:kern w:val="24"/>
                            <w:sz w:val="36"/>
                            <w:szCs w:val="36"/>
                          </w:rPr>
                          <w:t>D</w:t>
                        </w:r>
                      </w:p>
                    </w:txbxContent>
                  </v:textbox>
                </v:shape>
                <w10:anchorlock/>
              </v:group>
            </w:pict>
          </mc:Fallback>
        </mc:AlternateContent>
      </w:r>
    </w:p>
    <w:p w14:paraId="49262DFB" w14:textId="41D0BB8B" w:rsidR="006B5996" w:rsidRDefault="006B5996" w:rsidP="002A0EA3">
      <w:pPr>
        <w:jc w:val="both"/>
        <w:rPr>
          <w:rFonts w:eastAsiaTheme="minorEastAsia"/>
          <w:lang w:val="it-IT"/>
        </w:rPr>
      </w:pPr>
      <w:r>
        <w:rPr>
          <w:rFonts w:eastAsiaTheme="minorEastAsia"/>
          <w:lang w:val="it-IT"/>
        </w:rPr>
        <w:t>Se si pensa ai costi di transazione come un’imposta</w:t>
      </w:r>
      <w:r w:rsidR="00661F2B">
        <w:rPr>
          <w:rFonts w:eastAsiaTheme="minorEastAsia"/>
          <w:lang w:val="it-IT"/>
        </w:rPr>
        <w:t xml:space="preserve"> (</w:t>
      </w:r>
      <w:r w:rsidR="00661F2B">
        <w:rPr>
          <w:rFonts w:eastAsiaTheme="minorEastAsia" w:cstheme="minorHAnsi"/>
          <w:lang w:val="it-IT"/>
        </w:rPr>
        <w:t>τ</w:t>
      </w:r>
      <w:r w:rsidR="00661F2B">
        <w:rPr>
          <w:rFonts w:eastAsiaTheme="minorEastAsia"/>
          <w:lang w:val="it-IT"/>
        </w:rPr>
        <w:t>)</w:t>
      </w:r>
      <w:r>
        <w:rPr>
          <w:rFonts w:eastAsiaTheme="minorEastAsia"/>
          <w:lang w:val="it-IT"/>
        </w:rPr>
        <w:t xml:space="preserve"> che grava su una domanda è facile capire come questi incidano sul benessere collettivo:</w:t>
      </w:r>
    </w:p>
    <w:p w14:paraId="0529ED16" w14:textId="52CE4961" w:rsidR="006B5996" w:rsidRDefault="000E378B" w:rsidP="002A0EA3">
      <w:pPr>
        <w:jc w:val="both"/>
        <w:rPr>
          <w:rFonts w:eastAsiaTheme="minorEastAsia"/>
          <w:lang w:val="it-IT"/>
        </w:rPr>
      </w:pPr>
      <w:r w:rsidRPr="000E378B">
        <w:rPr>
          <w:rFonts w:eastAsiaTheme="minorEastAsia"/>
        </w:rPr>
        <mc:AlternateContent>
          <mc:Choice Requires="wpg">
            <w:drawing>
              <wp:inline distT="0" distB="0" distL="0" distR="0" wp14:anchorId="4EE1FDF5" wp14:editId="61E49A80">
                <wp:extent cx="1857388" cy="1701420"/>
                <wp:effectExtent l="0" t="0" r="0" b="0"/>
                <wp:docPr id="36" name="Group 41"/>
                <wp:cNvGraphicFramePr xmlns:a="http://schemas.openxmlformats.org/drawingml/2006/main"/>
                <a:graphic xmlns:a="http://schemas.openxmlformats.org/drawingml/2006/main">
                  <a:graphicData uri="http://schemas.microsoft.com/office/word/2010/wordprocessingGroup">
                    <wpg:wgp>
                      <wpg:cNvGrpSpPr/>
                      <wpg:grpSpPr>
                        <a:xfrm>
                          <a:off x="0" y="0"/>
                          <a:ext cx="1857388" cy="1701420"/>
                          <a:chOff x="0" y="0"/>
                          <a:chExt cx="2975890" cy="2438864"/>
                        </a:xfrm>
                      </wpg:grpSpPr>
                      <wpg:grpSp>
                        <wpg:cNvPr id="37" name="Group 37"/>
                        <wpg:cNvGrpSpPr/>
                        <wpg:grpSpPr>
                          <a:xfrm>
                            <a:off x="391797" y="0"/>
                            <a:ext cx="2584093" cy="1960872"/>
                            <a:chOff x="391797" y="0"/>
                            <a:chExt cx="2584093" cy="1960872"/>
                          </a:xfrm>
                        </wpg:grpSpPr>
                        <wps:wsp>
                          <wps:cNvPr id="38" name="Straight Arrow Connector 38"/>
                          <wps:cNvCnPr/>
                          <wps:spPr>
                            <a:xfrm flipV="1">
                              <a:off x="418392" y="86544"/>
                              <a:ext cx="0" cy="18726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 name="Straight Arrow Connector 39"/>
                          <wps:cNvCnPr/>
                          <wps:spPr>
                            <a:xfrm>
                              <a:off x="403619" y="1952438"/>
                              <a:ext cx="183187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a:off x="601580" y="484194"/>
                              <a:ext cx="1379816" cy="1124974"/>
                            </a:xfrm>
                            <a:prstGeom prst="line">
                              <a:avLst/>
                            </a:prstGeom>
                          </wps:spPr>
                          <wps:style>
                            <a:lnRef idx="1">
                              <a:schemeClr val="dk1"/>
                            </a:lnRef>
                            <a:fillRef idx="0">
                              <a:schemeClr val="dk1"/>
                            </a:fillRef>
                            <a:effectRef idx="0">
                              <a:schemeClr val="dk1"/>
                            </a:effectRef>
                            <a:fontRef idx="minor">
                              <a:schemeClr val="tx1"/>
                            </a:fontRef>
                          </wps:style>
                          <wps:bodyPr/>
                        </wps:wsp>
                        <wps:wsp>
                          <wps:cNvPr id="41" name="Straight Connector 41"/>
                          <wps:cNvCnPr/>
                          <wps:spPr>
                            <a:xfrm flipV="1">
                              <a:off x="572032" y="232689"/>
                              <a:ext cx="1311859" cy="1148766"/>
                            </a:xfrm>
                            <a:prstGeom prst="line">
                              <a:avLst/>
                            </a:prstGeom>
                          </wps:spPr>
                          <wps:style>
                            <a:lnRef idx="1">
                              <a:schemeClr val="dk1"/>
                            </a:lnRef>
                            <a:fillRef idx="0">
                              <a:schemeClr val="dk1"/>
                            </a:fillRef>
                            <a:effectRef idx="0">
                              <a:schemeClr val="dk1"/>
                            </a:effectRef>
                            <a:fontRef idx="minor">
                              <a:schemeClr val="tx1"/>
                            </a:fontRef>
                          </wps:style>
                          <wps:bodyPr/>
                        </wps:wsp>
                        <wps:wsp>
                          <wps:cNvPr id="42" name="TextBox 13"/>
                          <wps:cNvSpPr txBox="1"/>
                          <wps:spPr>
                            <a:xfrm>
                              <a:off x="1903327" y="219876"/>
                              <a:ext cx="360156" cy="516099"/>
                            </a:xfrm>
                            <a:prstGeom prst="rect">
                              <a:avLst/>
                            </a:prstGeom>
                            <a:noFill/>
                          </wps:spPr>
                          <wps:txbx>
                            <w:txbxContent>
                              <w:p w14:paraId="608F0549" w14:textId="77777777" w:rsidR="000E378B" w:rsidRDefault="000E378B" w:rsidP="000E378B">
                                <w:pPr>
                                  <w:rPr>
                                    <w:rFonts w:hAnsi="Calibri"/>
                                    <w:color w:val="000000" w:themeColor="text1"/>
                                    <w:kern w:val="24"/>
                                    <w:sz w:val="20"/>
                                    <w:szCs w:val="20"/>
                                  </w:rPr>
                                </w:pPr>
                                <w:r>
                                  <w:rPr>
                                    <w:rFonts w:hAnsi="Calibri"/>
                                    <w:color w:val="000000" w:themeColor="text1"/>
                                    <w:kern w:val="24"/>
                                    <w:sz w:val="20"/>
                                    <w:szCs w:val="20"/>
                                  </w:rPr>
                                  <w:t>S</w:t>
                                </w:r>
                              </w:p>
                            </w:txbxContent>
                          </wps:txbx>
                          <wps:bodyPr wrap="square" rtlCol="0">
                            <a:spAutoFit/>
                          </wps:bodyPr>
                        </wps:wsp>
                        <wps:wsp>
                          <wps:cNvPr id="43" name="TextBox 14"/>
                          <wps:cNvSpPr txBox="1"/>
                          <wps:spPr>
                            <a:xfrm>
                              <a:off x="2010663" y="1444773"/>
                              <a:ext cx="813913" cy="516099"/>
                            </a:xfrm>
                            <a:prstGeom prst="rect">
                              <a:avLst/>
                            </a:prstGeom>
                            <a:noFill/>
                          </wps:spPr>
                          <wps:txbx>
                            <w:txbxContent>
                              <w:p w14:paraId="69CAAD44" w14:textId="77777777" w:rsidR="000E378B" w:rsidRDefault="000E378B" w:rsidP="000E378B">
                                <w:pPr>
                                  <w:rPr>
                                    <w:rFonts w:hAnsi="Calibri"/>
                                    <w:color w:val="000000" w:themeColor="text1"/>
                                    <w:kern w:val="24"/>
                                    <w:sz w:val="20"/>
                                    <w:szCs w:val="20"/>
                                  </w:rPr>
                                </w:pPr>
                                <w:r>
                                  <w:rPr>
                                    <w:rFonts w:hAnsi="Calibri"/>
                                    <w:color w:val="000000" w:themeColor="text1"/>
                                    <w:kern w:val="24"/>
                                    <w:sz w:val="20"/>
                                    <w:szCs w:val="20"/>
                                  </w:rPr>
                                  <w:t>D</w:t>
                                </w:r>
                              </w:p>
                            </w:txbxContent>
                          </wps:txbx>
                          <wps:bodyPr wrap="square" rtlCol="0">
                            <a:spAutoFit/>
                          </wps:bodyPr>
                        </wps:wsp>
                        <wps:wsp>
                          <wps:cNvPr id="44" name="Straight Connector 44"/>
                          <wps:cNvCnPr/>
                          <wps:spPr>
                            <a:xfrm>
                              <a:off x="782462" y="268377"/>
                              <a:ext cx="1379816" cy="1124974"/>
                            </a:xfrm>
                            <a:prstGeom prst="line">
                              <a:avLst/>
                            </a:prstGeom>
                          </wps:spPr>
                          <wps:style>
                            <a:lnRef idx="1">
                              <a:schemeClr val="dk1"/>
                            </a:lnRef>
                            <a:fillRef idx="0">
                              <a:schemeClr val="dk1"/>
                            </a:fillRef>
                            <a:effectRef idx="0">
                              <a:schemeClr val="dk1"/>
                            </a:effectRef>
                            <a:fontRef idx="minor">
                              <a:schemeClr val="tx1"/>
                            </a:fontRef>
                          </wps:style>
                          <wps:bodyPr/>
                        </wps:wsp>
                        <wps:wsp>
                          <wps:cNvPr id="45" name="TextBox 17"/>
                          <wps:cNvSpPr txBox="1"/>
                          <wps:spPr>
                            <a:xfrm>
                              <a:off x="2161977" y="1161335"/>
                              <a:ext cx="813913" cy="516099"/>
                            </a:xfrm>
                            <a:prstGeom prst="rect">
                              <a:avLst/>
                            </a:prstGeom>
                            <a:noFill/>
                          </wps:spPr>
                          <wps:txbx>
                            <w:txbxContent>
                              <w:p w14:paraId="1F65EB30" w14:textId="77777777" w:rsidR="000E378B" w:rsidRDefault="000E378B" w:rsidP="000E378B">
                                <w:pPr>
                                  <w:rPr>
                                    <w:rFonts w:hAnsi="Calibri"/>
                                    <w:color w:val="000000" w:themeColor="text1"/>
                                    <w:kern w:val="24"/>
                                    <w:sz w:val="20"/>
                                    <w:szCs w:val="20"/>
                                  </w:rPr>
                                </w:pPr>
                                <w:r>
                                  <w:rPr>
                                    <w:rFonts w:hAnsi="Calibri"/>
                                    <w:color w:val="000000" w:themeColor="text1"/>
                                    <w:kern w:val="24"/>
                                    <w:sz w:val="20"/>
                                    <w:szCs w:val="20"/>
                                  </w:rPr>
                                  <w:t>D’</w:t>
                                </w:r>
                              </w:p>
                            </w:txbxContent>
                          </wps:txbx>
                          <wps:bodyPr wrap="square" rtlCol="0">
                            <a:spAutoFit/>
                          </wps:bodyPr>
                        </wps:wsp>
                        <wps:wsp>
                          <wps:cNvPr id="46" name="Left Brace 46"/>
                          <wps:cNvSpPr/>
                          <wps:spPr>
                            <a:xfrm rot="2489249">
                              <a:off x="533544" y="157709"/>
                              <a:ext cx="190559" cy="369332"/>
                            </a:xfrm>
                            <a:prstGeom prst="leftBrace">
                              <a:avLst/>
                            </a:prstGeom>
                          </wps:spPr>
                          <wps:style>
                            <a:lnRef idx="1">
                              <a:schemeClr val="accent1"/>
                            </a:lnRef>
                            <a:fillRef idx="0">
                              <a:schemeClr val="accent1"/>
                            </a:fillRef>
                            <a:effectRef idx="0">
                              <a:schemeClr val="accent1"/>
                            </a:effectRef>
                            <a:fontRef idx="minor">
                              <a:schemeClr val="tx1"/>
                            </a:fontRef>
                          </wps:style>
                          <wps:bodyPr rtlCol="0" anchor="ctr"/>
                        </wps:wsp>
                        <wps:wsp>
                          <wps:cNvPr id="47" name="TextBox 19"/>
                          <wps:cNvSpPr txBox="1"/>
                          <wps:spPr>
                            <a:xfrm>
                              <a:off x="391797" y="0"/>
                              <a:ext cx="360156" cy="516099"/>
                            </a:xfrm>
                            <a:prstGeom prst="rect">
                              <a:avLst/>
                            </a:prstGeom>
                            <a:noFill/>
                          </wps:spPr>
                          <wps:txbx>
                            <w:txbxContent>
                              <w:p w14:paraId="23FC4FFB" w14:textId="77777777" w:rsidR="000E378B" w:rsidRDefault="000E378B" w:rsidP="000E378B">
                                <w:pPr>
                                  <w:rPr>
                                    <w:rFonts w:hAnsi="Calibri"/>
                                    <w:color w:val="000000" w:themeColor="text1"/>
                                    <w:kern w:val="24"/>
                                    <w:sz w:val="20"/>
                                    <w:szCs w:val="20"/>
                                  </w:rPr>
                                </w:pPr>
                                <w:r>
                                  <w:rPr>
                                    <w:rFonts w:hAnsi="Calibri"/>
                                    <w:color w:val="000000" w:themeColor="text1"/>
                                    <w:kern w:val="24"/>
                                    <w:sz w:val="20"/>
                                    <w:szCs w:val="20"/>
                                  </w:rPr>
                                  <w:t>τ</w:t>
                                </w:r>
                              </w:p>
                            </w:txbxContent>
                          </wps:txbx>
                          <wps:bodyPr wrap="square" rtlCol="0">
                            <a:spAutoFit/>
                          </wps:bodyPr>
                        </wps:wsp>
                      </wpg:grpSp>
                      <wps:wsp>
                        <wps:cNvPr id="48" name="Straight Connector 48"/>
                        <wps:cNvCnPr>
                          <a:cxnSpLocks/>
                        </wps:cNvCnPr>
                        <wps:spPr>
                          <a:xfrm>
                            <a:off x="418392" y="723827"/>
                            <a:ext cx="901165" cy="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49" name="Straight Connector 49"/>
                        <wps:cNvCnPr>
                          <a:cxnSpLocks/>
                        </wps:cNvCnPr>
                        <wps:spPr>
                          <a:xfrm>
                            <a:off x="418392" y="905534"/>
                            <a:ext cx="685764" cy="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50" name="Straight Connector 50"/>
                        <wps:cNvCnPr>
                          <a:cxnSpLocks/>
                        </wps:cNvCnPr>
                        <wps:spPr>
                          <a:xfrm>
                            <a:off x="1104156" y="905534"/>
                            <a:ext cx="0" cy="1053702"/>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51" name="Straight Connector 51"/>
                        <wps:cNvCnPr>
                          <a:cxnSpLocks/>
                        </wps:cNvCnPr>
                        <wps:spPr>
                          <a:xfrm>
                            <a:off x="1319557" y="723827"/>
                            <a:ext cx="0" cy="1228611"/>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52" name="TextBox 36"/>
                        <wps:cNvSpPr txBox="1"/>
                        <wps:spPr>
                          <a:xfrm>
                            <a:off x="0" y="703704"/>
                            <a:ext cx="717261" cy="516099"/>
                          </a:xfrm>
                          <a:prstGeom prst="rect">
                            <a:avLst/>
                          </a:prstGeom>
                          <a:noFill/>
                        </wps:spPr>
                        <wps:txbx>
                          <w:txbxContent>
                            <w:p w14:paraId="219504DC" w14:textId="77777777" w:rsidR="000E378B" w:rsidRDefault="000E378B" w:rsidP="000E378B">
                              <w:pPr>
                                <w:rPr>
                                  <w:rFonts w:hAnsi="Calibri"/>
                                  <w:color w:val="000000" w:themeColor="text1"/>
                                  <w:kern w:val="24"/>
                                  <w:sz w:val="20"/>
                                  <w:szCs w:val="20"/>
                                </w:rPr>
                              </w:pPr>
                              <w:proofErr w:type="spellStart"/>
                              <w:r>
                                <w:rPr>
                                  <w:rFonts w:hAnsi="Calibri"/>
                                  <w:color w:val="000000" w:themeColor="text1"/>
                                  <w:kern w:val="24"/>
                                  <w:sz w:val="20"/>
                                  <w:szCs w:val="20"/>
                                </w:rPr>
                                <w:t>pn</w:t>
                              </w:r>
                              <w:proofErr w:type="spellEnd"/>
                            </w:p>
                          </w:txbxContent>
                        </wps:txbx>
                        <wps:bodyPr wrap="square" rtlCol="0">
                          <a:spAutoFit/>
                        </wps:bodyPr>
                      </wps:wsp>
                      <wps:wsp>
                        <wps:cNvPr id="53" name="TextBox 37"/>
                        <wps:cNvSpPr txBox="1"/>
                        <wps:spPr>
                          <a:xfrm>
                            <a:off x="22703" y="497533"/>
                            <a:ext cx="976696" cy="516099"/>
                          </a:xfrm>
                          <a:prstGeom prst="rect">
                            <a:avLst/>
                          </a:prstGeom>
                          <a:noFill/>
                        </wps:spPr>
                        <wps:txbx>
                          <w:txbxContent>
                            <w:p w14:paraId="2405CFD1" w14:textId="77777777" w:rsidR="000E378B" w:rsidRDefault="000E378B" w:rsidP="000E378B">
                              <w:pPr>
                                <w:rPr>
                                  <w:rFonts w:hAnsi="Calibri"/>
                                  <w:color w:val="000000" w:themeColor="text1"/>
                                  <w:kern w:val="24"/>
                                  <w:sz w:val="20"/>
                                  <w:szCs w:val="20"/>
                                </w:rPr>
                              </w:pPr>
                              <w:r>
                                <w:rPr>
                                  <w:rFonts w:hAnsi="Calibri"/>
                                  <w:color w:val="000000" w:themeColor="text1"/>
                                  <w:kern w:val="24"/>
                                  <w:sz w:val="20"/>
                                  <w:szCs w:val="20"/>
                                </w:rPr>
                                <w:t>P*</w:t>
                              </w:r>
                            </w:p>
                          </w:txbxContent>
                        </wps:txbx>
                        <wps:bodyPr wrap="square" rtlCol="0">
                          <a:spAutoFit/>
                        </wps:bodyPr>
                      </wps:wsp>
                      <wps:wsp>
                        <wps:cNvPr id="54" name="TextBox 39"/>
                        <wps:cNvSpPr txBox="1"/>
                        <wps:spPr>
                          <a:xfrm>
                            <a:off x="752259" y="1922765"/>
                            <a:ext cx="611452" cy="516099"/>
                          </a:xfrm>
                          <a:prstGeom prst="rect">
                            <a:avLst/>
                          </a:prstGeom>
                          <a:noFill/>
                        </wps:spPr>
                        <wps:txbx>
                          <w:txbxContent>
                            <w:p w14:paraId="0B25A073" w14:textId="77777777" w:rsidR="000E378B" w:rsidRDefault="000E378B" w:rsidP="000E378B">
                              <w:pPr>
                                <w:rPr>
                                  <w:rFonts w:hAnsi="Calibri"/>
                                  <w:color w:val="000000" w:themeColor="text1"/>
                                  <w:kern w:val="24"/>
                                  <w:sz w:val="20"/>
                                  <w:szCs w:val="20"/>
                                </w:rPr>
                              </w:pPr>
                              <w:proofErr w:type="spellStart"/>
                              <w:r>
                                <w:rPr>
                                  <w:rFonts w:hAnsi="Calibri"/>
                                  <w:color w:val="000000" w:themeColor="text1"/>
                                  <w:kern w:val="24"/>
                                  <w:sz w:val="20"/>
                                  <w:szCs w:val="20"/>
                                </w:rPr>
                                <w:t>qn</w:t>
                              </w:r>
                              <w:proofErr w:type="spellEnd"/>
                            </w:p>
                          </w:txbxContent>
                        </wps:txbx>
                        <wps:bodyPr wrap="square" rtlCol="0">
                          <a:spAutoFit/>
                        </wps:bodyPr>
                      </wps:wsp>
                      <wps:wsp>
                        <wps:cNvPr id="55" name="TextBox 40"/>
                        <wps:cNvSpPr txBox="1"/>
                        <wps:spPr>
                          <a:xfrm>
                            <a:off x="1163879" y="1904754"/>
                            <a:ext cx="610435" cy="516099"/>
                          </a:xfrm>
                          <a:prstGeom prst="rect">
                            <a:avLst/>
                          </a:prstGeom>
                          <a:noFill/>
                        </wps:spPr>
                        <wps:txbx>
                          <w:txbxContent>
                            <w:p w14:paraId="4DBF066C" w14:textId="77777777" w:rsidR="000E378B" w:rsidRDefault="000E378B" w:rsidP="000E378B">
                              <w:pPr>
                                <w:rPr>
                                  <w:rFonts w:hAnsi="Calibri"/>
                                  <w:color w:val="000000" w:themeColor="text1"/>
                                  <w:kern w:val="24"/>
                                  <w:sz w:val="20"/>
                                  <w:szCs w:val="20"/>
                                </w:rPr>
                              </w:pPr>
                              <w:r>
                                <w:rPr>
                                  <w:rFonts w:hAnsi="Calibri"/>
                                  <w:color w:val="000000" w:themeColor="text1"/>
                                  <w:kern w:val="24"/>
                                  <w:sz w:val="20"/>
                                  <w:szCs w:val="20"/>
                                </w:rPr>
                                <w:t>q*</w:t>
                              </w:r>
                            </w:p>
                          </w:txbxContent>
                        </wps:txbx>
                        <wps:bodyPr wrap="square" rtlCol="0">
                          <a:spAutoFit/>
                        </wps:bodyPr>
                      </wps:wsp>
                    </wpg:wgp>
                  </a:graphicData>
                </a:graphic>
              </wp:inline>
            </w:drawing>
          </mc:Choice>
          <mc:Fallback>
            <w:pict>
              <v:group w14:anchorId="4EE1FDF5" id="Group 41" o:spid="_x0000_s1034" style="width:146.25pt;height:133.95pt;mso-position-horizontal-relative:char;mso-position-vertical-relative:line" coordsize="29758,243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">
                <v:group id="Group 37" o:spid="_x0000_s1035" style="position:absolute;left:3917;width:25841;height:19608" coordorigin="3917" coordsize="25840,19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 id="Straight Arrow Connector 38" o:spid="_x0000_s1036" type="#_x0000_t32" style="position:absolute;left:4183;top:865;width:0;height:187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" strokecolor="#4472c4 [3204]" strokeweight=".5pt">
                    <v:stroke endarrow="block" joinstyle="miter"/>
                  </v:shape>
                  <v:shape id="Straight Arrow Connector 39" o:spid="_x0000_s1037" type="#_x0000_t32" style="position:absolute;left:4036;top:19524;width:183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" strokecolor="#4472c4 [3204]" strokeweight=".5pt">
                    <v:stroke endarrow="block" joinstyle="miter"/>
                  </v:shape>
                  <v:line id="Straight Connector 40" o:spid="_x0000_s1038" style="position:absolute;visibility:visible;mso-wrap-style:square" from="6015,4841" to="19813,16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" strokecolor="black [3200]" strokeweight=".5pt">
                    <v:stroke joinstyle="miter"/>
                  </v:line>
                  <v:line id="Straight Connector 41" o:spid="_x0000_s1039" style="position:absolute;flip:y;visibility:visible;mso-wrap-style:square" from="5720,2326" to="18838,13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" strokecolor="black [3200]" strokeweight=".5pt">
                    <v:stroke joinstyle="miter"/>
                  </v:line>
                  <v:shape id="TextBox 13" o:spid="_x0000_s1040" type="#_x0000_t202" style="position:absolute;left:19033;top:2198;width:3601;height:5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" filled="f" stroked="f">
                    <v:textbox style="mso-fit-shape-to-text:t">
                      <w:txbxContent>
                        <w:p w14:paraId="608F0549" w14:textId="77777777" w:rsidR="000E378B" w:rsidRDefault="000E378B" w:rsidP="000E378B">
                          <w:pPr>
                            <w:rPr>
                              <w:rFonts w:hAnsi="Calibri"/>
                              <w:color w:val="000000" w:themeColor="text1"/>
                              <w:kern w:val="24"/>
                              <w:sz w:val="20"/>
                              <w:szCs w:val="20"/>
                            </w:rPr>
                          </w:pPr>
                          <w:r>
                            <w:rPr>
                              <w:rFonts w:hAnsi="Calibri"/>
                              <w:color w:val="000000" w:themeColor="text1"/>
                              <w:kern w:val="24"/>
                              <w:sz w:val="20"/>
                              <w:szCs w:val="20"/>
                            </w:rPr>
                            <w:t>S</w:t>
                          </w:r>
                        </w:p>
                      </w:txbxContent>
                    </v:textbox>
                  </v:shape>
                  <v:shape id="TextBox 14" o:spid="_x0000_s1041" type="#_x0000_t202" style="position:absolute;left:20106;top:14447;width:8139;height:5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" filled="f" stroked="f">
                    <v:textbox style="mso-fit-shape-to-text:t">
                      <w:txbxContent>
                        <w:p w14:paraId="69CAAD44" w14:textId="77777777" w:rsidR="000E378B" w:rsidRDefault="000E378B" w:rsidP="000E378B">
                          <w:pPr>
                            <w:rPr>
                              <w:rFonts w:hAnsi="Calibri"/>
                              <w:color w:val="000000" w:themeColor="text1"/>
                              <w:kern w:val="24"/>
                              <w:sz w:val="20"/>
                              <w:szCs w:val="20"/>
                            </w:rPr>
                          </w:pPr>
                          <w:r>
                            <w:rPr>
                              <w:rFonts w:hAnsi="Calibri"/>
                              <w:color w:val="000000" w:themeColor="text1"/>
                              <w:kern w:val="24"/>
                              <w:sz w:val="20"/>
                              <w:szCs w:val="20"/>
                            </w:rPr>
                            <w:t>D</w:t>
                          </w:r>
                        </w:p>
                      </w:txbxContent>
                    </v:textbox>
                  </v:shape>
                  <v:line id="Straight Connector 44" o:spid="_x0000_s1042" style="position:absolute;visibility:visible;mso-wrap-style:square" from="7824,2683" to="21622,13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" strokecolor="black [3200]" strokeweight=".5pt">
                    <v:stroke joinstyle="miter"/>
                  </v:line>
                  <v:shape id="TextBox 17" o:spid="_x0000_s1043" type="#_x0000_t202" style="position:absolute;left:21619;top:11613;width:8139;height:5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" filled="f" stroked="f">
                    <v:textbox style="mso-fit-shape-to-text:t">
                      <w:txbxContent>
                        <w:p w14:paraId="1F65EB30" w14:textId="77777777" w:rsidR="000E378B" w:rsidRDefault="000E378B" w:rsidP="000E378B">
                          <w:pPr>
                            <w:rPr>
                              <w:rFonts w:hAnsi="Calibri"/>
                              <w:color w:val="000000" w:themeColor="text1"/>
                              <w:kern w:val="24"/>
                              <w:sz w:val="20"/>
                              <w:szCs w:val="20"/>
                            </w:rPr>
                          </w:pPr>
                          <w:r>
                            <w:rPr>
                              <w:rFonts w:hAnsi="Calibri"/>
                              <w:color w:val="000000" w:themeColor="text1"/>
                              <w:kern w:val="24"/>
                              <w:sz w:val="20"/>
                              <w:szCs w:val="20"/>
                            </w:rPr>
                            <w:t>D’</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46" o:spid="_x0000_s1044" type="#_x0000_t87" style="position:absolute;left:5335;top:1577;width:1906;height:3693;rotation:271892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" adj="929" strokecolor="#4472c4 [3204]" strokeweight=".5pt">
                    <v:stroke joinstyle="miter"/>
                  </v:shape>
                  <v:shape id="TextBox 19" o:spid="_x0000_s1045" type="#_x0000_t202" style="position:absolute;left:3917;width:3602;height:5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" filled="f" stroked="f">
                    <v:textbox style="mso-fit-shape-to-text:t">
                      <w:txbxContent>
                        <w:p w14:paraId="23FC4FFB" w14:textId="77777777" w:rsidR="000E378B" w:rsidRDefault="000E378B" w:rsidP="000E378B">
                          <w:pPr>
                            <w:rPr>
                              <w:rFonts w:hAnsi="Calibri"/>
                              <w:color w:val="000000" w:themeColor="text1"/>
                              <w:kern w:val="24"/>
                              <w:sz w:val="20"/>
                              <w:szCs w:val="20"/>
                            </w:rPr>
                          </w:pPr>
                          <w:r>
                            <w:rPr>
                              <w:rFonts w:hAnsi="Calibri"/>
                              <w:color w:val="000000" w:themeColor="text1"/>
                              <w:kern w:val="24"/>
                              <w:sz w:val="20"/>
                              <w:szCs w:val="20"/>
                            </w:rPr>
                            <w:t>τ</w:t>
                          </w:r>
                        </w:p>
                      </w:txbxContent>
                    </v:textbox>
                  </v:shape>
                </v:group>
                <v:line id="Straight Connector 48" o:spid="_x0000_s1046" style="position:absolute;visibility:visible;mso-wrap-style:square" from="4183,7238" to="13195,7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" strokecolor="#4472c4 [3204]">
                  <v:stroke dashstyle="dash"/>
                  <o:lock v:ext="edit" shapetype="f"/>
                </v:line>
                <v:line id="Straight Connector 49" o:spid="_x0000_s1047" style="position:absolute;visibility:visible;mso-wrap-style:square" from="4183,9055" to="11041,9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" strokecolor="#4472c4 [3204]">
                  <v:stroke dashstyle="dash"/>
                  <o:lock v:ext="edit" shapetype="f"/>
                </v:line>
                <v:line id="Straight Connector 50" o:spid="_x0000_s1048" style="position:absolute;visibility:visible;mso-wrap-style:square" from="11041,9055" to="11041,19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" strokecolor="#4472c4 [3204]">
                  <v:stroke dashstyle="dash"/>
                  <o:lock v:ext="edit" shapetype="f"/>
                </v:line>
                <v:line id="Straight Connector 51" o:spid="_x0000_s1049" style="position:absolute;visibility:visible;mso-wrap-style:square" from="13195,7238" to="13195,19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" strokecolor="#4472c4 [3204]">
                  <v:stroke dashstyle="dash"/>
                  <o:lock v:ext="edit" shapetype="f"/>
                </v:line>
                <v:shape id="TextBox 36" o:spid="_x0000_s1050" type="#_x0000_t202" style="position:absolute;top:7037;width:7172;height:5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" filled="f" stroked="f">
                  <v:textbox style="mso-fit-shape-to-text:t">
                    <w:txbxContent>
                      <w:p w14:paraId="219504DC" w14:textId="77777777" w:rsidR="000E378B" w:rsidRDefault="000E378B" w:rsidP="000E378B">
                        <w:pPr>
                          <w:rPr>
                            <w:rFonts w:hAnsi="Calibri"/>
                            <w:color w:val="000000" w:themeColor="text1"/>
                            <w:kern w:val="24"/>
                            <w:sz w:val="20"/>
                            <w:szCs w:val="20"/>
                          </w:rPr>
                        </w:pPr>
                        <w:proofErr w:type="spellStart"/>
                        <w:r>
                          <w:rPr>
                            <w:rFonts w:hAnsi="Calibri"/>
                            <w:color w:val="000000" w:themeColor="text1"/>
                            <w:kern w:val="24"/>
                            <w:sz w:val="20"/>
                            <w:szCs w:val="20"/>
                          </w:rPr>
                          <w:t>pn</w:t>
                        </w:r>
                        <w:proofErr w:type="spellEnd"/>
                      </w:p>
                    </w:txbxContent>
                  </v:textbox>
                </v:shape>
                <v:shape id="TextBox 37" o:spid="_x0000_s1051" type="#_x0000_t202" style="position:absolute;left:227;top:4975;width:9766;height:5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" filled="f" stroked="f">
                  <v:textbox style="mso-fit-shape-to-text:t">
                    <w:txbxContent>
                      <w:p w14:paraId="2405CFD1" w14:textId="77777777" w:rsidR="000E378B" w:rsidRDefault="000E378B" w:rsidP="000E378B">
                        <w:pPr>
                          <w:rPr>
                            <w:rFonts w:hAnsi="Calibri"/>
                            <w:color w:val="000000" w:themeColor="text1"/>
                            <w:kern w:val="24"/>
                            <w:sz w:val="20"/>
                            <w:szCs w:val="20"/>
                          </w:rPr>
                        </w:pPr>
                        <w:r>
                          <w:rPr>
                            <w:rFonts w:hAnsi="Calibri"/>
                            <w:color w:val="000000" w:themeColor="text1"/>
                            <w:kern w:val="24"/>
                            <w:sz w:val="20"/>
                            <w:szCs w:val="20"/>
                          </w:rPr>
                          <w:t>P*</w:t>
                        </w:r>
                      </w:p>
                    </w:txbxContent>
                  </v:textbox>
                </v:shape>
                <v:shape id="TextBox 39" o:spid="_x0000_s1052" type="#_x0000_t202" style="position:absolute;left:7522;top:19227;width:6115;height:5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" filled="f" stroked="f">
                  <v:textbox style="mso-fit-shape-to-text:t">
                    <w:txbxContent>
                      <w:p w14:paraId="0B25A073" w14:textId="77777777" w:rsidR="000E378B" w:rsidRDefault="000E378B" w:rsidP="000E378B">
                        <w:pPr>
                          <w:rPr>
                            <w:rFonts w:hAnsi="Calibri"/>
                            <w:color w:val="000000" w:themeColor="text1"/>
                            <w:kern w:val="24"/>
                            <w:sz w:val="20"/>
                            <w:szCs w:val="20"/>
                          </w:rPr>
                        </w:pPr>
                        <w:proofErr w:type="spellStart"/>
                        <w:r>
                          <w:rPr>
                            <w:rFonts w:hAnsi="Calibri"/>
                            <w:color w:val="000000" w:themeColor="text1"/>
                            <w:kern w:val="24"/>
                            <w:sz w:val="20"/>
                            <w:szCs w:val="20"/>
                          </w:rPr>
                          <w:t>qn</w:t>
                        </w:r>
                        <w:proofErr w:type="spellEnd"/>
                      </w:p>
                    </w:txbxContent>
                  </v:textbox>
                </v:shape>
                <v:shape id="TextBox 40" o:spid="_x0000_s1053" type="#_x0000_t202" style="position:absolute;left:11638;top:19047;width:6105;height:5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" filled="f" stroked="f">
                  <v:textbox style="mso-fit-shape-to-text:t">
                    <w:txbxContent>
                      <w:p w14:paraId="4DBF066C" w14:textId="77777777" w:rsidR="000E378B" w:rsidRDefault="000E378B" w:rsidP="000E378B">
                        <w:pPr>
                          <w:rPr>
                            <w:rFonts w:hAnsi="Calibri"/>
                            <w:color w:val="000000" w:themeColor="text1"/>
                            <w:kern w:val="24"/>
                            <w:sz w:val="20"/>
                            <w:szCs w:val="20"/>
                          </w:rPr>
                        </w:pPr>
                        <w:r>
                          <w:rPr>
                            <w:rFonts w:hAnsi="Calibri"/>
                            <w:color w:val="000000" w:themeColor="text1"/>
                            <w:kern w:val="24"/>
                            <w:sz w:val="20"/>
                            <w:szCs w:val="20"/>
                          </w:rPr>
                          <w:t>q*</w:t>
                        </w:r>
                      </w:p>
                    </w:txbxContent>
                  </v:textbox>
                </v:shape>
                <w10:anchorlock/>
              </v:group>
            </w:pict>
          </mc:Fallback>
        </mc:AlternateContent>
      </w:r>
    </w:p>
    <w:p w14:paraId="0D612DEC" w14:textId="5CA1EF03" w:rsidR="006B5996" w:rsidRDefault="006B5996" w:rsidP="002A0EA3">
      <w:pPr>
        <w:jc w:val="both"/>
        <w:rPr>
          <w:rFonts w:eastAsiaTheme="minorEastAsia"/>
          <w:lang w:val="it-IT"/>
        </w:rPr>
      </w:pPr>
      <w:proofErr w:type="gramStart"/>
      <w:r>
        <w:rPr>
          <w:rFonts w:eastAsiaTheme="minorEastAsia"/>
          <w:lang w:val="it-IT"/>
        </w:rPr>
        <w:t>Infatti</w:t>
      </w:r>
      <w:proofErr w:type="gramEnd"/>
      <w:r>
        <w:rPr>
          <w:rFonts w:eastAsiaTheme="minorEastAsia"/>
          <w:lang w:val="it-IT"/>
        </w:rPr>
        <w:t xml:space="preserve"> senza i costi di transazione </w:t>
      </w:r>
      <w:r w:rsidR="00B52DAB">
        <w:rPr>
          <w:rFonts w:eastAsiaTheme="minorEastAsia"/>
          <w:lang w:val="it-IT"/>
        </w:rPr>
        <w:t>la curva di domanda D potrebbe assestarsi sul livello D’ a cui corrisponde un maggiore p*q</w:t>
      </w:r>
      <w:r w:rsidR="000E378B">
        <w:rPr>
          <w:rFonts w:eastAsiaTheme="minorEastAsia"/>
          <w:lang w:val="it-IT"/>
        </w:rPr>
        <w:t xml:space="preserve">, lo si può notare anche geometricamente dal momento che ai due equilibri </w:t>
      </w:r>
      <w:r w:rsidR="00BB13AC">
        <w:rPr>
          <w:rFonts w:eastAsiaTheme="minorEastAsia"/>
          <w:lang w:val="it-IT"/>
        </w:rPr>
        <w:t>corrispondono</w:t>
      </w:r>
      <w:r w:rsidR="000E378B">
        <w:rPr>
          <w:rFonts w:eastAsiaTheme="minorEastAsia"/>
          <w:lang w:val="it-IT"/>
        </w:rPr>
        <w:t xml:space="preserve"> quadrilateri di diversa dimensione, quello senza imposta maggiore rispetto al caso con presenza di costi di transazione. </w:t>
      </w:r>
    </w:p>
    <w:p w14:paraId="4B5B3416" w14:textId="760BC796" w:rsidR="00D1428D" w:rsidRDefault="00D1428D" w:rsidP="002A0EA3">
      <w:pPr>
        <w:jc w:val="both"/>
        <w:rPr>
          <w:rFonts w:eastAsiaTheme="minorEastAsia"/>
          <w:lang w:val="it-IT"/>
        </w:rPr>
      </w:pPr>
      <w:r>
        <w:rPr>
          <w:rFonts w:eastAsiaTheme="minorEastAsia"/>
          <w:lang w:val="it-IT"/>
        </w:rPr>
        <w:lastRenderedPageBreak/>
        <w:t xml:space="preserve">Se alla considerazione sopra si aggiunge il fatto che il mercato immobiliare è di per sé inefficiente, cade anche l’ipotesi di equilibrio delle curve di domanda e offerta. Un mercato </w:t>
      </w:r>
      <w:r w:rsidR="00E87C4D">
        <w:rPr>
          <w:rFonts w:eastAsiaTheme="minorEastAsia"/>
          <w:lang w:val="it-IT"/>
        </w:rPr>
        <w:t>inefficiente, infatti,</w:t>
      </w:r>
      <w:r>
        <w:rPr>
          <w:rFonts w:eastAsiaTheme="minorEastAsia"/>
          <w:lang w:val="it-IT"/>
        </w:rPr>
        <w:t xml:space="preserve"> è un mercato instabile che non riesce </w:t>
      </w:r>
      <w:r w:rsidR="00E87C4D">
        <w:rPr>
          <w:rFonts w:eastAsiaTheme="minorEastAsia"/>
          <w:lang w:val="it-IT"/>
        </w:rPr>
        <w:t xml:space="preserve">a raggiungere l’equilibrio ottimo. </w:t>
      </w:r>
    </w:p>
    <w:p w14:paraId="3CF4C133" w14:textId="25DC9260" w:rsidR="00B05F01" w:rsidRPr="00B05F01" w:rsidRDefault="00B05F01" w:rsidP="002A0EA3">
      <w:pPr>
        <w:jc w:val="both"/>
        <w:rPr>
          <w:rFonts w:eastAsiaTheme="minorEastAsia"/>
        </w:rPr>
      </w:pPr>
      <w:r w:rsidRPr="00B05F01">
        <w:rPr>
          <w:rFonts w:eastAsiaTheme="minorEastAsia"/>
        </w:rPr>
        <w:t>“</w:t>
      </w:r>
      <w:r w:rsidRPr="00B05F01">
        <w:rPr>
          <w:rFonts w:eastAsiaTheme="minorEastAsia"/>
        </w:rPr>
        <w:t>A market in which prices fully reflect available information is c</w:t>
      </w:r>
      <w:r>
        <w:rPr>
          <w:rFonts w:eastAsiaTheme="minorEastAsia"/>
        </w:rPr>
        <w:t>alled ‘</w:t>
      </w:r>
      <w:r w:rsidRPr="00B05F01">
        <w:rPr>
          <w:rFonts w:eastAsiaTheme="minorEastAsia"/>
        </w:rPr>
        <w:t>efficient</w:t>
      </w:r>
      <w:r>
        <w:rPr>
          <w:rFonts w:eastAsiaTheme="minorEastAsia"/>
        </w:rPr>
        <w:t>’”.</w:t>
      </w:r>
      <w:r>
        <w:rPr>
          <w:rStyle w:val="FootnoteReference"/>
          <w:rFonts w:eastAsiaTheme="minorEastAsia"/>
        </w:rPr>
        <w:footnoteReference w:id="27"/>
      </w:r>
    </w:p>
    <w:p w14:paraId="0C2BBE57" w14:textId="4E442EDF" w:rsidR="00E87C4D" w:rsidRDefault="00E87C4D" w:rsidP="002A0EA3">
      <w:pPr>
        <w:jc w:val="both"/>
        <w:rPr>
          <w:rFonts w:eastAsiaTheme="minorEastAsia"/>
          <w:lang w:val="it-IT"/>
        </w:rPr>
      </w:pPr>
      <w:r>
        <w:rPr>
          <w:rFonts w:eastAsiaTheme="minorEastAsia"/>
          <w:lang w:val="it-IT"/>
        </w:rPr>
        <w:t xml:space="preserve">È facile quindi intuire che efficientare il mercato immobiliare darebbe dei benefici collettivi, sia in termini di stabilizzazione sia in termini di miglioramento paretiano nell’allocazione delle risorse. </w:t>
      </w:r>
    </w:p>
    <w:p w14:paraId="6E8547E1" w14:textId="77777777" w:rsidR="005B24D0" w:rsidRDefault="005B24D0" w:rsidP="002A0EA3">
      <w:pPr>
        <w:jc w:val="both"/>
        <w:rPr>
          <w:rFonts w:eastAsiaTheme="minorEastAsia"/>
          <w:lang w:val="it-IT"/>
        </w:rPr>
      </w:pPr>
    </w:p>
    <w:p w14:paraId="66F5A1CA" w14:textId="77777777" w:rsidR="00355894" w:rsidRPr="00764C29" w:rsidRDefault="00355894" w:rsidP="002A0EA3">
      <w:pPr>
        <w:jc w:val="both"/>
        <w:rPr>
          <w:rFonts w:eastAsiaTheme="minorEastAsia"/>
          <w:lang w:val="it-IT"/>
        </w:rPr>
      </w:pPr>
    </w:p>
    <w:p w14:paraId="10E9CA66" w14:textId="77777777" w:rsidR="0033143C" w:rsidRPr="00764C29" w:rsidRDefault="0033143C" w:rsidP="002A0EA3">
      <w:pPr>
        <w:jc w:val="both"/>
        <w:rPr>
          <w:rFonts w:eastAsiaTheme="minorEastAsia"/>
          <w:lang w:val="it-IT"/>
        </w:rPr>
      </w:pPr>
    </w:p>
    <w:p w14:paraId="7E4748A1" w14:textId="480F61EF" w:rsidR="00214029" w:rsidRPr="00F96097" w:rsidRDefault="001B6483" w:rsidP="001B6483">
      <w:pPr>
        <w:pStyle w:val="Heading1"/>
      </w:pPr>
      <w:proofErr w:type="spellStart"/>
      <w:r w:rsidRPr="00F96097">
        <w:t>Capitolo</w:t>
      </w:r>
      <w:proofErr w:type="spellEnd"/>
      <w:r w:rsidRPr="00F96097">
        <w:t xml:space="preserve"> 3</w:t>
      </w:r>
    </w:p>
    <w:p w14:paraId="112CEC76" w14:textId="53C18F51" w:rsidR="001B6483" w:rsidRDefault="001B6483" w:rsidP="001B6483">
      <w:r w:rsidRPr="00F96097">
        <w:t xml:space="preserve">Efficiency of Chinese Real Estate </w:t>
      </w:r>
      <w:r w:rsidRPr="00BF34C1">
        <w:t>Market Based on Complexity-Entropy Binary Cau</w:t>
      </w:r>
      <w:r w:rsidRPr="001B6483">
        <w:t>sal Plane Method</w:t>
      </w:r>
      <w:r>
        <w:t xml:space="preserve"> </w:t>
      </w:r>
      <w:r>
        <w:sym w:font="Wingdings" w:char="F0E0"/>
      </w:r>
      <w:r w:rsidRPr="001B6483">
        <w:t>Yan Chen,</w:t>
      </w:r>
      <w:r>
        <w:t xml:space="preserve"> </w:t>
      </w:r>
      <w:proofErr w:type="spellStart"/>
      <w:r>
        <w:t>Ya</w:t>
      </w:r>
      <w:proofErr w:type="spellEnd"/>
      <w:r>
        <w:t xml:space="preserve"> Cai,</w:t>
      </w:r>
      <w:r w:rsidRPr="001B6483">
        <w:t xml:space="preserve"> and </w:t>
      </w:r>
      <w:proofErr w:type="spellStart"/>
      <w:r w:rsidRPr="001B6483">
        <w:t>Chengli</w:t>
      </w:r>
      <w:proofErr w:type="spellEnd"/>
      <w:r w:rsidRPr="001B6483">
        <w:t xml:space="preserve"> Zheng</w:t>
      </w:r>
    </w:p>
    <w:p w14:paraId="43A3FDD4" w14:textId="4BC656F9" w:rsidR="001B6483" w:rsidRDefault="00BB5742" w:rsidP="001B6483">
      <w:hyperlink r:id="rId26" w:anchor=":~:text=Permutation%20Entropy%20(PE)%20is%20a,Henry%20and%20Judge%2C%202019)" w:history="1">
        <w:r w:rsidR="00BF1C60" w:rsidRPr="00D459B8">
          <w:rPr>
            <w:rStyle w:val="Hyperlink"/>
          </w:rPr>
          <w:t>https://www.aptech.com/blog/permutation-entropy/#:~:text=Permutation%20Entropy%20(PE)%20is%20a,Henry%20and%20Judge%2C%202019)</w:t>
        </w:r>
      </w:hyperlink>
      <w:r w:rsidR="00BF1C60" w:rsidRPr="00BF1C60">
        <w:t>.</w:t>
      </w:r>
    </w:p>
    <w:p w14:paraId="138A0045" w14:textId="555CBCCC" w:rsidR="008300FB" w:rsidRDefault="008300FB" w:rsidP="001B6483">
      <w:r>
        <w:t xml:space="preserve">+ </w:t>
      </w:r>
      <w:r w:rsidRPr="008300FB">
        <w:t>The Role of Transaction Costs in Impeding Market Exchange in Real Estate</w:t>
      </w:r>
      <w:r>
        <w:t xml:space="preserve">. </w:t>
      </w:r>
    </w:p>
    <w:p w14:paraId="73203807" w14:textId="77777777" w:rsidR="00BF1C60" w:rsidRPr="001B6483" w:rsidRDefault="00BF1C60" w:rsidP="001B6483"/>
    <w:sectPr w:rsidR="00BF1C60" w:rsidRPr="001B6483" w:rsidSect="001601BC">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B89447" w14:textId="77777777" w:rsidR="00BB5742" w:rsidRDefault="00BB5742" w:rsidP="00A70573">
      <w:pPr>
        <w:spacing w:after="0" w:line="240" w:lineRule="auto"/>
      </w:pPr>
      <w:r>
        <w:separator/>
      </w:r>
    </w:p>
  </w:endnote>
  <w:endnote w:type="continuationSeparator" w:id="0">
    <w:p w14:paraId="36AA9BBC" w14:textId="77777777" w:rsidR="00BB5742" w:rsidRDefault="00BB5742" w:rsidP="00A705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C58156" w14:textId="77777777" w:rsidR="00BB5742" w:rsidRDefault="00BB5742" w:rsidP="00A70573">
      <w:pPr>
        <w:spacing w:after="0" w:line="240" w:lineRule="auto"/>
      </w:pPr>
      <w:r>
        <w:separator/>
      </w:r>
    </w:p>
  </w:footnote>
  <w:footnote w:type="continuationSeparator" w:id="0">
    <w:p w14:paraId="7790203F" w14:textId="77777777" w:rsidR="00BB5742" w:rsidRDefault="00BB5742" w:rsidP="00A70573">
      <w:pPr>
        <w:spacing w:after="0" w:line="240" w:lineRule="auto"/>
      </w:pPr>
      <w:r>
        <w:continuationSeparator/>
      </w:r>
    </w:p>
  </w:footnote>
  <w:footnote w:id="1">
    <w:p w14:paraId="55F0FC49" w14:textId="52869C03" w:rsidR="00D60A39" w:rsidRPr="00A70573" w:rsidRDefault="00D60A39">
      <w:pPr>
        <w:pStyle w:val="FootnoteText"/>
        <w:rPr>
          <w:lang w:val="it-IT"/>
        </w:rPr>
      </w:pPr>
      <w:r>
        <w:rPr>
          <w:rStyle w:val="FootnoteReference"/>
        </w:rPr>
        <w:footnoteRef/>
      </w:r>
      <w:r>
        <w:t xml:space="preserve"> </w:t>
      </w:r>
      <w:r w:rsidRPr="00A70573">
        <w:t>https://www.treccani.it/vocabolario/immobile/</w:t>
      </w:r>
    </w:p>
  </w:footnote>
  <w:footnote w:id="2">
    <w:p w14:paraId="25BAECB7" w14:textId="14B61D33" w:rsidR="00D60A39" w:rsidRPr="00E13AE8" w:rsidRDefault="00D60A39">
      <w:pPr>
        <w:pStyle w:val="FootnoteText"/>
      </w:pPr>
      <w:r>
        <w:rPr>
          <w:rStyle w:val="FootnoteReference"/>
        </w:rPr>
        <w:footnoteRef/>
      </w:r>
      <w:r>
        <w:t xml:space="preserve"> </w:t>
      </w:r>
      <w:proofErr w:type="spellStart"/>
      <w:r w:rsidRPr="00E13AE8">
        <w:t>Pirounakis</w:t>
      </w:r>
      <w:proofErr w:type="spellEnd"/>
      <w:r w:rsidRPr="00E13AE8">
        <w:t xml:space="preserve">, Nicholas </w:t>
      </w:r>
      <w:proofErr w:type="gramStart"/>
      <w:r w:rsidRPr="00E13AE8">
        <w:t>G..</w:t>
      </w:r>
      <w:proofErr w:type="gramEnd"/>
      <w:r w:rsidRPr="00E13AE8">
        <w:t xml:space="preserve"> Real Estate </w:t>
      </w:r>
      <w:proofErr w:type="gramStart"/>
      <w:r w:rsidRPr="00E13AE8">
        <w:t>Economics :</w:t>
      </w:r>
      <w:proofErr w:type="gramEnd"/>
      <w:r w:rsidRPr="00E13AE8">
        <w:t xml:space="preserve"> A Point-To-Point Handbook, Taylor &amp; Francis Group, 2013.</w:t>
      </w:r>
    </w:p>
  </w:footnote>
  <w:footnote w:id="3">
    <w:p w14:paraId="0CBD247A" w14:textId="5ADB420D" w:rsidR="00D60A39" w:rsidRPr="000253AF" w:rsidRDefault="00D60A39">
      <w:pPr>
        <w:pStyle w:val="FootnoteText"/>
      </w:pPr>
      <w:r>
        <w:rPr>
          <w:rStyle w:val="FootnoteReference"/>
        </w:rPr>
        <w:footnoteRef/>
      </w:r>
      <w:r>
        <w:t xml:space="preserve"> </w:t>
      </w:r>
      <w:r w:rsidRPr="000253AF">
        <w:t>Mercer. Real Estate as an A</w:t>
      </w:r>
      <w:r>
        <w:t>sset Class, 2019</w:t>
      </w:r>
    </w:p>
  </w:footnote>
  <w:footnote w:id="4">
    <w:p w14:paraId="27264504" w14:textId="727189B9" w:rsidR="00D60A39" w:rsidRPr="00E45A27" w:rsidRDefault="00D60A39">
      <w:pPr>
        <w:pStyle w:val="FootnoteText"/>
      </w:pPr>
      <w:r>
        <w:rPr>
          <w:rStyle w:val="FootnoteReference"/>
        </w:rPr>
        <w:footnoteRef/>
      </w:r>
      <w:r>
        <w:t xml:space="preserve"> </w:t>
      </w:r>
      <w:r w:rsidRPr="00E45A27">
        <w:t>Ibid.</w:t>
      </w:r>
    </w:p>
  </w:footnote>
  <w:footnote w:id="5">
    <w:p w14:paraId="604106EA" w14:textId="1C5AFF9F" w:rsidR="00D60A39" w:rsidRPr="009A7CA3" w:rsidRDefault="00D60A39" w:rsidP="009A7CA3">
      <w:pPr>
        <w:pStyle w:val="FootnoteText"/>
      </w:pPr>
      <w:r>
        <w:rPr>
          <w:rStyle w:val="FootnoteReference"/>
        </w:rPr>
        <w:footnoteRef/>
      </w:r>
      <w:r>
        <w:t xml:space="preserve"> </w:t>
      </w:r>
      <w:r w:rsidRPr="00453A55">
        <w:t>National Accounts of OECD Countries</w:t>
      </w:r>
      <w:r>
        <w:t>, GDP Output Approach at current prices</w:t>
      </w:r>
    </w:p>
  </w:footnote>
  <w:footnote w:id="6">
    <w:p w14:paraId="577318D7" w14:textId="78353A83" w:rsidR="00D60A39" w:rsidRPr="000D4BE5" w:rsidRDefault="00D60A39">
      <w:pPr>
        <w:pStyle w:val="FootnoteText"/>
      </w:pPr>
      <w:r>
        <w:rPr>
          <w:rStyle w:val="FootnoteReference"/>
        </w:rPr>
        <w:footnoteRef/>
      </w:r>
      <w:r>
        <w:t xml:space="preserve"> </w:t>
      </w:r>
      <w:r w:rsidRPr="000D4BE5">
        <w:t>G. Donald Jud</w:t>
      </w:r>
      <w:r>
        <w:t xml:space="preserve">, </w:t>
      </w:r>
      <w:r w:rsidRPr="000D4BE5">
        <w:t>Daniel T. Winkler</w:t>
      </w:r>
      <w:r>
        <w:t xml:space="preserve">. </w:t>
      </w:r>
      <w:r w:rsidRPr="002E0EA3">
        <w:t>The Q Theory of Housing Investment</w:t>
      </w:r>
      <w:r>
        <w:t xml:space="preserve">, </w:t>
      </w:r>
      <w:r w:rsidRPr="002E0EA3">
        <w:t>2003</w:t>
      </w:r>
    </w:p>
  </w:footnote>
  <w:footnote w:id="7">
    <w:p w14:paraId="18B2669E" w14:textId="6EE03BE6" w:rsidR="00D60A39" w:rsidRPr="006046CD" w:rsidRDefault="00D60A39">
      <w:pPr>
        <w:pStyle w:val="FootnoteText"/>
      </w:pPr>
      <w:r>
        <w:rPr>
          <w:rStyle w:val="FootnoteReference"/>
        </w:rPr>
        <w:footnoteRef/>
      </w:r>
      <w:r>
        <w:t xml:space="preserve"> Jeffrey D. Fisher, </w:t>
      </w:r>
      <w:r w:rsidRPr="006046CD">
        <w:t xml:space="preserve">C. F. </w:t>
      </w:r>
      <w:proofErr w:type="spellStart"/>
      <w:r w:rsidRPr="006046CD">
        <w:t>Sirmans</w:t>
      </w:r>
      <w:proofErr w:type="spellEnd"/>
      <w:r>
        <w:t xml:space="preserve">. </w:t>
      </w:r>
      <w:r w:rsidRPr="006046CD">
        <w:t>The Role of Commercial Real Estate in a Multi-Asset Portfolio</w:t>
      </w:r>
      <w:r>
        <w:t>, 1994</w:t>
      </w:r>
    </w:p>
  </w:footnote>
  <w:footnote w:id="8">
    <w:p w14:paraId="1884F2D1" w14:textId="77777777" w:rsidR="00D60A39" w:rsidRDefault="00D60A39" w:rsidP="00D60A39">
      <w:pPr>
        <w:pStyle w:val="FootnoteText"/>
      </w:pPr>
      <w:r>
        <w:rPr>
          <w:rStyle w:val="FootnoteReference"/>
        </w:rPr>
        <w:footnoteRef/>
      </w:r>
      <w:r>
        <w:t xml:space="preserve"> US Federal Reserve Board, Z.1, Financial Accounts of the United States, Table B.100 Balance Sheet</w:t>
      </w:r>
    </w:p>
    <w:p w14:paraId="2F764A1F" w14:textId="2DFAF727" w:rsidR="00D60A39" w:rsidRPr="00D60A39" w:rsidRDefault="00D60A39" w:rsidP="00D60A39">
      <w:pPr>
        <w:pStyle w:val="FootnoteText"/>
      </w:pPr>
      <w:r>
        <w:t xml:space="preserve">of Households and Nonprofit Organizations - </w:t>
      </w:r>
      <w:r w:rsidRPr="00D60A39">
        <w:t>Households and Nonprofit Organizations; Real Estate at Market Value</w:t>
      </w:r>
    </w:p>
  </w:footnote>
  <w:footnote w:id="9">
    <w:p w14:paraId="09632F34" w14:textId="77777777" w:rsidR="00D60A39" w:rsidRDefault="00D60A39" w:rsidP="00D60A39">
      <w:pPr>
        <w:pStyle w:val="FootnoteText"/>
      </w:pPr>
      <w:r>
        <w:rPr>
          <w:rStyle w:val="FootnoteReference"/>
        </w:rPr>
        <w:footnoteRef/>
      </w:r>
      <w:r>
        <w:t xml:space="preserve"> US Federal Reserve Board, Z.1, Financial Accounts of the United States, Table B.100 Balance Sheet</w:t>
      </w:r>
    </w:p>
    <w:p w14:paraId="67E88E4E" w14:textId="630C9A51" w:rsidR="00D60A39" w:rsidRPr="00D60A39" w:rsidRDefault="00D60A39" w:rsidP="00D60A39">
      <w:pPr>
        <w:pStyle w:val="FootnoteText"/>
      </w:pPr>
      <w:r>
        <w:t>of Households and Nonprofit Organizations</w:t>
      </w:r>
      <w:r w:rsidR="00AD3651">
        <w:t xml:space="preserve"> - Directly Held Equity Shares at Market V</w:t>
      </w:r>
      <w:r w:rsidR="00AD3651" w:rsidRPr="00AD3651">
        <w:t>alue</w:t>
      </w:r>
    </w:p>
  </w:footnote>
  <w:footnote w:id="10">
    <w:p w14:paraId="0EA3385A" w14:textId="06042CE9" w:rsidR="00D60A39" w:rsidRPr="0082563B" w:rsidRDefault="00D60A39" w:rsidP="0082563B">
      <w:pPr>
        <w:pStyle w:val="FootnoteText"/>
      </w:pPr>
      <w:r>
        <w:rPr>
          <w:rStyle w:val="FootnoteReference"/>
        </w:rPr>
        <w:footnoteRef/>
      </w:r>
      <w:r>
        <w:t xml:space="preserve"> EPRA RESEARCH - Are public and private real estate returns and risks the same? - 2014</w:t>
      </w:r>
    </w:p>
  </w:footnote>
  <w:footnote w:id="11">
    <w:p w14:paraId="397B9293" w14:textId="25E8C221" w:rsidR="00D60A39" w:rsidRPr="0082563B" w:rsidRDefault="00D60A39" w:rsidP="0082563B">
      <w:pPr>
        <w:pStyle w:val="FootnoteText"/>
      </w:pPr>
      <w:r>
        <w:rPr>
          <w:rStyle w:val="FootnoteReference"/>
        </w:rPr>
        <w:footnoteRef/>
      </w:r>
      <w:r>
        <w:t xml:space="preserve"> Martin </w:t>
      </w:r>
      <w:proofErr w:type="spellStart"/>
      <w:r>
        <w:t>Hoesli</w:t>
      </w:r>
      <w:proofErr w:type="spellEnd"/>
      <w:r>
        <w:t xml:space="preserve"> &amp; Elias </w:t>
      </w:r>
      <w:proofErr w:type="spellStart"/>
      <w:r>
        <w:t>Oikarinen</w:t>
      </w:r>
      <w:proofErr w:type="spellEnd"/>
      <w:r>
        <w:t xml:space="preserve"> (2021) Does </w:t>
      </w:r>
      <w:proofErr w:type="gramStart"/>
      <w:r>
        <w:t>listed</w:t>
      </w:r>
      <w:proofErr w:type="gramEnd"/>
      <w:r>
        <w:t xml:space="preserve"> real estate behave like direct real estate?</w:t>
      </w:r>
    </w:p>
  </w:footnote>
  <w:footnote w:id="12">
    <w:p w14:paraId="36300D5D" w14:textId="66A3A321" w:rsidR="00D60A39" w:rsidRPr="00510439" w:rsidRDefault="00D60A39">
      <w:pPr>
        <w:pStyle w:val="FootnoteText"/>
      </w:pPr>
      <w:r>
        <w:rPr>
          <w:rStyle w:val="FootnoteReference"/>
        </w:rPr>
        <w:footnoteRef/>
      </w:r>
      <w:r>
        <w:t xml:space="preserve"> </w:t>
      </w:r>
      <w:r w:rsidRPr="00510439">
        <w:t xml:space="preserve">Eugene F. </w:t>
      </w:r>
      <w:proofErr w:type="spellStart"/>
      <w:r w:rsidRPr="00510439">
        <w:t>Fama</w:t>
      </w:r>
      <w:proofErr w:type="spellEnd"/>
      <w:r w:rsidRPr="00510439">
        <w:t xml:space="preserve">. Efficient Capital Markets: A Review of </w:t>
      </w:r>
      <w:r>
        <w:t>Theory and Empirical Work, Journal of Finance 25, 383-420. 1970</w:t>
      </w:r>
    </w:p>
  </w:footnote>
  <w:footnote w:id="13">
    <w:p w14:paraId="26DEE9D5" w14:textId="1B0D84F9" w:rsidR="00D60A39" w:rsidRPr="00510439" w:rsidRDefault="00D60A39">
      <w:pPr>
        <w:pStyle w:val="FootnoteText"/>
      </w:pPr>
      <w:r>
        <w:rPr>
          <w:rStyle w:val="FootnoteReference"/>
        </w:rPr>
        <w:footnoteRef/>
      </w:r>
      <w:r w:rsidRPr="00510439">
        <w:t xml:space="preserve"> Grossman S.J. e Stiglitz J. Information and </w:t>
      </w:r>
      <w:r>
        <w:t>Competitive Price Systems, The American Economic Review 66, 246-253. 1980</w:t>
      </w:r>
    </w:p>
  </w:footnote>
  <w:footnote w:id="14">
    <w:p w14:paraId="09D8539F" w14:textId="6E5A89BF" w:rsidR="00D60A39" w:rsidRPr="006E49CB" w:rsidRDefault="00D60A39" w:rsidP="006E49CB">
      <w:pPr>
        <w:pStyle w:val="FootnoteText"/>
      </w:pPr>
      <w:r>
        <w:rPr>
          <w:rStyle w:val="FootnoteReference"/>
        </w:rPr>
        <w:footnoteRef/>
      </w:r>
      <w:r>
        <w:t xml:space="preserve"> </w:t>
      </w:r>
      <w:proofErr w:type="spellStart"/>
      <w:r w:rsidRPr="006E49CB">
        <w:t>Shanaka</w:t>
      </w:r>
      <w:proofErr w:type="spellEnd"/>
      <w:r w:rsidRPr="006E49CB">
        <w:t xml:space="preserve"> Herath</w:t>
      </w:r>
      <w:r>
        <w:t xml:space="preserve"> e </w:t>
      </w:r>
      <w:r w:rsidRPr="006E49CB">
        <w:t>Gunther Maier</w:t>
      </w:r>
      <w:r>
        <w:t>. Informational efficiency of the real estate market: a meta-analysis. 2015</w:t>
      </w:r>
    </w:p>
  </w:footnote>
  <w:footnote w:id="15">
    <w:p w14:paraId="5EDFCC66" w14:textId="70CD71C5" w:rsidR="00D60A39" w:rsidRPr="00D518AD" w:rsidRDefault="00D60A39">
      <w:pPr>
        <w:pStyle w:val="FootnoteText"/>
      </w:pPr>
      <w:r>
        <w:rPr>
          <w:rStyle w:val="FootnoteReference"/>
        </w:rPr>
        <w:footnoteRef/>
      </w:r>
      <w:r>
        <w:t xml:space="preserve"> </w:t>
      </w:r>
      <w:r w:rsidRPr="00D518AD">
        <w:t>Coase, R. H. “The Problem of Social Cost.” The Journal of Law &amp; Economics, vol. 3, [University of Chicago Press, Booth School of Business, University of Chicago, University of Chicago Law School], 1960, pp. 1–44, http://www.jstor.org/stable/724810.</w:t>
      </w:r>
    </w:p>
  </w:footnote>
  <w:footnote w:id="16">
    <w:p w14:paraId="5677A6C2" w14:textId="01D83B7E" w:rsidR="00D60A39" w:rsidRPr="001A6857" w:rsidRDefault="00D60A39">
      <w:pPr>
        <w:pStyle w:val="FootnoteText"/>
      </w:pPr>
      <w:r>
        <w:rPr>
          <w:rStyle w:val="FootnoteReference"/>
        </w:rPr>
        <w:footnoteRef/>
      </w:r>
      <w:r>
        <w:t xml:space="preserve"> </w:t>
      </w:r>
      <w:r w:rsidRPr="001A6857">
        <w:t xml:space="preserve">Merlo, Antonio M. and </w:t>
      </w:r>
      <w:proofErr w:type="spellStart"/>
      <w:r w:rsidRPr="001A6857">
        <w:t>Ortalo-Magne</w:t>
      </w:r>
      <w:proofErr w:type="spellEnd"/>
      <w:r w:rsidRPr="001A6857">
        <w:t xml:space="preserve">, Francois, Bargaining Over Residential Real Estate: Evidence from England, Third Version (May 11, 2004). </w:t>
      </w:r>
    </w:p>
  </w:footnote>
  <w:footnote w:id="17">
    <w:p w14:paraId="5A53AEE2" w14:textId="7728F5C0" w:rsidR="00D60A39" w:rsidRPr="001A6857" w:rsidRDefault="00D60A39">
      <w:pPr>
        <w:pStyle w:val="FootnoteText"/>
      </w:pPr>
      <w:r>
        <w:rPr>
          <w:rStyle w:val="FootnoteReference"/>
        </w:rPr>
        <w:footnoteRef/>
      </w:r>
      <w:r>
        <w:t xml:space="preserve"> </w:t>
      </w:r>
      <w:r w:rsidRPr="001A6857">
        <w:t xml:space="preserve">Raymond </w:t>
      </w:r>
      <w:proofErr w:type="spellStart"/>
      <w:r w:rsidRPr="001A6857">
        <w:t>Brastow</w:t>
      </w:r>
      <w:proofErr w:type="spellEnd"/>
      <w:r w:rsidRPr="001A6857">
        <w:t>, Thomas Springer and Bennie Waller</w:t>
      </w:r>
      <w:r>
        <w:t xml:space="preserve">, </w:t>
      </w:r>
      <w:r w:rsidRPr="001A6857">
        <w:t>Efficiency and Incentives in Residential Brokerage</w:t>
      </w:r>
      <w:r>
        <w:t xml:space="preserve">, </w:t>
      </w:r>
      <w:r w:rsidRPr="001A6857">
        <w:t>The Journal of Real Estate Finance and Economics, 2012, vol. 45, issue 4, 1061 pages</w:t>
      </w:r>
    </w:p>
  </w:footnote>
  <w:footnote w:id="18">
    <w:p w14:paraId="3A14FE80" w14:textId="09CE8A0A" w:rsidR="00D60A39" w:rsidRPr="008300FB" w:rsidRDefault="00D60A39" w:rsidP="008300FB">
      <w:pPr>
        <w:pStyle w:val="FootnoteText"/>
      </w:pPr>
      <w:r>
        <w:rPr>
          <w:rStyle w:val="FootnoteReference"/>
        </w:rPr>
        <w:footnoteRef/>
      </w:r>
      <w:r>
        <w:t xml:space="preserve"> Cooter, Robert and </w:t>
      </w:r>
      <w:proofErr w:type="spellStart"/>
      <w:r>
        <w:t>Ulen</w:t>
      </w:r>
      <w:proofErr w:type="spellEnd"/>
      <w:r>
        <w:t>, Thomas, "Law and Economics, 6th edition" (2016). Berkeley Law Books</w:t>
      </w:r>
    </w:p>
  </w:footnote>
  <w:footnote w:id="19">
    <w:p w14:paraId="711B95F1" w14:textId="1EF3E172" w:rsidR="00D60A39" w:rsidRPr="000A173D" w:rsidRDefault="00D60A39">
      <w:pPr>
        <w:pStyle w:val="FootnoteText"/>
      </w:pPr>
      <w:r>
        <w:rPr>
          <w:rStyle w:val="FootnoteReference"/>
        </w:rPr>
        <w:footnoteRef/>
      </w:r>
      <w:r>
        <w:t xml:space="preserve"> </w:t>
      </w:r>
      <w:proofErr w:type="spellStart"/>
      <w:r w:rsidRPr="000A173D">
        <w:t>Bian</w:t>
      </w:r>
      <w:proofErr w:type="spellEnd"/>
      <w:r w:rsidRPr="000A173D">
        <w:t xml:space="preserve">, </w:t>
      </w:r>
      <w:proofErr w:type="spellStart"/>
      <w:r w:rsidRPr="000A173D">
        <w:t>Xun</w:t>
      </w:r>
      <w:proofErr w:type="spellEnd"/>
      <w:r w:rsidRPr="000A173D">
        <w:t>, et al. “The Role of Transaction Costs in Impeding Market Exchange in Real Estate.” Journal of Housing Research, vol. 25, no. 2, American Real E</w:t>
      </w:r>
      <w:r>
        <w:t>state Society, 2016, pp. 115–36</w:t>
      </w:r>
    </w:p>
  </w:footnote>
  <w:footnote w:id="20">
    <w:p w14:paraId="56706781" w14:textId="3AE405A4" w:rsidR="00D60A39" w:rsidRPr="000A173D" w:rsidRDefault="00D60A39">
      <w:pPr>
        <w:pStyle w:val="FootnoteText"/>
      </w:pPr>
      <w:r>
        <w:rPr>
          <w:rStyle w:val="FootnoteReference"/>
        </w:rPr>
        <w:footnoteRef/>
      </w:r>
      <w:r>
        <w:t xml:space="preserve"> </w:t>
      </w:r>
      <w:r w:rsidRPr="000A173D">
        <w:t xml:space="preserve">Springer, Thomas M. and Rutherford, Ronald C. and </w:t>
      </w:r>
      <w:proofErr w:type="spellStart"/>
      <w:r w:rsidRPr="000A173D">
        <w:t>Yavas</w:t>
      </w:r>
      <w:proofErr w:type="spellEnd"/>
      <w:r w:rsidRPr="000A173D">
        <w:t>, Abdullah, Conflicts between Principals and Agents: Evidence from Resi</w:t>
      </w:r>
      <w:r>
        <w:t>dential Brokerage</w:t>
      </w:r>
    </w:p>
  </w:footnote>
  <w:footnote w:id="21">
    <w:p w14:paraId="0BE6FC04" w14:textId="253AC4C6" w:rsidR="00D60A39" w:rsidRPr="002933BF" w:rsidRDefault="00D60A39">
      <w:pPr>
        <w:pStyle w:val="FootnoteText"/>
      </w:pPr>
      <w:r>
        <w:rPr>
          <w:rStyle w:val="FootnoteReference"/>
        </w:rPr>
        <w:footnoteRef/>
      </w:r>
      <w:r>
        <w:t xml:space="preserve"> </w:t>
      </w:r>
      <w:proofErr w:type="spellStart"/>
      <w:r w:rsidRPr="002933BF">
        <w:t>Registro</w:t>
      </w:r>
      <w:proofErr w:type="spellEnd"/>
      <w:r w:rsidRPr="002933BF">
        <w:t xml:space="preserve"> </w:t>
      </w:r>
      <w:proofErr w:type="spellStart"/>
      <w:r w:rsidRPr="002933BF">
        <w:t>imprese</w:t>
      </w:r>
      <w:proofErr w:type="spellEnd"/>
      <w:r w:rsidRPr="002933BF">
        <w:t xml:space="preserve"> </w:t>
      </w:r>
      <w:proofErr w:type="spellStart"/>
      <w:r w:rsidRPr="002933BF">
        <w:t>attive</w:t>
      </w:r>
      <w:proofErr w:type="spellEnd"/>
      <w:r w:rsidRPr="002933BF">
        <w:t xml:space="preserve"> – ISTAT (2019)</w:t>
      </w:r>
    </w:p>
  </w:footnote>
  <w:footnote w:id="22">
    <w:p w14:paraId="0982882B" w14:textId="63BA0B83" w:rsidR="00D60A39" w:rsidRPr="006238D9" w:rsidRDefault="00D60A39">
      <w:pPr>
        <w:pStyle w:val="FootnoteText"/>
      </w:pPr>
      <w:r>
        <w:rPr>
          <w:rStyle w:val="FootnoteReference"/>
        </w:rPr>
        <w:footnoteRef/>
      </w:r>
      <w:r>
        <w:t xml:space="preserve"> </w:t>
      </w:r>
      <w:r w:rsidRPr="006238D9">
        <w:t>United States Census Bureau - SUSB annual</w:t>
      </w:r>
    </w:p>
  </w:footnote>
  <w:footnote w:id="23">
    <w:p w14:paraId="24ECAC94" w14:textId="5136D5A5" w:rsidR="00D60A39" w:rsidRPr="002933BF" w:rsidRDefault="00D60A39">
      <w:pPr>
        <w:pStyle w:val="FootnoteText"/>
      </w:pPr>
      <w:r>
        <w:rPr>
          <w:rStyle w:val="FootnoteReference"/>
        </w:rPr>
        <w:footnoteRef/>
      </w:r>
      <w:r>
        <w:t xml:space="preserve"> </w:t>
      </w:r>
      <w:r w:rsidRPr="002933BF">
        <w:t xml:space="preserve">The </w:t>
      </w:r>
      <w:proofErr w:type="spellStart"/>
      <w:r w:rsidRPr="002933BF">
        <w:t>Homevoter</w:t>
      </w:r>
      <w:proofErr w:type="spellEnd"/>
      <w:r w:rsidRPr="002933BF">
        <w:t xml:space="preserve"> Hypothesis: How Home Values Influence Local Government Taxation, School Finance, and Land-Use Policies, by W. </w:t>
      </w:r>
      <w:proofErr w:type="spellStart"/>
      <w:r w:rsidRPr="002933BF">
        <w:t>Fischel</w:t>
      </w:r>
      <w:proofErr w:type="spellEnd"/>
    </w:p>
  </w:footnote>
  <w:footnote w:id="24">
    <w:p w14:paraId="50565DCB" w14:textId="7F37964F" w:rsidR="00D60A39" w:rsidRPr="00C31689" w:rsidRDefault="00D60A39">
      <w:pPr>
        <w:pStyle w:val="FootnoteText"/>
      </w:pPr>
      <w:r>
        <w:rPr>
          <w:rStyle w:val="FootnoteReference"/>
        </w:rPr>
        <w:footnoteRef/>
      </w:r>
      <w:r w:rsidRPr="00C31689">
        <w:rPr>
          <w:lang w:val="fr-FR"/>
        </w:rPr>
        <w:t xml:space="preserve"> </w:t>
      </w:r>
      <w:proofErr w:type="spellStart"/>
      <w:r w:rsidRPr="00C31689">
        <w:rPr>
          <w:lang w:val="fr-FR"/>
        </w:rPr>
        <w:t>Ortalo</w:t>
      </w:r>
      <w:proofErr w:type="spellEnd"/>
      <w:r w:rsidRPr="00C31689">
        <w:rPr>
          <w:lang w:val="fr-FR"/>
        </w:rPr>
        <w:t xml:space="preserve">-Magné, François, and Andrea Prat. </w:t>
      </w:r>
      <w:r w:rsidRPr="00C31689">
        <w:t>“On the Political Economy of Urban Growth: Homeownership versus Affordability.” American Economic Journal: Microeconomics, vol. 6, no. 1, American Economic Association, 2014, pp. 154–81</w:t>
      </w:r>
    </w:p>
  </w:footnote>
  <w:footnote w:id="25">
    <w:p w14:paraId="0D2D6EA5" w14:textId="14714C24" w:rsidR="00D60A39" w:rsidRPr="00D56AA9" w:rsidRDefault="00D60A39">
      <w:pPr>
        <w:pStyle w:val="FootnoteText"/>
      </w:pPr>
      <w:r>
        <w:rPr>
          <w:rStyle w:val="FootnoteReference"/>
        </w:rPr>
        <w:footnoteRef/>
      </w:r>
      <w:r>
        <w:t xml:space="preserve"> </w:t>
      </w:r>
      <w:proofErr w:type="spellStart"/>
      <w:r w:rsidRPr="00D56AA9">
        <w:t>Zhenguo</w:t>
      </w:r>
      <w:proofErr w:type="spellEnd"/>
      <w:r w:rsidRPr="00D56AA9">
        <w:t xml:space="preserve"> Lin &amp; Kerry D. </w:t>
      </w:r>
      <w:proofErr w:type="spellStart"/>
      <w:r w:rsidRPr="00D56AA9">
        <w:t>Vandell</w:t>
      </w:r>
      <w:proofErr w:type="spellEnd"/>
      <w:r w:rsidRPr="00D56AA9">
        <w:t>, 2006. "Illiquidity and Pricing Biases in the Real Estate Market," Working Paper 8577, USC Lusk Center for Real Estate.</w:t>
      </w:r>
    </w:p>
  </w:footnote>
  <w:footnote w:id="26">
    <w:p w14:paraId="52C0AC9B" w14:textId="51BE8541" w:rsidR="00D60A39" w:rsidRPr="00673158" w:rsidRDefault="00D60A39">
      <w:pPr>
        <w:pStyle w:val="FootnoteText"/>
      </w:pPr>
      <w:r>
        <w:rPr>
          <w:rStyle w:val="FootnoteReference"/>
        </w:rPr>
        <w:footnoteRef/>
      </w:r>
      <w:r>
        <w:t xml:space="preserve"> </w:t>
      </w:r>
      <w:r w:rsidRPr="00673158">
        <w:t>Realtor.com, Housing Inventory: Median Days on Market in the United States</w:t>
      </w:r>
    </w:p>
  </w:footnote>
  <w:footnote w:id="27">
    <w:p w14:paraId="02840D8F" w14:textId="6051CA03" w:rsidR="00B05F01" w:rsidRPr="00B05F01" w:rsidRDefault="00B05F01">
      <w:pPr>
        <w:pStyle w:val="FootnoteText"/>
        <w:rPr>
          <w:lang w:val="it-IT"/>
        </w:rPr>
      </w:pPr>
      <w:r>
        <w:rPr>
          <w:rStyle w:val="FootnoteReference"/>
        </w:rPr>
        <w:footnoteRef/>
      </w:r>
      <w:r>
        <w:t xml:space="preserve"> </w:t>
      </w:r>
      <w:r>
        <w:rPr>
          <w:lang w:val="it-IT"/>
        </w:rPr>
        <w:t xml:space="preserve">See note </w:t>
      </w:r>
      <w:proofErr w:type="gramStart"/>
      <w:r>
        <w:rPr>
          <w:lang w:val="it-IT"/>
        </w:rPr>
        <w:t>12.</w:t>
      </w:r>
      <w:proofErr w:type="gramEnd"/>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B6AF7"/>
    <w:multiLevelType w:val="hybridMultilevel"/>
    <w:tmpl w:val="9AC27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9A6EE0"/>
    <w:multiLevelType w:val="hybridMultilevel"/>
    <w:tmpl w:val="ACB882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3137E0A"/>
    <w:multiLevelType w:val="hybridMultilevel"/>
    <w:tmpl w:val="3232FF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8D313D8"/>
    <w:multiLevelType w:val="hybridMultilevel"/>
    <w:tmpl w:val="DDBE62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9856E8"/>
    <w:multiLevelType w:val="hybridMultilevel"/>
    <w:tmpl w:val="B60A3D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861E19"/>
    <w:multiLevelType w:val="hybridMultilevel"/>
    <w:tmpl w:val="C98C93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E85545"/>
    <w:multiLevelType w:val="hybridMultilevel"/>
    <w:tmpl w:val="1DB4CA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08410E"/>
    <w:multiLevelType w:val="hybridMultilevel"/>
    <w:tmpl w:val="D7B007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CF7165F"/>
    <w:multiLevelType w:val="hybridMultilevel"/>
    <w:tmpl w:val="027210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481CA9"/>
    <w:multiLevelType w:val="hybridMultilevel"/>
    <w:tmpl w:val="852437B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5158D3"/>
    <w:multiLevelType w:val="hybridMultilevel"/>
    <w:tmpl w:val="CE94B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2A3FF5"/>
    <w:multiLevelType w:val="hybridMultilevel"/>
    <w:tmpl w:val="AFAAC3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0406512"/>
    <w:multiLevelType w:val="hybridMultilevel"/>
    <w:tmpl w:val="6C846BD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1B43CAC"/>
    <w:multiLevelType w:val="hybridMultilevel"/>
    <w:tmpl w:val="909C5B1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566701F9"/>
    <w:multiLevelType w:val="hybridMultilevel"/>
    <w:tmpl w:val="BAE42F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D1B2342"/>
    <w:multiLevelType w:val="hybridMultilevel"/>
    <w:tmpl w:val="8410C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F37144B"/>
    <w:multiLevelType w:val="hybridMultilevel"/>
    <w:tmpl w:val="76FE6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610389B"/>
    <w:multiLevelType w:val="hybridMultilevel"/>
    <w:tmpl w:val="A6F0C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6F06368"/>
    <w:multiLevelType w:val="hybridMultilevel"/>
    <w:tmpl w:val="A5F4F5A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F560D40"/>
    <w:multiLevelType w:val="hybridMultilevel"/>
    <w:tmpl w:val="CE90E24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F93170F"/>
    <w:multiLevelType w:val="hybridMultilevel"/>
    <w:tmpl w:val="A064A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BC33313"/>
    <w:multiLevelType w:val="hybridMultilevel"/>
    <w:tmpl w:val="4B94E8F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BE018C1"/>
    <w:multiLevelType w:val="hybridMultilevel"/>
    <w:tmpl w:val="D88E5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7"/>
  </w:num>
  <w:num w:numId="3">
    <w:abstractNumId w:val="22"/>
  </w:num>
  <w:num w:numId="4">
    <w:abstractNumId w:val="20"/>
  </w:num>
  <w:num w:numId="5">
    <w:abstractNumId w:val="14"/>
  </w:num>
  <w:num w:numId="6">
    <w:abstractNumId w:val="6"/>
  </w:num>
  <w:num w:numId="7">
    <w:abstractNumId w:val="10"/>
  </w:num>
  <w:num w:numId="8">
    <w:abstractNumId w:val="12"/>
  </w:num>
  <w:num w:numId="9">
    <w:abstractNumId w:val="9"/>
  </w:num>
  <w:num w:numId="10">
    <w:abstractNumId w:val="18"/>
  </w:num>
  <w:num w:numId="11">
    <w:abstractNumId w:val="19"/>
  </w:num>
  <w:num w:numId="12">
    <w:abstractNumId w:val="2"/>
  </w:num>
  <w:num w:numId="13">
    <w:abstractNumId w:val="21"/>
  </w:num>
  <w:num w:numId="14">
    <w:abstractNumId w:val="11"/>
  </w:num>
  <w:num w:numId="15">
    <w:abstractNumId w:val="1"/>
  </w:num>
  <w:num w:numId="16">
    <w:abstractNumId w:val="7"/>
  </w:num>
  <w:num w:numId="17">
    <w:abstractNumId w:val="13"/>
  </w:num>
  <w:num w:numId="18">
    <w:abstractNumId w:val="15"/>
  </w:num>
  <w:num w:numId="19">
    <w:abstractNumId w:val="3"/>
  </w:num>
  <w:num w:numId="20">
    <w:abstractNumId w:val="8"/>
  </w:num>
  <w:num w:numId="21">
    <w:abstractNumId w:val="5"/>
  </w:num>
  <w:num w:numId="22">
    <w:abstractNumId w:val="4"/>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63CA"/>
    <w:rsid w:val="00007004"/>
    <w:rsid w:val="00011F9E"/>
    <w:rsid w:val="00023F20"/>
    <w:rsid w:val="000253AF"/>
    <w:rsid w:val="000372C9"/>
    <w:rsid w:val="00043580"/>
    <w:rsid w:val="00081B99"/>
    <w:rsid w:val="00086211"/>
    <w:rsid w:val="00094F9B"/>
    <w:rsid w:val="000A173D"/>
    <w:rsid w:val="000B3239"/>
    <w:rsid w:val="000C34E7"/>
    <w:rsid w:val="000D4BE5"/>
    <w:rsid w:val="000E378B"/>
    <w:rsid w:val="00100B10"/>
    <w:rsid w:val="00103BBF"/>
    <w:rsid w:val="0012791B"/>
    <w:rsid w:val="00132293"/>
    <w:rsid w:val="00143729"/>
    <w:rsid w:val="001601BC"/>
    <w:rsid w:val="00181AE6"/>
    <w:rsid w:val="001A6857"/>
    <w:rsid w:val="001B6483"/>
    <w:rsid w:val="001C47B1"/>
    <w:rsid w:val="001D0011"/>
    <w:rsid w:val="001D4D9C"/>
    <w:rsid w:val="001F1A0E"/>
    <w:rsid w:val="00206473"/>
    <w:rsid w:val="00214029"/>
    <w:rsid w:val="00232A5D"/>
    <w:rsid w:val="00252DAE"/>
    <w:rsid w:val="00280945"/>
    <w:rsid w:val="00282F77"/>
    <w:rsid w:val="002933BF"/>
    <w:rsid w:val="0029512C"/>
    <w:rsid w:val="002A0EA3"/>
    <w:rsid w:val="002E0EA3"/>
    <w:rsid w:val="002E66E1"/>
    <w:rsid w:val="003077F6"/>
    <w:rsid w:val="00316BAC"/>
    <w:rsid w:val="0033143C"/>
    <w:rsid w:val="00335A62"/>
    <w:rsid w:val="00355894"/>
    <w:rsid w:val="0037092F"/>
    <w:rsid w:val="00372654"/>
    <w:rsid w:val="00387CE7"/>
    <w:rsid w:val="003D44DF"/>
    <w:rsid w:val="003D7FE2"/>
    <w:rsid w:val="003E296D"/>
    <w:rsid w:val="003E5CA1"/>
    <w:rsid w:val="00444963"/>
    <w:rsid w:val="00444DC6"/>
    <w:rsid w:val="004478D2"/>
    <w:rsid w:val="00453A55"/>
    <w:rsid w:val="00464853"/>
    <w:rsid w:val="004B4DD1"/>
    <w:rsid w:val="004B5605"/>
    <w:rsid w:val="00510439"/>
    <w:rsid w:val="00526958"/>
    <w:rsid w:val="00550720"/>
    <w:rsid w:val="00552707"/>
    <w:rsid w:val="00553834"/>
    <w:rsid w:val="00596936"/>
    <w:rsid w:val="00597DDA"/>
    <w:rsid w:val="005B24D0"/>
    <w:rsid w:val="005C48F7"/>
    <w:rsid w:val="005D4E1D"/>
    <w:rsid w:val="005E3F3F"/>
    <w:rsid w:val="006046CD"/>
    <w:rsid w:val="006238D9"/>
    <w:rsid w:val="00653D7F"/>
    <w:rsid w:val="00661F2B"/>
    <w:rsid w:val="00673158"/>
    <w:rsid w:val="0067343B"/>
    <w:rsid w:val="006771CC"/>
    <w:rsid w:val="006859DF"/>
    <w:rsid w:val="00696B8D"/>
    <w:rsid w:val="006A1193"/>
    <w:rsid w:val="006B583F"/>
    <w:rsid w:val="006B5996"/>
    <w:rsid w:val="006E49CB"/>
    <w:rsid w:val="00735E6B"/>
    <w:rsid w:val="007517CF"/>
    <w:rsid w:val="00764C29"/>
    <w:rsid w:val="00780D58"/>
    <w:rsid w:val="00781F9B"/>
    <w:rsid w:val="007B0DD3"/>
    <w:rsid w:val="007D4B42"/>
    <w:rsid w:val="007D5C79"/>
    <w:rsid w:val="007F2AA7"/>
    <w:rsid w:val="007F6882"/>
    <w:rsid w:val="008040B0"/>
    <w:rsid w:val="00817F2F"/>
    <w:rsid w:val="00824C92"/>
    <w:rsid w:val="0082563B"/>
    <w:rsid w:val="00827A83"/>
    <w:rsid w:val="008300FB"/>
    <w:rsid w:val="00845990"/>
    <w:rsid w:val="00863CBB"/>
    <w:rsid w:val="008715E0"/>
    <w:rsid w:val="00895560"/>
    <w:rsid w:val="008A27B1"/>
    <w:rsid w:val="008A79EA"/>
    <w:rsid w:val="008B72E3"/>
    <w:rsid w:val="008C49D8"/>
    <w:rsid w:val="00934796"/>
    <w:rsid w:val="00935D0C"/>
    <w:rsid w:val="00940BE4"/>
    <w:rsid w:val="009601AF"/>
    <w:rsid w:val="009605CE"/>
    <w:rsid w:val="009772CA"/>
    <w:rsid w:val="009A190D"/>
    <w:rsid w:val="009A7CA3"/>
    <w:rsid w:val="00A25361"/>
    <w:rsid w:val="00A4248B"/>
    <w:rsid w:val="00A641D2"/>
    <w:rsid w:val="00A70573"/>
    <w:rsid w:val="00AA6073"/>
    <w:rsid w:val="00AA66D3"/>
    <w:rsid w:val="00AC4065"/>
    <w:rsid w:val="00AC74F5"/>
    <w:rsid w:val="00AD3651"/>
    <w:rsid w:val="00AF5EAA"/>
    <w:rsid w:val="00AF709F"/>
    <w:rsid w:val="00B05F01"/>
    <w:rsid w:val="00B31650"/>
    <w:rsid w:val="00B336D4"/>
    <w:rsid w:val="00B43F8A"/>
    <w:rsid w:val="00B46BBA"/>
    <w:rsid w:val="00B47EF9"/>
    <w:rsid w:val="00B51B01"/>
    <w:rsid w:val="00B52DAB"/>
    <w:rsid w:val="00B57B02"/>
    <w:rsid w:val="00B614EB"/>
    <w:rsid w:val="00B80503"/>
    <w:rsid w:val="00BB13AC"/>
    <w:rsid w:val="00BB5742"/>
    <w:rsid w:val="00BC0DC6"/>
    <w:rsid w:val="00BD5548"/>
    <w:rsid w:val="00BE26DD"/>
    <w:rsid w:val="00BF1C60"/>
    <w:rsid w:val="00BF34C1"/>
    <w:rsid w:val="00C002DC"/>
    <w:rsid w:val="00C13DB9"/>
    <w:rsid w:val="00C27160"/>
    <w:rsid w:val="00C31689"/>
    <w:rsid w:val="00C33848"/>
    <w:rsid w:val="00C454AC"/>
    <w:rsid w:val="00C475AA"/>
    <w:rsid w:val="00C60284"/>
    <w:rsid w:val="00C87B38"/>
    <w:rsid w:val="00C87BF5"/>
    <w:rsid w:val="00C92D96"/>
    <w:rsid w:val="00CA3EA6"/>
    <w:rsid w:val="00CC63CA"/>
    <w:rsid w:val="00CE0B8C"/>
    <w:rsid w:val="00CF5367"/>
    <w:rsid w:val="00CF702A"/>
    <w:rsid w:val="00D1428D"/>
    <w:rsid w:val="00D34BEA"/>
    <w:rsid w:val="00D518AD"/>
    <w:rsid w:val="00D5470C"/>
    <w:rsid w:val="00D561EE"/>
    <w:rsid w:val="00D56AA9"/>
    <w:rsid w:val="00D60A39"/>
    <w:rsid w:val="00D623DD"/>
    <w:rsid w:val="00D72DE4"/>
    <w:rsid w:val="00D801D8"/>
    <w:rsid w:val="00D80F5F"/>
    <w:rsid w:val="00DA1C46"/>
    <w:rsid w:val="00DB1F00"/>
    <w:rsid w:val="00DD26D7"/>
    <w:rsid w:val="00DE5663"/>
    <w:rsid w:val="00DF3D24"/>
    <w:rsid w:val="00DF6560"/>
    <w:rsid w:val="00E13AE8"/>
    <w:rsid w:val="00E323EB"/>
    <w:rsid w:val="00E40497"/>
    <w:rsid w:val="00E42BF2"/>
    <w:rsid w:val="00E449C2"/>
    <w:rsid w:val="00E45A27"/>
    <w:rsid w:val="00E80635"/>
    <w:rsid w:val="00E81731"/>
    <w:rsid w:val="00E87C4D"/>
    <w:rsid w:val="00EC12F8"/>
    <w:rsid w:val="00ED376D"/>
    <w:rsid w:val="00ED52C9"/>
    <w:rsid w:val="00ED548A"/>
    <w:rsid w:val="00EF3551"/>
    <w:rsid w:val="00EF6AA0"/>
    <w:rsid w:val="00EF6DEC"/>
    <w:rsid w:val="00F119F7"/>
    <w:rsid w:val="00F31B60"/>
    <w:rsid w:val="00F337EF"/>
    <w:rsid w:val="00F51F4A"/>
    <w:rsid w:val="00F65127"/>
    <w:rsid w:val="00F708E8"/>
    <w:rsid w:val="00F71BE3"/>
    <w:rsid w:val="00F8392B"/>
    <w:rsid w:val="00F86195"/>
    <w:rsid w:val="00F924F6"/>
    <w:rsid w:val="00F96097"/>
    <w:rsid w:val="00FA6A68"/>
    <w:rsid w:val="00FC47D7"/>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73DA25"/>
  <w15:chartTrackingRefBased/>
  <w15:docId w15:val="{EBADC498-6490-4261-963D-5E93EBDA6B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05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F355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D26D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D26D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F709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0573"/>
    <w:rPr>
      <w:rFonts w:asciiTheme="majorHAnsi" w:eastAsiaTheme="majorEastAsia" w:hAnsiTheme="majorHAnsi" w:cstheme="majorBidi"/>
      <w:color w:val="2F5496" w:themeColor="accent1" w:themeShade="BF"/>
      <w:sz w:val="32"/>
      <w:szCs w:val="32"/>
    </w:rPr>
  </w:style>
  <w:style w:type="paragraph" w:styleId="FootnoteText">
    <w:name w:val="footnote text"/>
    <w:basedOn w:val="Normal"/>
    <w:link w:val="FootnoteTextChar"/>
    <w:uiPriority w:val="99"/>
    <w:semiHidden/>
    <w:unhideWhenUsed/>
    <w:rsid w:val="00A7057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70573"/>
    <w:rPr>
      <w:sz w:val="20"/>
      <w:szCs w:val="20"/>
    </w:rPr>
  </w:style>
  <w:style w:type="character" w:styleId="FootnoteReference">
    <w:name w:val="footnote reference"/>
    <w:basedOn w:val="DefaultParagraphFont"/>
    <w:uiPriority w:val="99"/>
    <w:semiHidden/>
    <w:unhideWhenUsed/>
    <w:rsid w:val="00A70573"/>
    <w:rPr>
      <w:vertAlign w:val="superscript"/>
    </w:rPr>
  </w:style>
  <w:style w:type="paragraph" w:styleId="ListParagraph">
    <w:name w:val="List Paragraph"/>
    <w:basedOn w:val="Normal"/>
    <w:uiPriority w:val="34"/>
    <w:qFormat/>
    <w:rsid w:val="00E13AE8"/>
    <w:pPr>
      <w:ind w:left="720"/>
      <w:contextualSpacing/>
    </w:pPr>
  </w:style>
  <w:style w:type="character" w:customStyle="1" w:styleId="Heading2Char">
    <w:name w:val="Heading 2 Char"/>
    <w:basedOn w:val="DefaultParagraphFont"/>
    <w:link w:val="Heading2"/>
    <w:uiPriority w:val="9"/>
    <w:rsid w:val="00EF3551"/>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F8392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DD26D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D26D7"/>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B80503"/>
    <w:rPr>
      <w:color w:val="808080"/>
    </w:rPr>
  </w:style>
  <w:style w:type="character" w:styleId="Hyperlink">
    <w:name w:val="Hyperlink"/>
    <w:basedOn w:val="DefaultParagraphFont"/>
    <w:uiPriority w:val="99"/>
    <w:unhideWhenUsed/>
    <w:rsid w:val="006771CC"/>
    <w:rPr>
      <w:color w:val="0563C1" w:themeColor="hyperlink"/>
      <w:u w:val="single"/>
    </w:rPr>
  </w:style>
  <w:style w:type="character" w:customStyle="1" w:styleId="Heading5Char">
    <w:name w:val="Heading 5 Char"/>
    <w:basedOn w:val="DefaultParagraphFont"/>
    <w:link w:val="Heading5"/>
    <w:uiPriority w:val="9"/>
    <w:semiHidden/>
    <w:rsid w:val="00AF709F"/>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293180">
      <w:bodyDiv w:val="1"/>
      <w:marLeft w:val="0"/>
      <w:marRight w:val="0"/>
      <w:marTop w:val="0"/>
      <w:marBottom w:val="0"/>
      <w:divBdr>
        <w:top w:val="none" w:sz="0" w:space="0" w:color="auto"/>
        <w:left w:val="none" w:sz="0" w:space="0" w:color="auto"/>
        <w:bottom w:val="none" w:sz="0" w:space="0" w:color="auto"/>
        <w:right w:val="none" w:sz="0" w:space="0" w:color="auto"/>
      </w:divBdr>
    </w:div>
    <w:div w:id="139270137">
      <w:bodyDiv w:val="1"/>
      <w:marLeft w:val="0"/>
      <w:marRight w:val="0"/>
      <w:marTop w:val="0"/>
      <w:marBottom w:val="0"/>
      <w:divBdr>
        <w:top w:val="none" w:sz="0" w:space="0" w:color="auto"/>
        <w:left w:val="none" w:sz="0" w:space="0" w:color="auto"/>
        <w:bottom w:val="none" w:sz="0" w:space="0" w:color="auto"/>
        <w:right w:val="none" w:sz="0" w:space="0" w:color="auto"/>
      </w:divBdr>
    </w:div>
    <w:div w:id="184178849">
      <w:bodyDiv w:val="1"/>
      <w:marLeft w:val="0"/>
      <w:marRight w:val="0"/>
      <w:marTop w:val="0"/>
      <w:marBottom w:val="0"/>
      <w:divBdr>
        <w:top w:val="none" w:sz="0" w:space="0" w:color="auto"/>
        <w:left w:val="none" w:sz="0" w:space="0" w:color="auto"/>
        <w:bottom w:val="none" w:sz="0" w:space="0" w:color="auto"/>
        <w:right w:val="none" w:sz="0" w:space="0" w:color="auto"/>
      </w:divBdr>
      <w:divsChild>
        <w:div w:id="2068187480">
          <w:marLeft w:val="0"/>
          <w:marRight w:val="0"/>
          <w:marTop w:val="0"/>
          <w:marBottom w:val="0"/>
          <w:divBdr>
            <w:top w:val="none" w:sz="0" w:space="0" w:color="auto"/>
            <w:left w:val="none" w:sz="0" w:space="0" w:color="auto"/>
            <w:bottom w:val="none" w:sz="0" w:space="0" w:color="auto"/>
            <w:right w:val="none" w:sz="0" w:space="0" w:color="auto"/>
          </w:divBdr>
          <w:divsChild>
            <w:div w:id="181930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72613">
      <w:bodyDiv w:val="1"/>
      <w:marLeft w:val="0"/>
      <w:marRight w:val="0"/>
      <w:marTop w:val="0"/>
      <w:marBottom w:val="0"/>
      <w:divBdr>
        <w:top w:val="none" w:sz="0" w:space="0" w:color="auto"/>
        <w:left w:val="none" w:sz="0" w:space="0" w:color="auto"/>
        <w:bottom w:val="none" w:sz="0" w:space="0" w:color="auto"/>
        <w:right w:val="none" w:sz="0" w:space="0" w:color="auto"/>
      </w:divBdr>
    </w:div>
    <w:div w:id="377054206">
      <w:bodyDiv w:val="1"/>
      <w:marLeft w:val="0"/>
      <w:marRight w:val="0"/>
      <w:marTop w:val="0"/>
      <w:marBottom w:val="0"/>
      <w:divBdr>
        <w:top w:val="none" w:sz="0" w:space="0" w:color="auto"/>
        <w:left w:val="none" w:sz="0" w:space="0" w:color="auto"/>
        <w:bottom w:val="none" w:sz="0" w:space="0" w:color="auto"/>
        <w:right w:val="none" w:sz="0" w:space="0" w:color="auto"/>
      </w:divBdr>
    </w:div>
    <w:div w:id="415588692">
      <w:bodyDiv w:val="1"/>
      <w:marLeft w:val="0"/>
      <w:marRight w:val="0"/>
      <w:marTop w:val="0"/>
      <w:marBottom w:val="0"/>
      <w:divBdr>
        <w:top w:val="none" w:sz="0" w:space="0" w:color="auto"/>
        <w:left w:val="none" w:sz="0" w:space="0" w:color="auto"/>
        <w:bottom w:val="none" w:sz="0" w:space="0" w:color="auto"/>
        <w:right w:val="none" w:sz="0" w:space="0" w:color="auto"/>
      </w:divBdr>
    </w:div>
    <w:div w:id="721097530">
      <w:bodyDiv w:val="1"/>
      <w:marLeft w:val="0"/>
      <w:marRight w:val="0"/>
      <w:marTop w:val="0"/>
      <w:marBottom w:val="0"/>
      <w:divBdr>
        <w:top w:val="none" w:sz="0" w:space="0" w:color="auto"/>
        <w:left w:val="none" w:sz="0" w:space="0" w:color="auto"/>
        <w:bottom w:val="none" w:sz="0" w:space="0" w:color="auto"/>
        <w:right w:val="none" w:sz="0" w:space="0" w:color="auto"/>
      </w:divBdr>
      <w:divsChild>
        <w:div w:id="1749577910">
          <w:marLeft w:val="0"/>
          <w:marRight w:val="0"/>
          <w:marTop w:val="0"/>
          <w:marBottom w:val="0"/>
          <w:divBdr>
            <w:top w:val="none" w:sz="0" w:space="0" w:color="auto"/>
            <w:left w:val="none" w:sz="0" w:space="0" w:color="auto"/>
            <w:bottom w:val="none" w:sz="0" w:space="0" w:color="auto"/>
            <w:right w:val="none" w:sz="0" w:space="0" w:color="auto"/>
          </w:divBdr>
          <w:divsChild>
            <w:div w:id="77740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695273">
      <w:bodyDiv w:val="1"/>
      <w:marLeft w:val="0"/>
      <w:marRight w:val="0"/>
      <w:marTop w:val="0"/>
      <w:marBottom w:val="0"/>
      <w:divBdr>
        <w:top w:val="none" w:sz="0" w:space="0" w:color="auto"/>
        <w:left w:val="none" w:sz="0" w:space="0" w:color="auto"/>
        <w:bottom w:val="none" w:sz="0" w:space="0" w:color="auto"/>
        <w:right w:val="none" w:sz="0" w:space="0" w:color="auto"/>
      </w:divBdr>
    </w:div>
    <w:div w:id="1221986288">
      <w:bodyDiv w:val="1"/>
      <w:marLeft w:val="0"/>
      <w:marRight w:val="0"/>
      <w:marTop w:val="0"/>
      <w:marBottom w:val="0"/>
      <w:divBdr>
        <w:top w:val="none" w:sz="0" w:space="0" w:color="auto"/>
        <w:left w:val="none" w:sz="0" w:space="0" w:color="auto"/>
        <w:bottom w:val="none" w:sz="0" w:space="0" w:color="auto"/>
        <w:right w:val="none" w:sz="0" w:space="0" w:color="auto"/>
      </w:divBdr>
    </w:div>
    <w:div w:id="1335769426">
      <w:bodyDiv w:val="1"/>
      <w:marLeft w:val="0"/>
      <w:marRight w:val="0"/>
      <w:marTop w:val="0"/>
      <w:marBottom w:val="0"/>
      <w:divBdr>
        <w:top w:val="none" w:sz="0" w:space="0" w:color="auto"/>
        <w:left w:val="none" w:sz="0" w:space="0" w:color="auto"/>
        <w:bottom w:val="none" w:sz="0" w:space="0" w:color="auto"/>
        <w:right w:val="none" w:sz="0" w:space="0" w:color="auto"/>
      </w:divBdr>
      <w:divsChild>
        <w:div w:id="998339695">
          <w:marLeft w:val="-225"/>
          <w:marRight w:val="-225"/>
          <w:marTop w:val="0"/>
          <w:marBottom w:val="0"/>
          <w:divBdr>
            <w:top w:val="none" w:sz="0" w:space="0" w:color="auto"/>
            <w:left w:val="none" w:sz="0" w:space="0" w:color="auto"/>
            <w:bottom w:val="none" w:sz="0" w:space="0" w:color="auto"/>
            <w:right w:val="none" w:sz="0" w:space="0" w:color="auto"/>
          </w:divBdr>
          <w:divsChild>
            <w:div w:id="1026753468">
              <w:marLeft w:val="-225"/>
              <w:marRight w:val="-225"/>
              <w:marTop w:val="0"/>
              <w:marBottom w:val="300"/>
              <w:divBdr>
                <w:top w:val="none" w:sz="0" w:space="0" w:color="auto"/>
                <w:left w:val="none" w:sz="0" w:space="0" w:color="auto"/>
                <w:bottom w:val="single" w:sz="6" w:space="5" w:color="B2B2B2"/>
                <w:right w:val="none" w:sz="0" w:space="0" w:color="auto"/>
              </w:divBdr>
              <w:divsChild>
                <w:div w:id="1207451677">
                  <w:marLeft w:val="0"/>
                  <w:marRight w:val="0"/>
                  <w:marTop w:val="0"/>
                  <w:marBottom w:val="0"/>
                  <w:divBdr>
                    <w:top w:val="none" w:sz="0" w:space="0" w:color="auto"/>
                    <w:left w:val="none" w:sz="0" w:space="0" w:color="auto"/>
                    <w:bottom w:val="none" w:sz="0" w:space="0" w:color="auto"/>
                    <w:right w:val="none" w:sz="0" w:space="0" w:color="auto"/>
                  </w:divBdr>
                  <w:divsChild>
                    <w:div w:id="146801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7356270">
      <w:bodyDiv w:val="1"/>
      <w:marLeft w:val="0"/>
      <w:marRight w:val="0"/>
      <w:marTop w:val="0"/>
      <w:marBottom w:val="0"/>
      <w:divBdr>
        <w:top w:val="none" w:sz="0" w:space="0" w:color="auto"/>
        <w:left w:val="none" w:sz="0" w:space="0" w:color="auto"/>
        <w:bottom w:val="none" w:sz="0" w:space="0" w:color="auto"/>
        <w:right w:val="none" w:sz="0" w:space="0" w:color="auto"/>
      </w:divBdr>
    </w:div>
    <w:div w:id="1638343086">
      <w:bodyDiv w:val="1"/>
      <w:marLeft w:val="0"/>
      <w:marRight w:val="0"/>
      <w:marTop w:val="0"/>
      <w:marBottom w:val="0"/>
      <w:divBdr>
        <w:top w:val="none" w:sz="0" w:space="0" w:color="auto"/>
        <w:left w:val="none" w:sz="0" w:space="0" w:color="auto"/>
        <w:bottom w:val="none" w:sz="0" w:space="0" w:color="auto"/>
        <w:right w:val="none" w:sz="0" w:space="0" w:color="auto"/>
      </w:divBdr>
    </w:div>
    <w:div w:id="1840651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2.xml"/><Relationship Id="rId18" Type="http://schemas.openxmlformats.org/officeDocument/2006/relationships/image" Target="media/image5.png"/><Relationship Id="rId26" Type="http://schemas.openxmlformats.org/officeDocument/2006/relationships/hyperlink" Target="https://www.aptech.com/blog/permutation-entropy/" TargetMode="Externa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chart" Target="charts/chart6.xm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chart" Target="charts/chart5.xml"/><Relationship Id="rId20" Type="http://schemas.openxmlformats.org/officeDocument/2006/relationships/chart" Target="charts/chart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chart" Target="charts/chart4.xml"/><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mckinsey.com/industries/real-estate/our-insights/understanding-real-estate-as-an-investment-clas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3.xml"/><Relationship Id="rId22" Type="http://schemas.openxmlformats.org/officeDocument/2006/relationships/image" Target="media/image7.pn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https://bnpparibas-my.sharepoint.com/personal/ettore_minelli_realestate_bnpparibas/Documents/Documents/f/link%20utili.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e67495\OneDrive%20-%20BNP%20Paribas\Documents\f\link%20utili.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e67495\OneDrive%20-%20BNP%20Paribas\Documents\f\02-08\speranza.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oleObject" Target="file:///C:\Users\e67495\OneDrive%20-%20BNP%20Paribas\Documents\f\StocksvsRE.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file:///C:\Users\e67495\OneDrive%20-%20BNP%20Paribas\Documents\f\02-08\speranza.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e67495\OneDrive%20-%20BNP%20Paribas\Documents\f\StocksvsRE.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Ettore\Desktop\Tesi%20magistrale\Real%20estate%20efficiency\Illiquidty\Median%20Days%20on%20Market%20in%20the%20United%20States.xls"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Sheet2!$F$2</c:f>
              <c:strCache>
                <c:ptCount val="1"/>
                <c:pt idx="0">
                  <c:v>Total GDP</c:v>
                </c:pt>
              </c:strCache>
            </c:strRef>
          </c:tx>
          <c:spPr>
            <a:solidFill>
              <a:schemeClr val="accent1"/>
            </a:solidFill>
            <a:ln>
              <a:noFill/>
            </a:ln>
            <a:effectLst/>
          </c:spPr>
          <c:invertIfNegative val="0"/>
          <c:dLbls>
            <c:dLbl>
              <c:idx val="0"/>
              <c:tx>
                <c:rich>
                  <a:bodyPr/>
                  <a:lstStyle/>
                  <a:p>
                    <a:r>
                      <a:rPr lang="en-US"/>
                      <a:t>1.22</a:t>
                    </a: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3-BDF4-4088-BB1D-05ABEA71580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Sheet2!$G$2</c:f>
              <c:numCache>
                <c:formatCode>General</c:formatCode>
                <c:ptCount val="1"/>
                <c:pt idx="0">
                  <c:v>1215532000000</c:v>
                </c:pt>
              </c:numCache>
            </c:numRef>
          </c:val>
          <c:extLst>
            <c:ext xmlns:c16="http://schemas.microsoft.com/office/drawing/2014/chart" uri="{C3380CC4-5D6E-409C-BE32-E72D297353CC}">
              <c16:uniqueId val="{00000000-BDF4-4088-BB1D-05ABEA715808}"/>
            </c:ext>
          </c:extLst>
        </c:ser>
        <c:ser>
          <c:idx val="1"/>
          <c:order val="1"/>
          <c:tx>
            <c:strRef>
              <c:f>Sheet2!$F$3</c:f>
              <c:strCache>
                <c:ptCount val="1"/>
                <c:pt idx="0">
                  <c:v>Construction</c:v>
                </c:pt>
              </c:strCache>
            </c:strRef>
          </c:tx>
          <c:spPr>
            <a:solidFill>
              <a:schemeClr val="accent2"/>
            </a:solidFill>
            <a:ln>
              <a:noFill/>
            </a:ln>
            <a:effectLst/>
          </c:spPr>
          <c:invertIfNegative val="0"/>
          <c:dLbls>
            <c:dLbl>
              <c:idx val="0"/>
              <c:tx>
                <c:rich>
                  <a:bodyPr/>
                  <a:lstStyle/>
                  <a:p>
                    <a:r>
                      <a:rPr lang="en-US"/>
                      <a:t>0.07</a:t>
                    </a: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4-BDF4-4088-BB1D-05ABEA71580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Sheet2!$G$3</c:f>
              <c:numCache>
                <c:formatCode>General</c:formatCode>
                <c:ptCount val="1"/>
                <c:pt idx="0">
                  <c:v>66114000000</c:v>
                </c:pt>
              </c:numCache>
            </c:numRef>
          </c:val>
          <c:extLst>
            <c:ext xmlns:c16="http://schemas.microsoft.com/office/drawing/2014/chart" uri="{C3380CC4-5D6E-409C-BE32-E72D297353CC}">
              <c16:uniqueId val="{00000001-BDF4-4088-BB1D-05ABEA715808}"/>
            </c:ext>
          </c:extLst>
        </c:ser>
        <c:ser>
          <c:idx val="2"/>
          <c:order val="2"/>
          <c:tx>
            <c:strRef>
              <c:f>Sheet2!$F$4</c:f>
              <c:strCache>
                <c:ptCount val="1"/>
                <c:pt idx="0">
                  <c:v>Real Estate Activities</c:v>
                </c:pt>
              </c:strCache>
            </c:strRef>
          </c:tx>
          <c:spPr>
            <a:solidFill>
              <a:schemeClr val="accent3"/>
            </a:solidFill>
            <a:ln>
              <a:noFill/>
            </a:ln>
            <a:effectLst/>
          </c:spPr>
          <c:invertIfNegative val="0"/>
          <c:dLbls>
            <c:dLbl>
              <c:idx val="0"/>
              <c:tx>
                <c:rich>
                  <a:bodyPr/>
                  <a:lstStyle/>
                  <a:p>
                    <a:r>
                      <a:rPr lang="en-US"/>
                      <a:t>0.21</a:t>
                    </a: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5-BDF4-4088-BB1D-05ABEA71580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Sheet2!$G$4</c:f>
              <c:numCache>
                <c:formatCode>General</c:formatCode>
                <c:ptCount val="1"/>
                <c:pt idx="0">
                  <c:v>211471000000</c:v>
                </c:pt>
              </c:numCache>
            </c:numRef>
          </c:val>
          <c:extLst>
            <c:ext xmlns:c16="http://schemas.microsoft.com/office/drawing/2014/chart" uri="{C3380CC4-5D6E-409C-BE32-E72D297353CC}">
              <c16:uniqueId val="{00000002-BDF4-4088-BB1D-05ABEA715808}"/>
            </c:ext>
          </c:extLst>
        </c:ser>
        <c:dLbls>
          <c:dLblPos val="ctr"/>
          <c:showLegendKey val="0"/>
          <c:showVal val="1"/>
          <c:showCatName val="0"/>
          <c:showSerName val="0"/>
          <c:showPercent val="0"/>
          <c:showBubbleSize val="0"/>
        </c:dLbls>
        <c:gapWidth val="150"/>
        <c:overlap val="100"/>
        <c:axId val="706408280"/>
        <c:axId val="706410248"/>
      </c:barChart>
      <c:catAx>
        <c:axId val="706408280"/>
        <c:scaling>
          <c:orientation val="minMax"/>
        </c:scaling>
        <c:delete val="1"/>
        <c:axPos val="b"/>
        <c:numFmt formatCode="General" sourceLinked="1"/>
        <c:majorTickMark val="none"/>
        <c:minorTickMark val="none"/>
        <c:tickLblPos val="nextTo"/>
        <c:crossAx val="706410248"/>
        <c:crosses val="autoZero"/>
        <c:auto val="1"/>
        <c:lblAlgn val="ctr"/>
        <c:lblOffset val="100"/>
        <c:noMultiLvlLbl val="0"/>
      </c:catAx>
      <c:valAx>
        <c:axId val="7064102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6408280"/>
        <c:crosses val="autoZero"/>
        <c:crossBetween val="between"/>
        <c:dispUnits>
          <c:builtInUnit val="trillions"/>
          <c:dispUnitsLbl>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Trillion Euros</a:t>
                  </a:r>
                </a:p>
              </c:rich>
            </c:tx>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dispUnitsLbl>
        </c:dispUnits>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1" i="0" u="none" strike="noStrike" baseline="0">
                <a:effectLst/>
              </a:rPr>
              <a:t>Households and Nonprofit Organizations; Total Assets - 2021</a:t>
            </a:r>
            <a:endParaRPr lang="en-US"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C3E7-41D5-BA29-3B9F635F10B9}"/>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C3E7-41D5-BA29-3B9F635F10B9}"/>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C3E7-41D5-BA29-3B9F635F10B9}"/>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'Assets between households'!$A$5:$A$7</c:f>
              <c:strCache>
                <c:ptCount val="3"/>
                <c:pt idx="0">
                  <c:v>Real Estate at Market Value</c:v>
                </c:pt>
                <c:pt idx="1">
                  <c:v>Directly Held Corporate Equities</c:v>
                </c:pt>
                <c:pt idx="2">
                  <c:v>Other assets</c:v>
                </c:pt>
              </c:strCache>
            </c:strRef>
          </c:cat>
          <c:val>
            <c:numRef>
              <c:f>'Assets between households'!$B$5:$B$7</c:f>
              <c:numCache>
                <c:formatCode>0%</c:formatCode>
                <c:ptCount val="3"/>
                <c:pt idx="0">
                  <c:v>0.25141673364873729</c:v>
                </c:pt>
                <c:pt idx="1">
                  <c:v>0.19273135545525322</c:v>
                </c:pt>
                <c:pt idx="2">
                  <c:v>0.55585191089600949</c:v>
                </c:pt>
              </c:numCache>
            </c:numRef>
          </c:val>
          <c:extLst>
            <c:ext xmlns:c16="http://schemas.microsoft.com/office/drawing/2014/chart" uri="{C3380CC4-5D6E-409C-BE32-E72D297353CC}">
              <c16:uniqueId val="{00000006-C3E7-41D5-BA29-3B9F635F10B9}"/>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DJRE</a:t>
            </a:r>
            <a:r>
              <a:rPr lang="en-US" baseline="0"/>
              <a:t> vs S&amp;P500</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Sheet2!$B$1</c:f>
              <c:strCache>
                <c:ptCount val="1"/>
                <c:pt idx="0">
                  <c:v>Norm djre</c:v>
                </c:pt>
              </c:strCache>
            </c:strRef>
          </c:tx>
          <c:spPr>
            <a:ln w="28575" cap="rnd">
              <a:solidFill>
                <a:schemeClr val="accent1"/>
              </a:solidFill>
              <a:round/>
            </a:ln>
            <a:effectLst/>
          </c:spPr>
          <c:marker>
            <c:symbol val="none"/>
          </c:marker>
          <c:cat>
            <c:numRef>
              <c:f>Sheet2!$A$2:$A$68</c:f>
              <c:numCache>
                <c:formatCode>mmm\-yy</c:formatCode>
                <c:ptCount val="67"/>
                <c:pt idx="0">
                  <c:v>39448</c:v>
                </c:pt>
                <c:pt idx="1">
                  <c:v>39417</c:v>
                </c:pt>
                <c:pt idx="2">
                  <c:v>39387</c:v>
                </c:pt>
                <c:pt idx="3">
                  <c:v>39356</c:v>
                </c:pt>
                <c:pt idx="4">
                  <c:v>39326</c:v>
                </c:pt>
                <c:pt idx="5">
                  <c:v>39295</c:v>
                </c:pt>
                <c:pt idx="6">
                  <c:v>39264</c:v>
                </c:pt>
                <c:pt idx="7">
                  <c:v>39234</c:v>
                </c:pt>
                <c:pt idx="8">
                  <c:v>39203</c:v>
                </c:pt>
                <c:pt idx="9">
                  <c:v>39173</c:v>
                </c:pt>
                <c:pt idx="10">
                  <c:v>39142</c:v>
                </c:pt>
                <c:pt idx="11">
                  <c:v>39114</c:v>
                </c:pt>
                <c:pt idx="12">
                  <c:v>39083</c:v>
                </c:pt>
                <c:pt idx="13">
                  <c:v>39052</c:v>
                </c:pt>
                <c:pt idx="14">
                  <c:v>39022</c:v>
                </c:pt>
                <c:pt idx="15">
                  <c:v>38991</c:v>
                </c:pt>
                <c:pt idx="16">
                  <c:v>38961</c:v>
                </c:pt>
                <c:pt idx="17">
                  <c:v>38930</c:v>
                </c:pt>
                <c:pt idx="18">
                  <c:v>38899</c:v>
                </c:pt>
                <c:pt idx="19">
                  <c:v>38869</c:v>
                </c:pt>
                <c:pt idx="20">
                  <c:v>38838</c:v>
                </c:pt>
                <c:pt idx="21">
                  <c:v>38808</c:v>
                </c:pt>
                <c:pt idx="22">
                  <c:v>38777</c:v>
                </c:pt>
                <c:pt idx="23">
                  <c:v>38749</c:v>
                </c:pt>
                <c:pt idx="24">
                  <c:v>38718</c:v>
                </c:pt>
                <c:pt idx="25">
                  <c:v>38687</c:v>
                </c:pt>
                <c:pt idx="26">
                  <c:v>38657</c:v>
                </c:pt>
                <c:pt idx="27">
                  <c:v>38626</c:v>
                </c:pt>
                <c:pt idx="28">
                  <c:v>38596</c:v>
                </c:pt>
                <c:pt idx="29">
                  <c:v>38565</c:v>
                </c:pt>
                <c:pt idx="30">
                  <c:v>38534</c:v>
                </c:pt>
                <c:pt idx="31">
                  <c:v>38504</c:v>
                </c:pt>
                <c:pt idx="32">
                  <c:v>38473</c:v>
                </c:pt>
                <c:pt idx="33">
                  <c:v>38443</c:v>
                </c:pt>
                <c:pt idx="34">
                  <c:v>38412</c:v>
                </c:pt>
                <c:pt idx="35">
                  <c:v>38384</c:v>
                </c:pt>
                <c:pt idx="36">
                  <c:v>38353</c:v>
                </c:pt>
                <c:pt idx="37">
                  <c:v>38322</c:v>
                </c:pt>
                <c:pt idx="38">
                  <c:v>38292</c:v>
                </c:pt>
                <c:pt idx="39">
                  <c:v>38261</c:v>
                </c:pt>
                <c:pt idx="40">
                  <c:v>38231</c:v>
                </c:pt>
                <c:pt idx="41">
                  <c:v>38200</c:v>
                </c:pt>
                <c:pt idx="42">
                  <c:v>38169</c:v>
                </c:pt>
                <c:pt idx="43">
                  <c:v>38139</c:v>
                </c:pt>
                <c:pt idx="44">
                  <c:v>38108</c:v>
                </c:pt>
                <c:pt idx="45">
                  <c:v>38078</c:v>
                </c:pt>
                <c:pt idx="46">
                  <c:v>38047</c:v>
                </c:pt>
                <c:pt idx="47">
                  <c:v>38018</c:v>
                </c:pt>
                <c:pt idx="48">
                  <c:v>37987</c:v>
                </c:pt>
                <c:pt idx="49">
                  <c:v>37956</c:v>
                </c:pt>
                <c:pt idx="50">
                  <c:v>37926</c:v>
                </c:pt>
                <c:pt idx="51">
                  <c:v>37895</c:v>
                </c:pt>
                <c:pt idx="52">
                  <c:v>37865</c:v>
                </c:pt>
                <c:pt idx="53">
                  <c:v>37834</c:v>
                </c:pt>
                <c:pt idx="54">
                  <c:v>37803</c:v>
                </c:pt>
                <c:pt idx="55">
                  <c:v>37773</c:v>
                </c:pt>
                <c:pt idx="56">
                  <c:v>37742</c:v>
                </c:pt>
                <c:pt idx="57">
                  <c:v>37712</c:v>
                </c:pt>
                <c:pt idx="58">
                  <c:v>37681</c:v>
                </c:pt>
                <c:pt idx="59">
                  <c:v>37653</c:v>
                </c:pt>
                <c:pt idx="60">
                  <c:v>37622</c:v>
                </c:pt>
                <c:pt idx="61">
                  <c:v>37591</c:v>
                </c:pt>
                <c:pt idx="62">
                  <c:v>37561</c:v>
                </c:pt>
                <c:pt idx="63">
                  <c:v>37530</c:v>
                </c:pt>
                <c:pt idx="64">
                  <c:v>37500</c:v>
                </c:pt>
                <c:pt idx="65">
                  <c:v>37469</c:v>
                </c:pt>
                <c:pt idx="66">
                  <c:v>37438</c:v>
                </c:pt>
              </c:numCache>
            </c:numRef>
          </c:cat>
          <c:val>
            <c:numRef>
              <c:f>Sheet2!$B$2:$B$68</c:f>
              <c:numCache>
                <c:formatCode>General</c:formatCode>
                <c:ptCount val="67"/>
                <c:pt idx="0">
                  <c:v>0.56394566148574254</c:v>
                </c:pt>
                <c:pt idx="1">
                  <c:v>0.57538856933055937</c:v>
                </c:pt>
                <c:pt idx="2">
                  <c:v>0.66980785705543999</c:v>
                </c:pt>
                <c:pt idx="3">
                  <c:v>0.83857544976135112</c:v>
                </c:pt>
                <c:pt idx="4">
                  <c:v>0.83178313547913385</c:v>
                </c:pt>
                <c:pt idx="5">
                  <c:v>0.76453310488312343</c:v>
                </c:pt>
                <c:pt idx="6">
                  <c:v>0.69208175253946891</c:v>
                </c:pt>
                <c:pt idx="7">
                  <c:v>0.85142577407906028</c:v>
                </c:pt>
                <c:pt idx="8">
                  <c:v>1.0440582548035739</c:v>
                </c:pt>
                <c:pt idx="9">
                  <c:v>1.0455880553175869</c:v>
                </c:pt>
                <c:pt idx="10">
                  <c:v>1.0446701750091787</c:v>
                </c:pt>
                <c:pt idx="11">
                  <c:v>1.1065964998164239</c:v>
                </c:pt>
                <c:pt idx="12">
                  <c:v>1.177334475584384</c:v>
                </c:pt>
                <c:pt idx="13">
                  <c:v>1.0115040998653777</c:v>
                </c:pt>
                <c:pt idx="14">
                  <c:v>1.0501774568596258</c:v>
                </c:pt>
                <c:pt idx="15">
                  <c:v>0.967812997185167</c:v>
                </c:pt>
                <c:pt idx="16">
                  <c:v>0.85246603842858915</c:v>
                </c:pt>
                <c:pt idx="17">
                  <c:v>0.82089095581936133</c:v>
                </c:pt>
                <c:pt idx="18">
                  <c:v>0.77462978827560902</c:v>
                </c:pt>
                <c:pt idx="19">
                  <c:v>0.72794027658793303</c:v>
                </c:pt>
                <c:pt idx="20">
                  <c:v>0.6540203157508262</c:v>
                </c:pt>
                <c:pt idx="21">
                  <c:v>0.71380491983845307</c:v>
                </c:pt>
                <c:pt idx="22">
                  <c:v>0.76948965854852558</c:v>
                </c:pt>
                <c:pt idx="23">
                  <c:v>0.68369844572267779</c:v>
                </c:pt>
                <c:pt idx="24">
                  <c:v>0.65665157263492868</c:v>
                </c:pt>
                <c:pt idx="25">
                  <c:v>0.55042222494186777</c:v>
                </c:pt>
                <c:pt idx="26">
                  <c:v>0.56523069391751313</c:v>
                </c:pt>
                <c:pt idx="27">
                  <c:v>0.50416105739811545</c:v>
                </c:pt>
                <c:pt idx="28">
                  <c:v>0.54742381593440226</c:v>
                </c:pt>
                <c:pt idx="29">
                  <c:v>0.55837718761473498</c:v>
                </c:pt>
                <c:pt idx="30">
                  <c:v>0.6340105250275363</c:v>
                </c:pt>
                <c:pt idx="31">
                  <c:v>0.53543017990454045</c:v>
                </c:pt>
                <c:pt idx="32">
                  <c:v>0.47491127157018731</c:v>
                </c:pt>
                <c:pt idx="33">
                  <c:v>0.42895606412923781</c:v>
                </c:pt>
                <c:pt idx="34">
                  <c:v>0.36146126545098545</c:v>
                </c:pt>
                <c:pt idx="35">
                  <c:v>0.39713621343776784</c:v>
                </c:pt>
                <c:pt idx="36">
                  <c:v>0.36690735528087148</c:v>
                </c:pt>
                <c:pt idx="37">
                  <c:v>0.48923020438134879</c:v>
                </c:pt>
                <c:pt idx="38">
                  <c:v>0.42528454289560647</c:v>
                </c:pt>
                <c:pt idx="39">
                  <c:v>0.36941622812385266</c:v>
                </c:pt>
                <c:pt idx="40">
                  <c:v>0.31036592828295184</c:v>
                </c:pt>
                <c:pt idx="41">
                  <c:v>0.31856565903806144</c:v>
                </c:pt>
                <c:pt idx="42">
                  <c:v>0.2229837229225311</c:v>
                </c:pt>
                <c:pt idx="43">
                  <c:v>0.2245747154571045</c:v>
                </c:pt>
                <c:pt idx="44">
                  <c:v>0.19765022641047625</c:v>
                </c:pt>
                <c:pt idx="45">
                  <c:v>0.12305715334720357</c:v>
                </c:pt>
                <c:pt idx="46">
                  <c:v>0.32945783869783374</c:v>
                </c:pt>
                <c:pt idx="47">
                  <c:v>0.26900012238404125</c:v>
                </c:pt>
                <c:pt idx="48">
                  <c:v>0.24752172316729903</c:v>
                </c:pt>
                <c:pt idx="49">
                  <c:v>0.19905764288336814</c:v>
                </c:pt>
                <c:pt idx="50">
                  <c:v>0.16595275976012736</c:v>
                </c:pt>
                <c:pt idx="51">
                  <c:v>0.12238404112103773</c:v>
                </c:pt>
                <c:pt idx="52">
                  <c:v>0.10390405091176125</c:v>
                </c:pt>
                <c:pt idx="53">
                  <c:v>7.7101945906254077E-2</c:v>
                </c:pt>
                <c:pt idx="54">
                  <c:v>7.6184065597846073E-2</c:v>
                </c:pt>
                <c:pt idx="55">
                  <c:v>2.49051523681314E-2</c:v>
                </c:pt>
                <c:pt idx="56">
                  <c:v>1.0096683392485595E-2</c:v>
                </c:pt>
                <c:pt idx="57">
                  <c:v>-4.1916534083955459E-2</c:v>
                </c:pt>
                <c:pt idx="58">
                  <c:v>-7.8386978338024549E-2</c:v>
                </c:pt>
                <c:pt idx="59">
                  <c:v>-8.9279157997796954E-2</c:v>
                </c:pt>
                <c:pt idx="60">
                  <c:v>-9.7111736629543421E-2</c:v>
                </c:pt>
                <c:pt idx="61">
                  <c:v>-6.5842614123118315E-2</c:v>
                </c:pt>
                <c:pt idx="62">
                  <c:v>-6.2721821074531836E-2</c:v>
                </c:pt>
                <c:pt idx="63">
                  <c:v>-0.10090564190429552</c:v>
                </c:pt>
                <c:pt idx="64">
                  <c:v>-5.3665402031574994E-2</c:v>
                </c:pt>
                <c:pt idx="65">
                  <c:v>-1.9581446579365336E-3</c:v>
                </c:pt>
                <c:pt idx="66">
                  <c:v>0</c:v>
                </c:pt>
              </c:numCache>
            </c:numRef>
          </c:val>
          <c:smooth val="0"/>
          <c:extLst>
            <c:ext xmlns:c16="http://schemas.microsoft.com/office/drawing/2014/chart" uri="{C3380CC4-5D6E-409C-BE32-E72D297353CC}">
              <c16:uniqueId val="{00000000-7061-4027-9A14-2EB2B821E24C}"/>
            </c:ext>
          </c:extLst>
        </c:ser>
        <c:ser>
          <c:idx val="1"/>
          <c:order val="1"/>
          <c:tx>
            <c:strRef>
              <c:f>Sheet2!$C$1</c:f>
              <c:strCache>
                <c:ptCount val="1"/>
                <c:pt idx="0">
                  <c:v>Norm s&amp;p</c:v>
                </c:pt>
              </c:strCache>
            </c:strRef>
          </c:tx>
          <c:spPr>
            <a:ln w="28575" cap="rnd">
              <a:solidFill>
                <a:schemeClr val="accent2"/>
              </a:solidFill>
              <a:round/>
            </a:ln>
            <a:effectLst/>
          </c:spPr>
          <c:marker>
            <c:symbol val="none"/>
          </c:marker>
          <c:cat>
            <c:numRef>
              <c:f>Sheet2!$A$2:$A$68</c:f>
              <c:numCache>
                <c:formatCode>mmm\-yy</c:formatCode>
                <c:ptCount val="67"/>
                <c:pt idx="0">
                  <c:v>39448</c:v>
                </c:pt>
                <c:pt idx="1">
                  <c:v>39417</c:v>
                </c:pt>
                <c:pt idx="2">
                  <c:v>39387</c:v>
                </c:pt>
                <c:pt idx="3">
                  <c:v>39356</c:v>
                </c:pt>
                <c:pt idx="4">
                  <c:v>39326</c:v>
                </c:pt>
                <c:pt idx="5">
                  <c:v>39295</c:v>
                </c:pt>
                <c:pt idx="6">
                  <c:v>39264</c:v>
                </c:pt>
                <c:pt idx="7">
                  <c:v>39234</c:v>
                </c:pt>
                <c:pt idx="8">
                  <c:v>39203</c:v>
                </c:pt>
                <c:pt idx="9">
                  <c:v>39173</c:v>
                </c:pt>
                <c:pt idx="10">
                  <c:v>39142</c:v>
                </c:pt>
                <c:pt idx="11">
                  <c:v>39114</c:v>
                </c:pt>
                <c:pt idx="12">
                  <c:v>39083</c:v>
                </c:pt>
                <c:pt idx="13">
                  <c:v>39052</c:v>
                </c:pt>
                <c:pt idx="14">
                  <c:v>39022</c:v>
                </c:pt>
                <c:pt idx="15">
                  <c:v>38991</c:v>
                </c:pt>
                <c:pt idx="16">
                  <c:v>38961</c:v>
                </c:pt>
                <c:pt idx="17">
                  <c:v>38930</c:v>
                </c:pt>
                <c:pt idx="18">
                  <c:v>38899</c:v>
                </c:pt>
                <c:pt idx="19">
                  <c:v>38869</c:v>
                </c:pt>
                <c:pt idx="20">
                  <c:v>38838</c:v>
                </c:pt>
                <c:pt idx="21">
                  <c:v>38808</c:v>
                </c:pt>
                <c:pt idx="22">
                  <c:v>38777</c:v>
                </c:pt>
                <c:pt idx="23">
                  <c:v>38749</c:v>
                </c:pt>
                <c:pt idx="24">
                  <c:v>38718</c:v>
                </c:pt>
                <c:pt idx="25">
                  <c:v>38687</c:v>
                </c:pt>
                <c:pt idx="26">
                  <c:v>38657</c:v>
                </c:pt>
                <c:pt idx="27">
                  <c:v>38626</c:v>
                </c:pt>
                <c:pt idx="28">
                  <c:v>38596</c:v>
                </c:pt>
                <c:pt idx="29">
                  <c:v>38565</c:v>
                </c:pt>
                <c:pt idx="30">
                  <c:v>38534</c:v>
                </c:pt>
                <c:pt idx="31">
                  <c:v>38504</c:v>
                </c:pt>
                <c:pt idx="32">
                  <c:v>38473</c:v>
                </c:pt>
                <c:pt idx="33">
                  <c:v>38443</c:v>
                </c:pt>
                <c:pt idx="34">
                  <c:v>38412</c:v>
                </c:pt>
                <c:pt idx="35">
                  <c:v>38384</c:v>
                </c:pt>
                <c:pt idx="36">
                  <c:v>38353</c:v>
                </c:pt>
                <c:pt idx="37">
                  <c:v>38322</c:v>
                </c:pt>
                <c:pt idx="38">
                  <c:v>38292</c:v>
                </c:pt>
                <c:pt idx="39">
                  <c:v>38261</c:v>
                </c:pt>
                <c:pt idx="40">
                  <c:v>38231</c:v>
                </c:pt>
                <c:pt idx="41">
                  <c:v>38200</c:v>
                </c:pt>
                <c:pt idx="42">
                  <c:v>38169</c:v>
                </c:pt>
                <c:pt idx="43">
                  <c:v>38139</c:v>
                </c:pt>
                <c:pt idx="44">
                  <c:v>38108</c:v>
                </c:pt>
                <c:pt idx="45">
                  <c:v>38078</c:v>
                </c:pt>
                <c:pt idx="46">
                  <c:v>38047</c:v>
                </c:pt>
                <c:pt idx="47">
                  <c:v>38018</c:v>
                </c:pt>
                <c:pt idx="48">
                  <c:v>37987</c:v>
                </c:pt>
                <c:pt idx="49">
                  <c:v>37956</c:v>
                </c:pt>
                <c:pt idx="50">
                  <c:v>37926</c:v>
                </c:pt>
                <c:pt idx="51">
                  <c:v>37895</c:v>
                </c:pt>
                <c:pt idx="52">
                  <c:v>37865</c:v>
                </c:pt>
                <c:pt idx="53">
                  <c:v>37834</c:v>
                </c:pt>
                <c:pt idx="54">
                  <c:v>37803</c:v>
                </c:pt>
                <c:pt idx="55">
                  <c:v>37773</c:v>
                </c:pt>
                <c:pt idx="56">
                  <c:v>37742</c:v>
                </c:pt>
                <c:pt idx="57">
                  <c:v>37712</c:v>
                </c:pt>
                <c:pt idx="58">
                  <c:v>37681</c:v>
                </c:pt>
                <c:pt idx="59">
                  <c:v>37653</c:v>
                </c:pt>
                <c:pt idx="60">
                  <c:v>37622</c:v>
                </c:pt>
                <c:pt idx="61">
                  <c:v>37591</c:v>
                </c:pt>
                <c:pt idx="62">
                  <c:v>37561</c:v>
                </c:pt>
                <c:pt idx="63">
                  <c:v>37530</c:v>
                </c:pt>
                <c:pt idx="64">
                  <c:v>37500</c:v>
                </c:pt>
                <c:pt idx="65">
                  <c:v>37469</c:v>
                </c:pt>
                <c:pt idx="66">
                  <c:v>37438</c:v>
                </c:pt>
              </c:numCache>
            </c:numRef>
          </c:cat>
          <c:val>
            <c:numRef>
              <c:f>Sheet2!$C$2:$C$68</c:f>
              <c:numCache>
                <c:formatCode>General</c:formatCode>
                <c:ptCount val="67"/>
                <c:pt idx="0">
                  <c:v>0.51219806498321674</c:v>
                </c:pt>
                <c:pt idx="1">
                  <c:v>0.6107149908953291</c:v>
                </c:pt>
                <c:pt idx="2">
                  <c:v>0.62473399003970953</c:v>
                </c:pt>
                <c:pt idx="3">
                  <c:v>0.69958974133959329</c:v>
                </c:pt>
                <c:pt idx="4">
                  <c:v>0.67476580154011545</c:v>
                </c:pt>
                <c:pt idx="5">
                  <c:v>0.61689080976722765</c:v>
                </c:pt>
                <c:pt idx="6">
                  <c:v>0.59635593778109297</c:v>
                </c:pt>
                <c:pt idx="7">
                  <c:v>0.64909721155744715</c:v>
                </c:pt>
                <c:pt idx="8">
                  <c:v>0.67901099142186427</c:v>
                </c:pt>
                <c:pt idx="9">
                  <c:v>0.62608323643623431</c:v>
                </c:pt>
                <c:pt idx="10">
                  <c:v>0.55860994712709222</c:v>
                </c:pt>
                <c:pt idx="11">
                  <c:v>0.54320879313749137</c:v>
                </c:pt>
                <c:pt idx="12">
                  <c:v>0.57767490840481783</c:v>
                </c:pt>
                <c:pt idx="13">
                  <c:v>0.55580175950505684</c:v>
                </c:pt>
                <c:pt idx="14">
                  <c:v>0.53641868322327291</c:v>
                </c:pt>
                <c:pt idx="15">
                  <c:v>0.51152892652640358</c:v>
                </c:pt>
                <c:pt idx="16">
                  <c:v>0.46535837300629646</c:v>
                </c:pt>
                <c:pt idx="17">
                  <c:v>0.43022311928215706</c:v>
                </c:pt>
                <c:pt idx="18">
                  <c:v>0.40043000372962423</c:v>
                </c:pt>
                <c:pt idx="19">
                  <c:v>0.39334371777714394</c:v>
                </c:pt>
                <c:pt idx="20">
                  <c:v>0.39322305346525965</c:v>
                </c:pt>
                <c:pt idx="21">
                  <c:v>0.43767139817029022</c:v>
                </c:pt>
                <c:pt idx="22">
                  <c:v>0.42036155415633703</c:v>
                </c:pt>
                <c:pt idx="23">
                  <c:v>0.40481779688905473</c:v>
                </c:pt>
                <c:pt idx="24">
                  <c:v>0.4041815668809372</c:v>
                </c:pt>
                <c:pt idx="25">
                  <c:v>0.36930958074636355</c:v>
                </c:pt>
                <c:pt idx="26">
                  <c:v>0.37061494921129423</c:v>
                </c:pt>
                <c:pt idx="27">
                  <c:v>0.32402755534104122</c:v>
                </c:pt>
                <c:pt idx="28">
                  <c:v>0.3479410280599371</c:v>
                </c:pt>
                <c:pt idx="29">
                  <c:v>0.33863890656194462</c:v>
                </c:pt>
                <c:pt idx="30">
                  <c:v>0.35383164037647274</c:v>
                </c:pt>
                <c:pt idx="31">
                  <c:v>0.30682740615607362</c:v>
                </c:pt>
                <c:pt idx="32">
                  <c:v>0.30701388736534962</c:v>
                </c:pt>
                <c:pt idx="33">
                  <c:v>0.26900462912178313</c:v>
                </c:pt>
                <c:pt idx="34">
                  <c:v>0.29504618152300299</c:v>
                </c:pt>
                <c:pt idx="35">
                  <c:v>0.32028696167262671</c:v>
                </c:pt>
                <c:pt idx="36">
                  <c:v>0.29579210636010611</c:v>
                </c:pt>
                <c:pt idx="37">
                  <c:v>0.3294135714442421</c:v>
                </c:pt>
                <c:pt idx="38">
                  <c:v>0.28761984160066678</c:v>
                </c:pt>
                <c:pt idx="39">
                  <c:v>0.23977095719707786</c:v>
                </c:pt>
                <c:pt idx="40">
                  <c:v>0.22263662490950176</c:v>
                </c:pt>
                <c:pt idx="41">
                  <c:v>0.21129417959237395</c:v>
                </c:pt>
                <c:pt idx="42">
                  <c:v>0.2085298699019329</c:v>
                </c:pt>
                <c:pt idx="43">
                  <c:v>0.25144248700116267</c:v>
                </c:pt>
                <c:pt idx="44">
                  <c:v>0.22932800947763332</c:v>
                </c:pt>
                <c:pt idx="45">
                  <c:v>0.21465084135933821</c:v>
                </c:pt>
                <c:pt idx="46">
                  <c:v>0.23539413352054583</c:v>
                </c:pt>
                <c:pt idx="47">
                  <c:v>0.25593997498957899</c:v>
                </c:pt>
                <c:pt idx="48">
                  <c:v>0.24079111910664541</c:v>
                </c:pt>
                <c:pt idx="49">
                  <c:v>0.21971874245848055</c:v>
                </c:pt>
                <c:pt idx="50">
                  <c:v>0.16079068032732935</c:v>
                </c:pt>
                <c:pt idx="51">
                  <c:v>0.15257453763629591</c:v>
                </c:pt>
                <c:pt idx="52">
                  <c:v>9.2527588249490034E-2</c:v>
                </c:pt>
                <c:pt idx="53">
                  <c:v>0.10573484565937563</c:v>
                </c:pt>
                <c:pt idx="54">
                  <c:v>8.9620675281367301E-2</c:v>
                </c:pt>
                <c:pt idx="55">
                  <c:v>6.8976108466246799E-2</c:v>
                </c:pt>
                <c:pt idx="56">
                  <c:v>5.7008402623900389E-2</c:v>
                </c:pt>
                <c:pt idx="57">
                  <c:v>5.8138259362452427E-3</c:v>
                </c:pt>
                <c:pt idx="58">
                  <c:v>-6.9590399508567269E-2</c:v>
                </c:pt>
                <c:pt idx="59">
                  <c:v>-7.7301945986266274E-2</c:v>
                </c:pt>
                <c:pt idx="60">
                  <c:v>-6.1341348368837867E-2</c:v>
                </c:pt>
                <c:pt idx="61">
                  <c:v>-3.4882955617472122E-2</c:v>
                </c:pt>
                <c:pt idx="62">
                  <c:v>2.7083653276584574E-2</c:v>
                </c:pt>
                <c:pt idx="63">
                  <c:v>-2.8367082775717978E-2</c:v>
                </c:pt>
                <c:pt idx="64">
                  <c:v>-0.10567999824488272</c:v>
                </c:pt>
                <c:pt idx="65">
                  <c:v>4.8814198898663452E-3</c:v>
                </c:pt>
                <c:pt idx="66">
                  <c:v>0</c:v>
                </c:pt>
              </c:numCache>
            </c:numRef>
          </c:val>
          <c:smooth val="0"/>
          <c:extLst>
            <c:ext xmlns:c16="http://schemas.microsoft.com/office/drawing/2014/chart" uri="{C3380CC4-5D6E-409C-BE32-E72D297353CC}">
              <c16:uniqueId val="{00000001-7061-4027-9A14-2EB2B821E24C}"/>
            </c:ext>
          </c:extLst>
        </c:ser>
        <c:dLbls>
          <c:showLegendKey val="0"/>
          <c:showVal val="0"/>
          <c:showCatName val="0"/>
          <c:showSerName val="0"/>
          <c:showPercent val="0"/>
          <c:showBubbleSize val="0"/>
        </c:dLbls>
        <c:smooth val="0"/>
        <c:axId val="567989472"/>
        <c:axId val="567991768"/>
      </c:lineChart>
      <c:dateAx>
        <c:axId val="567989472"/>
        <c:scaling>
          <c:orientation val="minMax"/>
        </c:scaling>
        <c:delete val="0"/>
        <c:axPos val="b"/>
        <c:numFmt formatCode="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7991768"/>
        <c:crosses val="autoZero"/>
        <c:auto val="1"/>
        <c:lblOffset val="100"/>
        <c:baseTimeUnit val="months"/>
      </c:dateAx>
      <c:valAx>
        <c:axId val="5679917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79894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numRef>
              <c:f>Foglio1!$E$2:$E$206</c:f>
              <c:numCache>
                <c:formatCode>d\-mmm</c:formatCode>
                <c:ptCount val="205"/>
                <c:pt idx="0">
                  <c:v>44607</c:v>
                </c:pt>
                <c:pt idx="1">
                  <c:v>44576</c:v>
                </c:pt>
                <c:pt idx="2">
                  <c:v>44545</c:v>
                </c:pt>
                <c:pt idx="3">
                  <c:v>44515</c:v>
                </c:pt>
                <c:pt idx="4">
                  <c:v>44484</c:v>
                </c:pt>
                <c:pt idx="5">
                  <c:v>44454</c:v>
                </c:pt>
                <c:pt idx="6">
                  <c:v>44423</c:v>
                </c:pt>
                <c:pt idx="7">
                  <c:v>44392</c:v>
                </c:pt>
                <c:pt idx="8">
                  <c:v>44362</c:v>
                </c:pt>
                <c:pt idx="9">
                  <c:v>44331</c:v>
                </c:pt>
                <c:pt idx="10">
                  <c:v>44301</c:v>
                </c:pt>
                <c:pt idx="11">
                  <c:v>44270</c:v>
                </c:pt>
                <c:pt idx="12">
                  <c:v>44242</c:v>
                </c:pt>
                <c:pt idx="13">
                  <c:v>44211</c:v>
                </c:pt>
                <c:pt idx="14">
                  <c:v>44180</c:v>
                </c:pt>
                <c:pt idx="15">
                  <c:v>44150</c:v>
                </c:pt>
                <c:pt idx="16">
                  <c:v>44119</c:v>
                </c:pt>
                <c:pt idx="17">
                  <c:v>44089</c:v>
                </c:pt>
                <c:pt idx="18">
                  <c:v>44058</c:v>
                </c:pt>
                <c:pt idx="19">
                  <c:v>44027</c:v>
                </c:pt>
                <c:pt idx="20">
                  <c:v>43997</c:v>
                </c:pt>
                <c:pt idx="21">
                  <c:v>43966</c:v>
                </c:pt>
                <c:pt idx="22">
                  <c:v>43936</c:v>
                </c:pt>
                <c:pt idx="23">
                  <c:v>43905</c:v>
                </c:pt>
                <c:pt idx="24">
                  <c:v>43876</c:v>
                </c:pt>
                <c:pt idx="25">
                  <c:v>43845</c:v>
                </c:pt>
                <c:pt idx="26">
                  <c:v>43814</c:v>
                </c:pt>
                <c:pt idx="27">
                  <c:v>43784</c:v>
                </c:pt>
                <c:pt idx="28">
                  <c:v>43753</c:v>
                </c:pt>
                <c:pt idx="29">
                  <c:v>43723</c:v>
                </c:pt>
                <c:pt idx="30">
                  <c:v>43692</c:v>
                </c:pt>
                <c:pt idx="31">
                  <c:v>43661</c:v>
                </c:pt>
                <c:pt idx="32">
                  <c:v>43631</c:v>
                </c:pt>
                <c:pt idx="33">
                  <c:v>43600</c:v>
                </c:pt>
                <c:pt idx="34">
                  <c:v>43570</c:v>
                </c:pt>
                <c:pt idx="35">
                  <c:v>43539</c:v>
                </c:pt>
                <c:pt idx="36">
                  <c:v>43511</c:v>
                </c:pt>
                <c:pt idx="37">
                  <c:v>43480</c:v>
                </c:pt>
                <c:pt idx="38">
                  <c:v>43449</c:v>
                </c:pt>
                <c:pt idx="39">
                  <c:v>43419</c:v>
                </c:pt>
                <c:pt idx="40">
                  <c:v>43388</c:v>
                </c:pt>
                <c:pt idx="41">
                  <c:v>43358</c:v>
                </c:pt>
                <c:pt idx="42">
                  <c:v>43327</c:v>
                </c:pt>
                <c:pt idx="43">
                  <c:v>43296</c:v>
                </c:pt>
                <c:pt idx="44">
                  <c:v>43266</c:v>
                </c:pt>
                <c:pt idx="45">
                  <c:v>43235</c:v>
                </c:pt>
                <c:pt idx="46">
                  <c:v>43205</c:v>
                </c:pt>
                <c:pt idx="47">
                  <c:v>43174</c:v>
                </c:pt>
                <c:pt idx="48">
                  <c:v>43146</c:v>
                </c:pt>
                <c:pt idx="49">
                  <c:v>43115</c:v>
                </c:pt>
                <c:pt idx="50">
                  <c:v>43084</c:v>
                </c:pt>
                <c:pt idx="51">
                  <c:v>43054</c:v>
                </c:pt>
                <c:pt idx="52">
                  <c:v>43023</c:v>
                </c:pt>
                <c:pt idx="53">
                  <c:v>42993</c:v>
                </c:pt>
                <c:pt idx="54">
                  <c:v>42962</c:v>
                </c:pt>
                <c:pt idx="55">
                  <c:v>42931</c:v>
                </c:pt>
                <c:pt idx="56">
                  <c:v>42901</c:v>
                </c:pt>
                <c:pt idx="57">
                  <c:v>42870</c:v>
                </c:pt>
                <c:pt idx="58">
                  <c:v>42840</c:v>
                </c:pt>
                <c:pt idx="59">
                  <c:v>42809</c:v>
                </c:pt>
                <c:pt idx="60">
                  <c:v>42781</c:v>
                </c:pt>
                <c:pt idx="61">
                  <c:v>42750</c:v>
                </c:pt>
                <c:pt idx="62">
                  <c:v>42719</c:v>
                </c:pt>
                <c:pt idx="63">
                  <c:v>42689</c:v>
                </c:pt>
                <c:pt idx="64">
                  <c:v>42658</c:v>
                </c:pt>
                <c:pt idx="65">
                  <c:v>42628</c:v>
                </c:pt>
                <c:pt idx="66">
                  <c:v>42597</c:v>
                </c:pt>
                <c:pt idx="67">
                  <c:v>42566</c:v>
                </c:pt>
                <c:pt idx="68">
                  <c:v>42536</c:v>
                </c:pt>
                <c:pt idx="69">
                  <c:v>42505</c:v>
                </c:pt>
                <c:pt idx="70">
                  <c:v>42475</c:v>
                </c:pt>
                <c:pt idx="71">
                  <c:v>42444</c:v>
                </c:pt>
                <c:pt idx="72">
                  <c:v>42415</c:v>
                </c:pt>
                <c:pt idx="73">
                  <c:v>42384</c:v>
                </c:pt>
                <c:pt idx="74">
                  <c:v>42353</c:v>
                </c:pt>
                <c:pt idx="75">
                  <c:v>42323</c:v>
                </c:pt>
                <c:pt idx="76">
                  <c:v>42292</c:v>
                </c:pt>
                <c:pt idx="77">
                  <c:v>42262</c:v>
                </c:pt>
                <c:pt idx="78">
                  <c:v>42231</c:v>
                </c:pt>
                <c:pt idx="79">
                  <c:v>42200</c:v>
                </c:pt>
                <c:pt idx="80">
                  <c:v>42170</c:v>
                </c:pt>
                <c:pt idx="81">
                  <c:v>42139</c:v>
                </c:pt>
                <c:pt idx="82">
                  <c:v>42109</c:v>
                </c:pt>
                <c:pt idx="83">
                  <c:v>42078</c:v>
                </c:pt>
                <c:pt idx="84">
                  <c:v>42050</c:v>
                </c:pt>
                <c:pt idx="85">
                  <c:v>42019</c:v>
                </c:pt>
                <c:pt idx="86">
                  <c:v>41988</c:v>
                </c:pt>
                <c:pt idx="87">
                  <c:v>41958</c:v>
                </c:pt>
                <c:pt idx="88">
                  <c:v>41927</c:v>
                </c:pt>
                <c:pt idx="89">
                  <c:v>41897</c:v>
                </c:pt>
                <c:pt idx="90">
                  <c:v>41866</c:v>
                </c:pt>
                <c:pt idx="91">
                  <c:v>41835</c:v>
                </c:pt>
                <c:pt idx="92">
                  <c:v>41805</c:v>
                </c:pt>
                <c:pt idx="93">
                  <c:v>41774</c:v>
                </c:pt>
                <c:pt idx="94">
                  <c:v>41744</c:v>
                </c:pt>
                <c:pt idx="95">
                  <c:v>41713</c:v>
                </c:pt>
                <c:pt idx="96">
                  <c:v>41685</c:v>
                </c:pt>
                <c:pt idx="97">
                  <c:v>41654</c:v>
                </c:pt>
                <c:pt idx="98">
                  <c:v>41623</c:v>
                </c:pt>
                <c:pt idx="99">
                  <c:v>41593</c:v>
                </c:pt>
                <c:pt idx="100">
                  <c:v>41562</c:v>
                </c:pt>
                <c:pt idx="101">
                  <c:v>41532</c:v>
                </c:pt>
                <c:pt idx="102">
                  <c:v>41501</c:v>
                </c:pt>
                <c:pt idx="103">
                  <c:v>41470</c:v>
                </c:pt>
                <c:pt idx="104">
                  <c:v>41440</c:v>
                </c:pt>
                <c:pt idx="105">
                  <c:v>41409</c:v>
                </c:pt>
                <c:pt idx="106">
                  <c:v>41379</c:v>
                </c:pt>
                <c:pt idx="107">
                  <c:v>41348</c:v>
                </c:pt>
                <c:pt idx="108">
                  <c:v>41320</c:v>
                </c:pt>
                <c:pt idx="109">
                  <c:v>41289</c:v>
                </c:pt>
                <c:pt idx="110">
                  <c:v>41258</c:v>
                </c:pt>
                <c:pt idx="111">
                  <c:v>41228</c:v>
                </c:pt>
                <c:pt idx="112">
                  <c:v>41197</c:v>
                </c:pt>
                <c:pt idx="113">
                  <c:v>41167</c:v>
                </c:pt>
                <c:pt idx="114">
                  <c:v>41136</c:v>
                </c:pt>
                <c:pt idx="115">
                  <c:v>41105</c:v>
                </c:pt>
                <c:pt idx="116">
                  <c:v>41075</c:v>
                </c:pt>
                <c:pt idx="117">
                  <c:v>41044</c:v>
                </c:pt>
                <c:pt idx="118">
                  <c:v>41014</c:v>
                </c:pt>
                <c:pt idx="119">
                  <c:v>40983</c:v>
                </c:pt>
                <c:pt idx="120">
                  <c:v>40954</c:v>
                </c:pt>
                <c:pt idx="121">
                  <c:v>40923</c:v>
                </c:pt>
                <c:pt idx="122">
                  <c:v>40892</c:v>
                </c:pt>
                <c:pt idx="123">
                  <c:v>40862</c:v>
                </c:pt>
                <c:pt idx="124">
                  <c:v>40831</c:v>
                </c:pt>
                <c:pt idx="125">
                  <c:v>40801</c:v>
                </c:pt>
                <c:pt idx="126">
                  <c:v>40770</c:v>
                </c:pt>
                <c:pt idx="127">
                  <c:v>40739</c:v>
                </c:pt>
                <c:pt idx="128">
                  <c:v>40709</c:v>
                </c:pt>
                <c:pt idx="129">
                  <c:v>40678</c:v>
                </c:pt>
                <c:pt idx="130">
                  <c:v>40648</c:v>
                </c:pt>
                <c:pt idx="131">
                  <c:v>40617</c:v>
                </c:pt>
                <c:pt idx="132">
                  <c:v>40589</c:v>
                </c:pt>
                <c:pt idx="133">
                  <c:v>40558</c:v>
                </c:pt>
                <c:pt idx="134">
                  <c:v>40527</c:v>
                </c:pt>
                <c:pt idx="135">
                  <c:v>40497</c:v>
                </c:pt>
                <c:pt idx="136">
                  <c:v>40466</c:v>
                </c:pt>
                <c:pt idx="137">
                  <c:v>40436</c:v>
                </c:pt>
                <c:pt idx="138">
                  <c:v>40405</c:v>
                </c:pt>
                <c:pt idx="139">
                  <c:v>40374</c:v>
                </c:pt>
                <c:pt idx="140">
                  <c:v>40344</c:v>
                </c:pt>
                <c:pt idx="141">
                  <c:v>40313</c:v>
                </c:pt>
                <c:pt idx="142">
                  <c:v>40283</c:v>
                </c:pt>
                <c:pt idx="143">
                  <c:v>40252</c:v>
                </c:pt>
                <c:pt idx="144">
                  <c:v>40224</c:v>
                </c:pt>
                <c:pt idx="145">
                  <c:v>40193</c:v>
                </c:pt>
                <c:pt idx="146">
                  <c:v>40162</c:v>
                </c:pt>
                <c:pt idx="147">
                  <c:v>40132</c:v>
                </c:pt>
                <c:pt idx="148">
                  <c:v>40101</c:v>
                </c:pt>
                <c:pt idx="149">
                  <c:v>40071</c:v>
                </c:pt>
                <c:pt idx="150">
                  <c:v>40040</c:v>
                </c:pt>
                <c:pt idx="151">
                  <c:v>40009</c:v>
                </c:pt>
                <c:pt idx="152">
                  <c:v>39979</c:v>
                </c:pt>
                <c:pt idx="153">
                  <c:v>39948</c:v>
                </c:pt>
                <c:pt idx="154">
                  <c:v>39918</c:v>
                </c:pt>
                <c:pt idx="155">
                  <c:v>39887</c:v>
                </c:pt>
                <c:pt idx="156">
                  <c:v>39859</c:v>
                </c:pt>
                <c:pt idx="157">
                  <c:v>39828</c:v>
                </c:pt>
                <c:pt idx="158">
                  <c:v>39797</c:v>
                </c:pt>
                <c:pt idx="159">
                  <c:v>39767</c:v>
                </c:pt>
                <c:pt idx="160">
                  <c:v>39736</c:v>
                </c:pt>
                <c:pt idx="161">
                  <c:v>39706</c:v>
                </c:pt>
                <c:pt idx="162">
                  <c:v>39675</c:v>
                </c:pt>
                <c:pt idx="163">
                  <c:v>39644</c:v>
                </c:pt>
                <c:pt idx="164">
                  <c:v>39614</c:v>
                </c:pt>
                <c:pt idx="165">
                  <c:v>39583</c:v>
                </c:pt>
                <c:pt idx="166">
                  <c:v>39553</c:v>
                </c:pt>
                <c:pt idx="167">
                  <c:v>39522</c:v>
                </c:pt>
                <c:pt idx="168">
                  <c:v>39493</c:v>
                </c:pt>
                <c:pt idx="169">
                  <c:v>39462</c:v>
                </c:pt>
                <c:pt idx="170">
                  <c:v>39431</c:v>
                </c:pt>
                <c:pt idx="171">
                  <c:v>39401</c:v>
                </c:pt>
                <c:pt idx="172">
                  <c:v>39370</c:v>
                </c:pt>
                <c:pt idx="173">
                  <c:v>39340</c:v>
                </c:pt>
                <c:pt idx="174">
                  <c:v>39309</c:v>
                </c:pt>
                <c:pt idx="175">
                  <c:v>39278</c:v>
                </c:pt>
                <c:pt idx="176">
                  <c:v>39248</c:v>
                </c:pt>
                <c:pt idx="177">
                  <c:v>39217</c:v>
                </c:pt>
                <c:pt idx="178">
                  <c:v>39187</c:v>
                </c:pt>
                <c:pt idx="179">
                  <c:v>39156</c:v>
                </c:pt>
                <c:pt idx="180">
                  <c:v>39128</c:v>
                </c:pt>
                <c:pt idx="181">
                  <c:v>39097</c:v>
                </c:pt>
                <c:pt idx="182">
                  <c:v>39066</c:v>
                </c:pt>
                <c:pt idx="183">
                  <c:v>39036</c:v>
                </c:pt>
                <c:pt idx="184">
                  <c:v>39005</c:v>
                </c:pt>
                <c:pt idx="185">
                  <c:v>38975</c:v>
                </c:pt>
                <c:pt idx="186">
                  <c:v>38944</c:v>
                </c:pt>
                <c:pt idx="187">
                  <c:v>38913</c:v>
                </c:pt>
                <c:pt idx="188">
                  <c:v>38883</c:v>
                </c:pt>
                <c:pt idx="189">
                  <c:v>38852</c:v>
                </c:pt>
                <c:pt idx="190">
                  <c:v>38822</c:v>
                </c:pt>
                <c:pt idx="191">
                  <c:v>38791</c:v>
                </c:pt>
                <c:pt idx="192">
                  <c:v>38763</c:v>
                </c:pt>
                <c:pt idx="193">
                  <c:v>38732</c:v>
                </c:pt>
                <c:pt idx="194">
                  <c:v>38701</c:v>
                </c:pt>
                <c:pt idx="195">
                  <c:v>38671</c:v>
                </c:pt>
                <c:pt idx="196">
                  <c:v>38640</c:v>
                </c:pt>
                <c:pt idx="197">
                  <c:v>38610</c:v>
                </c:pt>
                <c:pt idx="198">
                  <c:v>38579</c:v>
                </c:pt>
                <c:pt idx="199">
                  <c:v>38548</c:v>
                </c:pt>
                <c:pt idx="200">
                  <c:v>38518</c:v>
                </c:pt>
                <c:pt idx="201">
                  <c:v>38487</c:v>
                </c:pt>
                <c:pt idx="202">
                  <c:v>38457</c:v>
                </c:pt>
                <c:pt idx="203">
                  <c:v>38426</c:v>
                </c:pt>
                <c:pt idx="204">
                  <c:v>38398</c:v>
                </c:pt>
              </c:numCache>
            </c:numRef>
          </c:cat>
          <c:val>
            <c:numRef>
              <c:f>Foglio1!$F$2:$F$206</c:f>
              <c:numCache>
                <c:formatCode>General</c:formatCode>
                <c:ptCount val="205"/>
                <c:pt idx="0">
                  <c:v>0.93645735707591382</c:v>
                </c:pt>
                <c:pt idx="1">
                  <c:v>0.99137769447047774</c:v>
                </c:pt>
                <c:pt idx="2">
                  <c:v>1.1745079662605438</c:v>
                </c:pt>
                <c:pt idx="3">
                  <c:v>1.0007497656982189</c:v>
                </c:pt>
                <c:pt idx="4">
                  <c:v>1.0438612933458296</c:v>
                </c:pt>
                <c:pt idx="5">
                  <c:v>0.90777881911902525</c:v>
                </c:pt>
                <c:pt idx="6">
                  <c:v>1.0352389878163075</c:v>
                </c:pt>
                <c:pt idx="7">
                  <c:v>0.9923149015932522</c:v>
                </c:pt>
                <c:pt idx="8">
                  <c:v>0.90796626054358009</c:v>
                </c:pt>
                <c:pt idx="9">
                  <c:v>0.87216494845360804</c:v>
                </c:pt>
                <c:pt idx="10">
                  <c:v>0.85716963448922212</c:v>
                </c:pt>
                <c:pt idx="11">
                  <c:v>0.7218369259606372</c:v>
                </c:pt>
                <c:pt idx="12">
                  <c:v>0.64704779756326158</c:v>
                </c:pt>
                <c:pt idx="13">
                  <c:v>0.59250234301780669</c:v>
                </c:pt>
                <c:pt idx="14">
                  <c:v>0.59194001874414259</c:v>
                </c:pt>
                <c:pt idx="15">
                  <c:v>0.57450796626054346</c:v>
                </c:pt>
                <c:pt idx="16">
                  <c:v>0.43561387066541712</c:v>
                </c:pt>
                <c:pt idx="17">
                  <c:v>0.48003748828491077</c:v>
                </c:pt>
                <c:pt idx="18">
                  <c:v>0.53233364573570752</c:v>
                </c:pt>
                <c:pt idx="19">
                  <c:v>0.52558575445173372</c:v>
                </c:pt>
                <c:pt idx="20">
                  <c:v>0.4719775070290535</c:v>
                </c:pt>
                <c:pt idx="21">
                  <c:v>0.45135895032802265</c:v>
                </c:pt>
                <c:pt idx="22">
                  <c:v>0.4266166822867854</c:v>
                </c:pt>
                <c:pt idx="23">
                  <c:v>0.30927835051546371</c:v>
                </c:pt>
                <c:pt idx="24">
                  <c:v>0.63692596063730078</c:v>
                </c:pt>
                <c:pt idx="25">
                  <c:v>0.76063730084348657</c:v>
                </c:pt>
                <c:pt idx="26">
                  <c:v>0.73926897844423634</c:v>
                </c:pt>
                <c:pt idx="27">
                  <c:v>0.74451733833177114</c:v>
                </c:pt>
                <c:pt idx="28">
                  <c:v>0.76757263355201499</c:v>
                </c:pt>
                <c:pt idx="29">
                  <c:v>0.74789128397375815</c:v>
                </c:pt>
                <c:pt idx="30">
                  <c:v>0.72858481724461099</c:v>
                </c:pt>
                <c:pt idx="31">
                  <c:v>0.66616682286785367</c:v>
                </c:pt>
                <c:pt idx="32">
                  <c:v>0.6382380506091847</c:v>
                </c:pt>
                <c:pt idx="33">
                  <c:v>0.62867853795688844</c:v>
                </c:pt>
                <c:pt idx="34">
                  <c:v>0.62642924086223051</c:v>
                </c:pt>
                <c:pt idx="35">
                  <c:v>0.62905342080599791</c:v>
                </c:pt>
                <c:pt idx="36">
                  <c:v>0.57432052483598861</c:v>
                </c:pt>
                <c:pt idx="37">
                  <c:v>0.56344892221180864</c:v>
                </c:pt>
                <c:pt idx="38">
                  <c:v>0.39775070290534198</c:v>
                </c:pt>
                <c:pt idx="39">
                  <c:v>0.53664479850046853</c:v>
                </c:pt>
                <c:pt idx="40">
                  <c:v>0.46804123711340195</c:v>
                </c:pt>
                <c:pt idx="41">
                  <c:v>0.5122774133083412</c:v>
                </c:pt>
                <c:pt idx="42">
                  <c:v>0.57544517338331769</c:v>
                </c:pt>
                <c:pt idx="43">
                  <c:v>0.53589503280224915</c:v>
                </c:pt>
                <c:pt idx="44">
                  <c:v>0.5267104029990628</c:v>
                </c:pt>
                <c:pt idx="45">
                  <c:v>0.47872539831302707</c:v>
                </c:pt>
                <c:pt idx="46">
                  <c:v>0.42624179943767571</c:v>
                </c:pt>
                <c:pt idx="47">
                  <c:v>0.41462043111527636</c:v>
                </c:pt>
                <c:pt idx="48">
                  <c:v>0.37488284910965319</c:v>
                </c:pt>
                <c:pt idx="49">
                  <c:v>0.48922211808809757</c:v>
                </c:pt>
                <c:pt idx="50">
                  <c:v>0.55538894095595137</c:v>
                </c:pt>
                <c:pt idx="51">
                  <c:v>0.58181818181818179</c:v>
                </c:pt>
                <c:pt idx="52">
                  <c:v>0.5407685098406747</c:v>
                </c:pt>
                <c:pt idx="53">
                  <c:v>0.55745079662605446</c:v>
                </c:pt>
                <c:pt idx="54">
                  <c:v>0.57525773195876306</c:v>
                </c:pt>
                <c:pt idx="55">
                  <c:v>0.57938144329896923</c:v>
                </c:pt>
                <c:pt idx="56">
                  <c:v>0.56007497656982186</c:v>
                </c:pt>
                <c:pt idx="57">
                  <c:v>0.54058106841611986</c:v>
                </c:pt>
                <c:pt idx="58">
                  <c:v>0.55182755388940974</c:v>
                </c:pt>
                <c:pt idx="59">
                  <c:v>0.54807872539831304</c:v>
                </c:pt>
                <c:pt idx="60">
                  <c:v>0.59812558575445185</c:v>
                </c:pt>
                <c:pt idx="61">
                  <c:v>0.54395501405810687</c:v>
                </c:pt>
                <c:pt idx="62">
                  <c:v>0.54695407685098396</c:v>
                </c:pt>
                <c:pt idx="63">
                  <c:v>0.50684161199625111</c:v>
                </c:pt>
                <c:pt idx="64">
                  <c:v>0.53252108716026236</c:v>
                </c:pt>
                <c:pt idx="65">
                  <c:v>0.62586691658856597</c:v>
                </c:pt>
                <c:pt idx="66">
                  <c:v>0.66766635426429244</c:v>
                </c:pt>
                <c:pt idx="67">
                  <c:v>0.73289597000937201</c:v>
                </c:pt>
                <c:pt idx="68">
                  <c:v>0.6620431115276475</c:v>
                </c:pt>
                <c:pt idx="69">
                  <c:v>0.5683223992502342</c:v>
                </c:pt>
                <c:pt idx="70">
                  <c:v>0.53383317713214606</c:v>
                </c:pt>
                <c:pt idx="71">
                  <c:v>0.57075913776944698</c:v>
                </c:pt>
                <c:pt idx="72">
                  <c:v>0.43786316776007483</c:v>
                </c:pt>
                <c:pt idx="73">
                  <c:v>0.44311152764761008</c:v>
                </c:pt>
                <c:pt idx="74">
                  <c:v>0.49447047797563259</c:v>
                </c:pt>
                <c:pt idx="75">
                  <c:v>0.48809746954076849</c:v>
                </c:pt>
                <c:pt idx="76">
                  <c:v>0.49746954076850991</c:v>
                </c:pt>
                <c:pt idx="77">
                  <c:v>0.41593252108716028</c:v>
                </c:pt>
                <c:pt idx="78">
                  <c:v>0.3876288659793814</c:v>
                </c:pt>
                <c:pt idx="79">
                  <c:v>0.48078725398313016</c:v>
                </c:pt>
                <c:pt idx="80">
                  <c:v>0.39999999999999991</c:v>
                </c:pt>
                <c:pt idx="81">
                  <c:v>0.48341143392689778</c:v>
                </c:pt>
                <c:pt idx="82">
                  <c:v>0.48791002811621365</c:v>
                </c:pt>
                <c:pt idx="83">
                  <c:v>0.58031865042174324</c:v>
                </c:pt>
                <c:pt idx="84">
                  <c:v>0.56269915651358948</c:v>
                </c:pt>
                <c:pt idx="85">
                  <c:v>0.62230552952202434</c:v>
                </c:pt>
                <c:pt idx="86">
                  <c:v>0.51827553889409561</c:v>
                </c:pt>
                <c:pt idx="87">
                  <c:v>0.51021555763823789</c:v>
                </c:pt>
                <c:pt idx="88">
                  <c:v>0.48059981255857531</c:v>
                </c:pt>
                <c:pt idx="89">
                  <c:v>0.34676663542642916</c:v>
                </c:pt>
                <c:pt idx="90">
                  <c:v>0.44667291471415194</c:v>
                </c:pt>
                <c:pt idx="91">
                  <c:v>0.40393626991565146</c:v>
                </c:pt>
                <c:pt idx="92">
                  <c:v>0.40281162136832238</c:v>
                </c:pt>
                <c:pt idx="93">
                  <c:v>0.39999999999999991</c:v>
                </c:pt>
                <c:pt idx="94">
                  <c:v>0.36719775070290517</c:v>
                </c:pt>
                <c:pt idx="95">
                  <c:v>0.32371134020618553</c:v>
                </c:pt>
                <c:pt idx="96">
                  <c:v>0.32577319587628861</c:v>
                </c:pt>
                <c:pt idx="97">
                  <c:v>0.26185567010309252</c:v>
                </c:pt>
                <c:pt idx="98">
                  <c:v>0.21012183692596054</c:v>
                </c:pt>
                <c:pt idx="99">
                  <c:v>0.2277413308341143</c:v>
                </c:pt>
                <c:pt idx="100">
                  <c:v>0.29578256794751634</c:v>
                </c:pt>
                <c:pt idx="101">
                  <c:v>0.23973758200562312</c:v>
                </c:pt>
                <c:pt idx="102">
                  <c:v>0.20899718837863168</c:v>
                </c:pt>
                <c:pt idx="103">
                  <c:v>0.29971883786316789</c:v>
                </c:pt>
                <c:pt idx="104">
                  <c:v>0.28809746954076854</c:v>
                </c:pt>
                <c:pt idx="105">
                  <c:v>0.32671040299906284</c:v>
                </c:pt>
                <c:pt idx="106">
                  <c:v>0.41105904404873472</c:v>
                </c:pt>
                <c:pt idx="107">
                  <c:v>0.32202436738519213</c:v>
                </c:pt>
                <c:pt idx="108">
                  <c:v>0.29503280224929718</c:v>
                </c:pt>
                <c:pt idx="109">
                  <c:v>0.2794751640112465</c:v>
                </c:pt>
                <c:pt idx="110">
                  <c:v>0.23336457357075902</c:v>
                </c:pt>
                <c:pt idx="111">
                  <c:v>0.20356138706654159</c:v>
                </c:pt>
                <c:pt idx="112">
                  <c:v>0.20674789128397375</c:v>
                </c:pt>
                <c:pt idx="113">
                  <c:v>0.21780693533270856</c:v>
                </c:pt>
                <c:pt idx="114">
                  <c:v>0.25079662605435815</c:v>
                </c:pt>
                <c:pt idx="115">
                  <c:v>0.25098406747891278</c:v>
                </c:pt>
                <c:pt idx="116">
                  <c:v>0.2264292408622306</c:v>
                </c:pt>
                <c:pt idx="117">
                  <c:v>0.17188378631677614</c:v>
                </c:pt>
                <c:pt idx="118">
                  <c:v>0.22717900656044976</c:v>
                </c:pt>
                <c:pt idx="119">
                  <c:v>0.19306466729147131</c:v>
                </c:pt>
                <c:pt idx="120">
                  <c:v>0.14320524835988757</c:v>
                </c:pt>
                <c:pt idx="121">
                  <c:v>0.15651358950328031</c:v>
                </c:pt>
                <c:pt idx="122">
                  <c:v>8.716026241799435E-2</c:v>
                </c:pt>
                <c:pt idx="123">
                  <c:v>4.8359887535145196E-2</c:v>
                </c:pt>
                <c:pt idx="124">
                  <c:v>8.9784442361761974E-2</c:v>
                </c:pt>
                <c:pt idx="125">
                  <c:v>-4.6485473289597068E-2</c:v>
                </c:pt>
                <c:pt idx="126">
                  <c:v>7.9850046860356017E-2</c:v>
                </c:pt>
                <c:pt idx="127">
                  <c:v>0.14414245548266158</c:v>
                </c:pt>
                <c:pt idx="128">
                  <c:v>0.12652296157450804</c:v>
                </c:pt>
                <c:pt idx="129">
                  <c:v>0.17488284910965324</c:v>
                </c:pt>
                <c:pt idx="130">
                  <c:v>0.15895032802249287</c:v>
                </c:pt>
                <c:pt idx="131">
                  <c:v>9.597000937207123E-2</c:v>
                </c:pt>
                <c:pt idx="132">
                  <c:v>0.12202436738519218</c:v>
                </c:pt>
                <c:pt idx="133">
                  <c:v>7.1602624179943675E-2</c:v>
                </c:pt>
                <c:pt idx="134">
                  <c:v>3.7863167760074923E-2</c:v>
                </c:pt>
                <c:pt idx="135">
                  <c:v>3.5613870665416325E-3</c:v>
                </c:pt>
                <c:pt idx="136">
                  <c:v>2.2492970946579094E-2</c:v>
                </c:pt>
                <c:pt idx="137">
                  <c:v>-2.3805060918463017E-2</c:v>
                </c:pt>
                <c:pt idx="138">
                  <c:v>-5.7169634489222187E-2</c:v>
                </c:pt>
                <c:pt idx="139">
                  <c:v>-4.498594189315841E-2</c:v>
                </c:pt>
                <c:pt idx="140">
                  <c:v>-0.12858481724461102</c:v>
                </c:pt>
                <c:pt idx="141">
                  <c:v>-7.1977507029053478E-2</c:v>
                </c:pt>
                <c:pt idx="142">
                  <c:v>-1.9681349578256846E-2</c:v>
                </c:pt>
                <c:pt idx="143">
                  <c:v>-8.5098406747891264E-2</c:v>
                </c:pt>
                <c:pt idx="144">
                  <c:v>-0.16344892221180873</c:v>
                </c:pt>
                <c:pt idx="145">
                  <c:v>-0.20768509840674787</c:v>
                </c:pt>
                <c:pt idx="146">
                  <c:v>-0.16138706654170565</c:v>
                </c:pt>
                <c:pt idx="147">
                  <c:v>-0.20899718837863168</c:v>
                </c:pt>
                <c:pt idx="148">
                  <c:v>-0.25773195876288657</c:v>
                </c:pt>
                <c:pt idx="149">
                  <c:v>-0.22305529522024359</c:v>
                </c:pt>
                <c:pt idx="150">
                  <c:v>-0.26391752577319583</c:v>
                </c:pt>
                <c:pt idx="151">
                  <c:v>-0.35613870665417058</c:v>
                </c:pt>
                <c:pt idx="152">
                  <c:v>-0.41874414245548264</c:v>
                </c:pt>
                <c:pt idx="153">
                  <c:v>-0.38969072164948448</c:v>
                </c:pt>
                <c:pt idx="154">
                  <c:v>-0.40524835988753516</c:v>
                </c:pt>
                <c:pt idx="155">
                  <c:v>-0.54489222118088099</c:v>
                </c:pt>
                <c:pt idx="156">
                  <c:v>-0.55220243673851921</c:v>
                </c:pt>
                <c:pt idx="157">
                  <c:v>-0.43655107778819124</c:v>
                </c:pt>
                <c:pt idx="158">
                  <c:v>-0.316776007497657</c:v>
                </c:pt>
                <c:pt idx="159">
                  <c:v>-0.39868791002811621</c:v>
                </c:pt>
                <c:pt idx="160">
                  <c:v>-0.22193064667291473</c:v>
                </c:pt>
                <c:pt idx="161">
                  <c:v>0.13964386129334572</c:v>
                </c:pt>
                <c:pt idx="162">
                  <c:v>0.15595126522961578</c:v>
                </c:pt>
                <c:pt idx="163">
                  <c:v>0.12914714151827544</c:v>
                </c:pt>
                <c:pt idx="164">
                  <c:v>9.5032802249296999E-2</c:v>
                </c:pt>
                <c:pt idx="165">
                  <c:v>0.24142455482661673</c:v>
                </c:pt>
                <c:pt idx="166">
                  <c:v>0.24404873477038436</c:v>
                </c:pt>
                <c:pt idx="167">
                  <c:v>0.16944704779756314</c:v>
                </c:pt>
                <c:pt idx="168">
                  <c:v>0.10665417057169635</c:v>
                </c:pt>
                <c:pt idx="169">
                  <c:v>0.14301780693533273</c:v>
                </c:pt>
                <c:pt idx="170">
                  <c:v>0.15201499531396445</c:v>
                </c:pt>
                <c:pt idx="171">
                  <c:v>0.23805060918462972</c:v>
                </c:pt>
                <c:pt idx="172">
                  <c:v>0.36757263355201486</c:v>
                </c:pt>
                <c:pt idx="173">
                  <c:v>0.33945641986879083</c:v>
                </c:pt>
                <c:pt idx="174">
                  <c:v>0.30234301780693529</c:v>
                </c:pt>
                <c:pt idx="175">
                  <c:v>0.22005623242736649</c:v>
                </c:pt>
                <c:pt idx="176">
                  <c:v>0.32989690721649478</c:v>
                </c:pt>
                <c:pt idx="177">
                  <c:v>0.47985004686035615</c:v>
                </c:pt>
                <c:pt idx="178">
                  <c:v>0.48547328959700087</c:v>
                </c:pt>
                <c:pt idx="179">
                  <c:v>0.48734770384254911</c:v>
                </c:pt>
                <c:pt idx="180">
                  <c:v>0.52577319587628879</c:v>
                </c:pt>
                <c:pt idx="181">
                  <c:v>0.57000937207122782</c:v>
                </c:pt>
                <c:pt idx="182">
                  <c:v>0.44329896907216493</c:v>
                </c:pt>
                <c:pt idx="183">
                  <c:v>0.49934395501405793</c:v>
                </c:pt>
                <c:pt idx="184">
                  <c:v>0.43092783505154642</c:v>
                </c:pt>
                <c:pt idx="185">
                  <c:v>0.34751640112464854</c:v>
                </c:pt>
                <c:pt idx="186">
                  <c:v>0.33608247422680404</c:v>
                </c:pt>
                <c:pt idx="187">
                  <c:v>0.29109653233364563</c:v>
                </c:pt>
                <c:pt idx="188">
                  <c:v>0.24273664479850043</c:v>
                </c:pt>
                <c:pt idx="189">
                  <c:v>0.19662605435801317</c:v>
                </c:pt>
                <c:pt idx="190">
                  <c:v>0.22980318650421738</c:v>
                </c:pt>
                <c:pt idx="191">
                  <c:v>0.2731021555763824</c:v>
                </c:pt>
                <c:pt idx="192">
                  <c:v>0.22286785379568874</c:v>
                </c:pt>
                <c:pt idx="193">
                  <c:v>0.20056232427366449</c:v>
                </c:pt>
                <c:pt idx="194">
                  <c:v>0.11640112464854724</c:v>
                </c:pt>
                <c:pt idx="195">
                  <c:v>0.14620431115276467</c:v>
                </c:pt>
                <c:pt idx="196">
                  <c:v>0.10046860356138709</c:v>
                </c:pt>
                <c:pt idx="197">
                  <c:v>0.13308341143392699</c:v>
                </c:pt>
                <c:pt idx="198">
                  <c:v>0.1310215557638239</c:v>
                </c:pt>
                <c:pt idx="199">
                  <c:v>0.17881911902530456</c:v>
                </c:pt>
                <c:pt idx="200">
                  <c:v>0.10028116213683225</c:v>
                </c:pt>
                <c:pt idx="201">
                  <c:v>6.3542642924086179E-2</c:v>
                </c:pt>
                <c:pt idx="202">
                  <c:v>2.7366447985004649E-2</c:v>
                </c:pt>
                <c:pt idx="203">
                  <c:v>-2.8678537956888461E-2</c:v>
                </c:pt>
                <c:pt idx="204">
                  <c:v>0</c:v>
                </c:pt>
              </c:numCache>
            </c:numRef>
          </c:val>
          <c:smooth val="0"/>
          <c:extLst>
            <c:ext xmlns:c16="http://schemas.microsoft.com/office/drawing/2014/chart" uri="{C3380CC4-5D6E-409C-BE32-E72D297353CC}">
              <c16:uniqueId val="{00000000-ADBC-4B80-AED6-F16033764D60}"/>
            </c:ext>
          </c:extLst>
        </c:ser>
        <c:ser>
          <c:idx val="1"/>
          <c:order val="1"/>
          <c:spPr>
            <a:ln w="28575" cap="rnd">
              <a:solidFill>
                <a:schemeClr val="accent2"/>
              </a:solidFill>
              <a:round/>
            </a:ln>
            <a:effectLst/>
          </c:spPr>
          <c:marker>
            <c:symbol val="none"/>
          </c:marker>
          <c:cat>
            <c:numRef>
              <c:f>Foglio1!$E$2:$E$206</c:f>
              <c:numCache>
                <c:formatCode>d\-mmm</c:formatCode>
                <c:ptCount val="205"/>
                <c:pt idx="0">
                  <c:v>44607</c:v>
                </c:pt>
                <c:pt idx="1">
                  <c:v>44576</c:v>
                </c:pt>
                <c:pt idx="2">
                  <c:v>44545</c:v>
                </c:pt>
                <c:pt idx="3">
                  <c:v>44515</c:v>
                </c:pt>
                <c:pt idx="4">
                  <c:v>44484</c:v>
                </c:pt>
                <c:pt idx="5">
                  <c:v>44454</c:v>
                </c:pt>
                <c:pt idx="6">
                  <c:v>44423</c:v>
                </c:pt>
                <c:pt idx="7">
                  <c:v>44392</c:v>
                </c:pt>
                <c:pt idx="8">
                  <c:v>44362</c:v>
                </c:pt>
                <c:pt idx="9">
                  <c:v>44331</c:v>
                </c:pt>
                <c:pt idx="10">
                  <c:v>44301</c:v>
                </c:pt>
                <c:pt idx="11">
                  <c:v>44270</c:v>
                </c:pt>
                <c:pt idx="12">
                  <c:v>44242</c:v>
                </c:pt>
                <c:pt idx="13">
                  <c:v>44211</c:v>
                </c:pt>
                <c:pt idx="14">
                  <c:v>44180</c:v>
                </c:pt>
                <c:pt idx="15">
                  <c:v>44150</c:v>
                </c:pt>
                <c:pt idx="16">
                  <c:v>44119</c:v>
                </c:pt>
                <c:pt idx="17">
                  <c:v>44089</c:v>
                </c:pt>
                <c:pt idx="18">
                  <c:v>44058</c:v>
                </c:pt>
                <c:pt idx="19">
                  <c:v>44027</c:v>
                </c:pt>
                <c:pt idx="20">
                  <c:v>43997</c:v>
                </c:pt>
                <c:pt idx="21">
                  <c:v>43966</c:v>
                </c:pt>
                <c:pt idx="22">
                  <c:v>43936</c:v>
                </c:pt>
                <c:pt idx="23">
                  <c:v>43905</c:v>
                </c:pt>
                <c:pt idx="24">
                  <c:v>43876</c:v>
                </c:pt>
                <c:pt idx="25">
                  <c:v>43845</c:v>
                </c:pt>
                <c:pt idx="26">
                  <c:v>43814</c:v>
                </c:pt>
                <c:pt idx="27">
                  <c:v>43784</c:v>
                </c:pt>
                <c:pt idx="28">
                  <c:v>43753</c:v>
                </c:pt>
                <c:pt idx="29">
                  <c:v>43723</c:v>
                </c:pt>
                <c:pt idx="30">
                  <c:v>43692</c:v>
                </c:pt>
                <c:pt idx="31">
                  <c:v>43661</c:v>
                </c:pt>
                <c:pt idx="32">
                  <c:v>43631</c:v>
                </c:pt>
                <c:pt idx="33">
                  <c:v>43600</c:v>
                </c:pt>
                <c:pt idx="34">
                  <c:v>43570</c:v>
                </c:pt>
                <c:pt idx="35">
                  <c:v>43539</c:v>
                </c:pt>
                <c:pt idx="36">
                  <c:v>43511</c:v>
                </c:pt>
                <c:pt idx="37">
                  <c:v>43480</c:v>
                </c:pt>
                <c:pt idx="38">
                  <c:v>43449</c:v>
                </c:pt>
                <c:pt idx="39">
                  <c:v>43419</c:v>
                </c:pt>
                <c:pt idx="40">
                  <c:v>43388</c:v>
                </c:pt>
                <c:pt idx="41">
                  <c:v>43358</c:v>
                </c:pt>
                <c:pt idx="42">
                  <c:v>43327</c:v>
                </c:pt>
                <c:pt idx="43">
                  <c:v>43296</c:v>
                </c:pt>
                <c:pt idx="44">
                  <c:v>43266</c:v>
                </c:pt>
                <c:pt idx="45">
                  <c:v>43235</c:v>
                </c:pt>
                <c:pt idx="46">
                  <c:v>43205</c:v>
                </c:pt>
                <c:pt idx="47">
                  <c:v>43174</c:v>
                </c:pt>
                <c:pt idx="48">
                  <c:v>43146</c:v>
                </c:pt>
                <c:pt idx="49">
                  <c:v>43115</c:v>
                </c:pt>
                <c:pt idx="50">
                  <c:v>43084</c:v>
                </c:pt>
                <c:pt idx="51">
                  <c:v>43054</c:v>
                </c:pt>
                <c:pt idx="52">
                  <c:v>43023</c:v>
                </c:pt>
                <c:pt idx="53">
                  <c:v>42993</c:v>
                </c:pt>
                <c:pt idx="54">
                  <c:v>42962</c:v>
                </c:pt>
                <c:pt idx="55">
                  <c:v>42931</c:v>
                </c:pt>
                <c:pt idx="56">
                  <c:v>42901</c:v>
                </c:pt>
                <c:pt idx="57">
                  <c:v>42870</c:v>
                </c:pt>
                <c:pt idx="58">
                  <c:v>42840</c:v>
                </c:pt>
                <c:pt idx="59">
                  <c:v>42809</c:v>
                </c:pt>
                <c:pt idx="60">
                  <c:v>42781</c:v>
                </c:pt>
                <c:pt idx="61">
                  <c:v>42750</c:v>
                </c:pt>
                <c:pt idx="62">
                  <c:v>42719</c:v>
                </c:pt>
                <c:pt idx="63">
                  <c:v>42689</c:v>
                </c:pt>
                <c:pt idx="64">
                  <c:v>42658</c:v>
                </c:pt>
                <c:pt idx="65">
                  <c:v>42628</c:v>
                </c:pt>
                <c:pt idx="66">
                  <c:v>42597</c:v>
                </c:pt>
                <c:pt idx="67">
                  <c:v>42566</c:v>
                </c:pt>
                <c:pt idx="68">
                  <c:v>42536</c:v>
                </c:pt>
                <c:pt idx="69">
                  <c:v>42505</c:v>
                </c:pt>
                <c:pt idx="70">
                  <c:v>42475</c:v>
                </c:pt>
                <c:pt idx="71">
                  <c:v>42444</c:v>
                </c:pt>
                <c:pt idx="72">
                  <c:v>42415</c:v>
                </c:pt>
                <c:pt idx="73">
                  <c:v>42384</c:v>
                </c:pt>
                <c:pt idx="74">
                  <c:v>42353</c:v>
                </c:pt>
                <c:pt idx="75">
                  <c:v>42323</c:v>
                </c:pt>
                <c:pt idx="76">
                  <c:v>42292</c:v>
                </c:pt>
                <c:pt idx="77">
                  <c:v>42262</c:v>
                </c:pt>
                <c:pt idx="78">
                  <c:v>42231</c:v>
                </c:pt>
                <c:pt idx="79">
                  <c:v>42200</c:v>
                </c:pt>
                <c:pt idx="80">
                  <c:v>42170</c:v>
                </c:pt>
                <c:pt idx="81">
                  <c:v>42139</c:v>
                </c:pt>
                <c:pt idx="82">
                  <c:v>42109</c:v>
                </c:pt>
                <c:pt idx="83">
                  <c:v>42078</c:v>
                </c:pt>
                <c:pt idx="84">
                  <c:v>42050</c:v>
                </c:pt>
                <c:pt idx="85">
                  <c:v>42019</c:v>
                </c:pt>
                <c:pt idx="86">
                  <c:v>41988</c:v>
                </c:pt>
                <c:pt idx="87">
                  <c:v>41958</c:v>
                </c:pt>
                <c:pt idx="88">
                  <c:v>41927</c:v>
                </c:pt>
                <c:pt idx="89">
                  <c:v>41897</c:v>
                </c:pt>
                <c:pt idx="90">
                  <c:v>41866</c:v>
                </c:pt>
                <c:pt idx="91">
                  <c:v>41835</c:v>
                </c:pt>
                <c:pt idx="92">
                  <c:v>41805</c:v>
                </c:pt>
                <c:pt idx="93">
                  <c:v>41774</c:v>
                </c:pt>
                <c:pt idx="94">
                  <c:v>41744</c:v>
                </c:pt>
                <c:pt idx="95">
                  <c:v>41713</c:v>
                </c:pt>
                <c:pt idx="96">
                  <c:v>41685</c:v>
                </c:pt>
                <c:pt idx="97">
                  <c:v>41654</c:v>
                </c:pt>
                <c:pt idx="98">
                  <c:v>41623</c:v>
                </c:pt>
                <c:pt idx="99">
                  <c:v>41593</c:v>
                </c:pt>
                <c:pt idx="100">
                  <c:v>41562</c:v>
                </c:pt>
                <c:pt idx="101">
                  <c:v>41532</c:v>
                </c:pt>
                <c:pt idx="102">
                  <c:v>41501</c:v>
                </c:pt>
                <c:pt idx="103">
                  <c:v>41470</c:v>
                </c:pt>
                <c:pt idx="104">
                  <c:v>41440</c:v>
                </c:pt>
                <c:pt idx="105">
                  <c:v>41409</c:v>
                </c:pt>
                <c:pt idx="106">
                  <c:v>41379</c:v>
                </c:pt>
                <c:pt idx="107">
                  <c:v>41348</c:v>
                </c:pt>
                <c:pt idx="108">
                  <c:v>41320</c:v>
                </c:pt>
                <c:pt idx="109">
                  <c:v>41289</c:v>
                </c:pt>
                <c:pt idx="110">
                  <c:v>41258</c:v>
                </c:pt>
                <c:pt idx="111">
                  <c:v>41228</c:v>
                </c:pt>
                <c:pt idx="112">
                  <c:v>41197</c:v>
                </c:pt>
                <c:pt idx="113">
                  <c:v>41167</c:v>
                </c:pt>
                <c:pt idx="114">
                  <c:v>41136</c:v>
                </c:pt>
                <c:pt idx="115">
                  <c:v>41105</c:v>
                </c:pt>
                <c:pt idx="116">
                  <c:v>41075</c:v>
                </c:pt>
                <c:pt idx="117">
                  <c:v>41044</c:v>
                </c:pt>
                <c:pt idx="118">
                  <c:v>41014</c:v>
                </c:pt>
                <c:pt idx="119">
                  <c:v>40983</c:v>
                </c:pt>
                <c:pt idx="120">
                  <c:v>40954</c:v>
                </c:pt>
                <c:pt idx="121">
                  <c:v>40923</c:v>
                </c:pt>
                <c:pt idx="122">
                  <c:v>40892</c:v>
                </c:pt>
                <c:pt idx="123">
                  <c:v>40862</c:v>
                </c:pt>
                <c:pt idx="124">
                  <c:v>40831</c:v>
                </c:pt>
                <c:pt idx="125">
                  <c:v>40801</c:v>
                </c:pt>
                <c:pt idx="126">
                  <c:v>40770</c:v>
                </c:pt>
                <c:pt idx="127">
                  <c:v>40739</c:v>
                </c:pt>
                <c:pt idx="128">
                  <c:v>40709</c:v>
                </c:pt>
                <c:pt idx="129">
                  <c:v>40678</c:v>
                </c:pt>
                <c:pt idx="130">
                  <c:v>40648</c:v>
                </c:pt>
                <c:pt idx="131">
                  <c:v>40617</c:v>
                </c:pt>
                <c:pt idx="132">
                  <c:v>40589</c:v>
                </c:pt>
                <c:pt idx="133">
                  <c:v>40558</c:v>
                </c:pt>
                <c:pt idx="134">
                  <c:v>40527</c:v>
                </c:pt>
                <c:pt idx="135">
                  <c:v>40497</c:v>
                </c:pt>
                <c:pt idx="136">
                  <c:v>40466</c:v>
                </c:pt>
                <c:pt idx="137">
                  <c:v>40436</c:v>
                </c:pt>
                <c:pt idx="138">
                  <c:v>40405</c:v>
                </c:pt>
                <c:pt idx="139">
                  <c:v>40374</c:v>
                </c:pt>
                <c:pt idx="140">
                  <c:v>40344</c:v>
                </c:pt>
                <c:pt idx="141">
                  <c:v>40313</c:v>
                </c:pt>
                <c:pt idx="142">
                  <c:v>40283</c:v>
                </c:pt>
                <c:pt idx="143">
                  <c:v>40252</c:v>
                </c:pt>
                <c:pt idx="144">
                  <c:v>40224</c:v>
                </c:pt>
                <c:pt idx="145">
                  <c:v>40193</c:v>
                </c:pt>
                <c:pt idx="146">
                  <c:v>40162</c:v>
                </c:pt>
                <c:pt idx="147">
                  <c:v>40132</c:v>
                </c:pt>
                <c:pt idx="148">
                  <c:v>40101</c:v>
                </c:pt>
                <c:pt idx="149">
                  <c:v>40071</c:v>
                </c:pt>
                <c:pt idx="150">
                  <c:v>40040</c:v>
                </c:pt>
                <c:pt idx="151">
                  <c:v>40009</c:v>
                </c:pt>
                <c:pt idx="152">
                  <c:v>39979</c:v>
                </c:pt>
                <c:pt idx="153">
                  <c:v>39948</c:v>
                </c:pt>
                <c:pt idx="154">
                  <c:v>39918</c:v>
                </c:pt>
                <c:pt idx="155">
                  <c:v>39887</c:v>
                </c:pt>
                <c:pt idx="156">
                  <c:v>39859</c:v>
                </c:pt>
                <c:pt idx="157">
                  <c:v>39828</c:v>
                </c:pt>
                <c:pt idx="158">
                  <c:v>39797</c:v>
                </c:pt>
                <c:pt idx="159">
                  <c:v>39767</c:v>
                </c:pt>
                <c:pt idx="160">
                  <c:v>39736</c:v>
                </c:pt>
                <c:pt idx="161">
                  <c:v>39706</c:v>
                </c:pt>
                <c:pt idx="162">
                  <c:v>39675</c:v>
                </c:pt>
                <c:pt idx="163">
                  <c:v>39644</c:v>
                </c:pt>
                <c:pt idx="164">
                  <c:v>39614</c:v>
                </c:pt>
                <c:pt idx="165">
                  <c:v>39583</c:v>
                </c:pt>
                <c:pt idx="166">
                  <c:v>39553</c:v>
                </c:pt>
                <c:pt idx="167">
                  <c:v>39522</c:v>
                </c:pt>
                <c:pt idx="168">
                  <c:v>39493</c:v>
                </c:pt>
                <c:pt idx="169">
                  <c:v>39462</c:v>
                </c:pt>
                <c:pt idx="170">
                  <c:v>39431</c:v>
                </c:pt>
                <c:pt idx="171">
                  <c:v>39401</c:v>
                </c:pt>
                <c:pt idx="172">
                  <c:v>39370</c:v>
                </c:pt>
                <c:pt idx="173">
                  <c:v>39340</c:v>
                </c:pt>
                <c:pt idx="174">
                  <c:v>39309</c:v>
                </c:pt>
                <c:pt idx="175">
                  <c:v>39278</c:v>
                </c:pt>
                <c:pt idx="176">
                  <c:v>39248</c:v>
                </c:pt>
                <c:pt idx="177">
                  <c:v>39217</c:v>
                </c:pt>
                <c:pt idx="178">
                  <c:v>39187</c:v>
                </c:pt>
                <c:pt idx="179">
                  <c:v>39156</c:v>
                </c:pt>
                <c:pt idx="180">
                  <c:v>39128</c:v>
                </c:pt>
                <c:pt idx="181">
                  <c:v>39097</c:v>
                </c:pt>
                <c:pt idx="182">
                  <c:v>39066</c:v>
                </c:pt>
                <c:pt idx="183">
                  <c:v>39036</c:v>
                </c:pt>
                <c:pt idx="184">
                  <c:v>39005</c:v>
                </c:pt>
                <c:pt idx="185">
                  <c:v>38975</c:v>
                </c:pt>
                <c:pt idx="186">
                  <c:v>38944</c:v>
                </c:pt>
                <c:pt idx="187">
                  <c:v>38913</c:v>
                </c:pt>
                <c:pt idx="188">
                  <c:v>38883</c:v>
                </c:pt>
                <c:pt idx="189">
                  <c:v>38852</c:v>
                </c:pt>
                <c:pt idx="190">
                  <c:v>38822</c:v>
                </c:pt>
                <c:pt idx="191">
                  <c:v>38791</c:v>
                </c:pt>
                <c:pt idx="192">
                  <c:v>38763</c:v>
                </c:pt>
                <c:pt idx="193">
                  <c:v>38732</c:v>
                </c:pt>
                <c:pt idx="194">
                  <c:v>38701</c:v>
                </c:pt>
                <c:pt idx="195">
                  <c:v>38671</c:v>
                </c:pt>
                <c:pt idx="196">
                  <c:v>38640</c:v>
                </c:pt>
                <c:pt idx="197">
                  <c:v>38610</c:v>
                </c:pt>
                <c:pt idx="198">
                  <c:v>38579</c:v>
                </c:pt>
                <c:pt idx="199">
                  <c:v>38548</c:v>
                </c:pt>
                <c:pt idx="200">
                  <c:v>38518</c:v>
                </c:pt>
                <c:pt idx="201">
                  <c:v>38487</c:v>
                </c:pt>
                <c:pt idx="202">
                  <c:v>38457</c:v>
                </c:pt>
                <c:pt idx="203">
                  <c:v>38426</c:v>
                </c:pt>
                <c:pt idx="204">
                  <c:v>38398</c:v>
                </c:pt>
              </c:numCache>
            </c:numRef>
          </c:cat>
          <c:val>
            <c:numRef>
              <c:f>Foglio1!$G$2:$G$206</c:f>
              <c:numCache>
                <c:formatCode>General</c:formatCode>
                <c:ptCount val="205"/>
                <c:pt idx="0">
                  <c:v>2.6945829179129284</c:v>
                </c:pt>
                <c:pt idx="1">
                  <c:v>2.7517032236623469</c:v>
                </c:pt>
                <c:pt idx="2">
                  <c:v>2.9599368560983721</c:v>
                </c:pt>
                <c:pt idx="3">
                  <c:v>2.794449983383184</c:v>
                </c:pt>
                <c:pt idx="4">
                  <c:v>2.8263376537055502</c:v>
                </c:pt>
                <c:pt idx="5">
                  <c:v>2.5788800265869063</c:v>
                </c:pt>
                <c:pt idx="6">
                  <c:v>2.7576271186440682</c:v>
                </c:pt>
                <c:pt idx="7">
                  <c:v>2.6517613825191098</c:v>
                </c:pt>
                <c:pt idx="8">
                  <c:v>2.5705383848454639</c:v>
                </c:pt>
                <c:pt idx="9">
                  <c:v>2.4929461615154538</c:v>
                </c:pt>
                <c:pt idx="10">
                  <c:v>2.4738866733133933</c:v>
                </c:pt>
                <c:pt idx="11">
                  <c:v>2.3008391492190099</c:v>
                </c:pt>
                <c:pt idx="12">
                  <c:v>2.1664589564639418</c:v>
                </c:pt>
                <c:pt idx="13">
                  <c:v>2.0859421734795616</c:v>
                </c:pt>
                <c:pt idx="14">
                  <c:v>2.120696244599535</c:v>
                </c:pt>
                <c:pt idx="15">
                  <c:v>2.008998005982054</c:v>
                </c:pt>
                <c:pt idx="16">
                  <c:v>1.716816218012629</c:v>
                </c:pt>
                <c:pt idx="17">
                  <c:v>1.7941176470588238</c:v>
                </c:pt>
                <c:pt idx="18">
                  <c:v>1.9082003988035896</c:v>
                </c:pt>
                <c:pt idx="19">
                  <c:v>1.7177799933532736</c:v>
                </c:pt>
                <c:pt idx="20">
                  <c:v>1.5758474576271189</c:v>
                </c:pt>
                <c:pt idx="21">
                  <c:v>1.5293369890329016</c:v>
                </c:pt>
                <c:pt idx="22">
                  <c:v>1.419765702891326</c:v>
                </c:pt>
                <c:pt idx="23">
                  <c:v>1.1473828514456632</c:v>
                </c:pt>
                <c:pt idx="24">
                  <c:v>1.4544865403788636</c:v>
                </c:pt>
                <c:pt idx="25">
                  <c:v>1.6798936523762049</c:v>
                </c:pt>
                <c:pt idx="26">
                  <c:v>1.6842638750415424</c:v>
                </c:pt>
                <c:pt idx="27">
                  <c:v>1.6096543702226653</c:v>
                </c:pt>
                <c:pt idx="28">
                  <c:v>1.5237288135593223</c:v>
                </c:pt>
                <c:pt idx="29">
                  <c:v>1.4731970754403458</c:v>
                </c:pt>
                <c:pt idx="30">
                  <c:v>1.431422399468262</c:v>
                </c:pt>
                <c:pt idx="31">
                  <c:v>1.4762213359920242</c:v>
                </c:pt>
                <c:pt idx="32">
                  <c:v>1.4441342638750418</c:v>
                </c:pt>
                <c:pt idx="33">
                  <c:v>1.2865237620471919</c:v>
                </c:pt>
                <c:pt idx="34">
                  <c:v>1.4475157859754071</c:v>
                </c:pt>
                <c:pt idx="35">
                  <c:v>1.35493519441675</c:v>
                </c:pt>
                <c:pt idx="36">
                  <c:v>1.3134679295446992</c:v>
                </c:pt>
                <c:pt idx="37">
                  <c:v>1.2466766367563977</c:v>
                </c:pt>
                <c:pt idx="38">
                  <c:v>1.0827932868062482</c:v>
                </c:pt>
                <c:pt idx="39">
                  <c:v>1.2932618810235961</c:v>
                </c:pt>
                <c:pt idx="40">
                  <c:v>1.2530242605516784</c:v>
                </c:pt>
                <c:pt idx="41">
                  <c:v>1.4210535061482221</c:v>
                </c:pt>
                <c:pt idx="42">
                  <c:v>1.4107012296444004</c:v>
                </c:pt>
                <c:pt idx="43">
                  <c:v>1.3398886673313393</c:v>
                </c:pt>
                <c:pt idx="44">
                  <c:v>1.2585327351279494</c:v>
                </c:pt>
                <c:pt idx="45">
                  <c:v>1.2476487205051514</c:v>
                </c:pt>
                <c:pt idx="46">
                  <c:v>1.2001080093054175</c:v>
                </c:pt>
                <c:pt idx="47">
                  <c:v>1.1941425722831505</c:v>
                </c:pt>
                <c:pt idx="48">
                  <c:v>1.2547607178464606</c:v>
                </c:pt>
                <c:pt idx="49">
                  <c:v>1.3461365902293121</c:v>
                </c:pt>
                <c:pt idx="50">
                  <c:v>1.2213443004320377</c:v>
                </c:pt>
                <c:pt idx="51">
                  <c:v>1.1997175141242939</c:v>
                </c:pt>
                <c:pt idx="52">
                  <c:v>1.1396311066799605</c:v>
                </c:pt>
                <c:pt idx="53">
                  <c:v>1.0931871053506153</c:v>
                </c:pt>
                <c:pt idx="54">
                  <c:v>1.0535476902625458</c:v>
                </c:pt>
                <c:pt idx="55">
                  <c:v>1.0524260551678299</c:v>
                </c:pt>
                <c:pt idx="56">
                  <c:v>1.0134679295446993</c:v>
                </c:pt>
                <c:pt idx="57">
                  <c:v>1.0038218677301431</c:v>
                </c:pt>
                <c:pt idx="58">
                  <c:v>0.98089066134928538</c:v>
                </c:pt>
                <c:pt idx="59">
                  <c:v>0.96304420073113994</c:v>
                </c:pt>
                <c:pt idx="60">
                  <c:v>0.96380857427716848</c:v>
                </c:pt>
                <c:pt idx="61">
                  <c:v>0.8933781987371221</c:v>
                </c:pt>
                <c:pt idx="62">
                  <c:v>0.86011133266866069</c:v>
                </c:pt>
                <c:pt idx="63">
                  <c:v>0.8268610834164174</c:v>
                </c:pt>
                <c:pt idx="64">
                  <c:v>0.7664921900963777</c:v>
                </c:pt>
                <c:pt idx="65">
                  <c:v>0.80148720505151227</c:v>
                </c:pt>
                <c:pt idx="66">
                  <c:v>0.80371385842472587</c:v>
                </c:pt>
                <c:pt idx="67">
                  <c:v>0.80591558657361251</c:v>
                </c:pt>
                <c:pt idx="68">
                  <c:v>0.74381854436689965</c:v>
                </c:pt>
                <c:pt idx="69">
                  <c:v>0.74223994682618821</c:v>
                </c:pt>
                <c:pt idx="70">
                  <c:v>0.71593552675307448</c:v>
                </c:pt>
                <c:pt idx="71">
                  <c:v>0.71131605184446656</c:v>
                </c:pt>
                <c:pt idx="72">
                  <c:v>0.60537554004652727</c:v>
                </c:pt>
                <c:pt idx="73">
                  <c:v>0.61203057494184132</c:v>
                </c:pt>
                <c:pt idx="74">
                  <c:v>0.69818876703223687</c:v>
                </c:pt>
                <c:pt idx="75">
                  <c:v>0.72848953140578265</c:v>
                </c:pt>
                <c:pt idx="76">
                  <c:v>0.72761714855433723</c:v>
                </c:pt>
                <c:pt idx="77">
                  <c:v>0.5952392821535395</c:v>
                </c:pt>
                <c:pt idx="78">
                  <c:v>0.63856763044200759</c:v>
                </c:pt>
                <c:pt idx="79">
                  <c:v>0.74795613160518459</c:v>
                </c:pt>
                <c:pt idx="80">
                  <c:v>0.71411598537720189</c:v>
                </c:pt>
                <c:pt idx="81">
                  <c:v>0.75090561648388165</c:v>
                </c:pt>
                <c:pt idx="82">
                  <c:v>0.73272681954137608</c:v>
                </c:pt>
                <c:pt idx="83">
                  <c:v>0.71808740445330677</c:v>
                </c:pt>
                <c:pt idx="84">
                  <c:v>0.74850448654037893</c:v>
                </c:pt>
                <c:pt idx="85">
                  <c:v>0.65751910933865076</c:v>
                </c:pt>
                <c:pt idx="86">
                  <c:v>0.71061814556331027</c:v>
                </c:pt>
                <c:pt idx="87">
                  <c:v>0.7178132269857096</c:v>
                </c:pt>
                <c:pt idx="88">
                  <c:v>0.6766782984380193</c:v>
                </c:pt>
                <c:pt idx="89">
                  <c:v>0.63865902293120658</c:v>
                </c:pt>
                <c:pt idx="90">
                  <c:v>0.664481555333998</c:v>
                </c:pt>
                <c:pt idx="91">
                  <c:v>0.60407942838152229</c:v>
                </c:pt>
                <c:pt idx="92">
                  <c:v>0.62863908275174496</c:v>
                </c:pt>
                <c:pt idx="93">
                  <c:v>0.59818045862412772</c:v>
                </c:pt>
                <c:pt idx="94">
                  <c:v>0.56526254569624479</c:v>
                </c:pt>
                <c:pt idx="95">
                  <c:v>0.55561648388168838</c:v>
                </c:pt>
                <c:pt idx="96">
                  <c:v>0.54490694582917931</c:v>
                </c:pt>
                <c:pt idx="97">
                  <c:v>0.48104852110335661</c:v>
                </c:pt>
                <c:pt idx="98">
                  <c:v>0.53569292123629109</c:v>
                </c:pt>
                <c:pt idx="99">
                  <c:v>0.50034064473246942</c:v>
                </c:pt>
                <c:pt idx="100">
                  <c:v>0.45940511797939521</c:v>
                </c:pt>
                <c:pt idx="101">
                  <c:v>0.39710036556995676</c:v>
                </c:pt>
                <c:pt idx="102">
                  <c:v>0.35673811897640428</c:v>
                </c:pt>
                <c:pt idx="103">
                  <c:v>0.40057328015952165</c:v>
                </c:pt>
                <c:pt idx="104">
                  <c:v>0.33456297773346644</c:v>
                </c:pt>
                <c:pt idx="105">
                  <c:v>0.3548853439680959</c:v>
                </c:pt>
                <c:pt idx="106">
                  <c:v>0.32732635427052181</c:v>
                </c:pt>
                <c:pt idx="107">
                  <c:v>0.30374709205716188</c:v>
                </c:pt>
                <c:pt idx="108">
                  <c:v>0.25845795945496852</c:v>
                </c:pt>
                <c:pt idx="109">
                  <c:v>0.24469092721834507</c:v>
                </c:pt>
                <c:pt idx="110">
                  <c:v>0.18493685609837174</c:v>
                </c:pt>
                <c:pt idx="111">
                  <c:v>0.17662013958125633</c:v>
                </c:pt>
                <c:pt idx="112">
                  <c:v>0.17328015952143594</c:v>
                </c:pt>
                <c:pt idx="113">
                  <c:v>0.19696743104021275</c:v>
                </c:pt>
                <c:pt idx="114">
                  <c:v>0.16864406779661012</c:v>
                </c:pt>
                <c:pt idx="115">
                  <c:v>0.14599534729145902</c:v>
                </c:pt>
                <c:pt idx="116">
                  <c:v>0.13173811897640419</c:v>
                </c:pt>
                <c:pt idx="117">
                  <c:v>8.8675639747424428E-2</c:v>
                </c:pt>
                <c:pt idx="118">
                  <c:v>0.16144067796610195</c:v>
                </c:pt>
                <c:pt idx="119">
                  <c:v>0.1702143569292125</c:v>
                </c:pt>
                <c:pt idx="120">
                  <c:v>0.13466267863077452</c:v>
                </c:pt>
                <c:pt idx="121">
                  <c:v>9.0403788634097815E-2</c:v>
                </c:pt>
                <c:pt idx="122">
                  <c:v>4.4865403788634017E-2</c:v>
                </c:pt>
                <c:pt idx="123">
                  <c:v>3.6025257560651447E-2</c:v>
                </c:pt>
                <c:pt idx="124">
                  <c:v>4.1292788301761529E-2</c:v>
                </c:pt>
                <c:pt idx="125">
                  <c:v>-5.9970089730807419E-2</c:v>
                </c:pt>
                <c:pt idx="126">
                  <c:v>1.270355599867079E-2</c:v>
                </c:pt>
                <c:pt idx="127">
                  <c:v>7.3678963110668017E-2</c:v>
                </c:pt>
                <c:pt idx="128">
                  <c:v>9.7241608507810051E-2</c:v>
                </c:pt>
                <c:pt idx="129">
                  <c:v>0.11764705882352944</c:v>
                </c:pt>
                <c:pt idx="130">
                  <c:v>0.13294283815220997</c:v>
                </c:pt>
                <c:pt idx="131">
                  <c:v>0.10155367231638412</c:v>
                </c:pt>
                <c:pt idx="132">
                  <c:v>0.10270854104353622</c:v>
                </c:pt>
                <c:pt idx="133">
                  <c:v>6.8560983715520107E-2</c:v>
                </c:pt>
                <c:pt idx="134">
                  <c:v>4.4898637421070253E-2</c:v>
                </c:pt>
                <c:pt idx="135">
                  <c:v>-1.9150880691259475E-2</c:v>
                </c:pt>
                <c:pt idx="136">
                  <c:v>-1.6899302093718815E-2</c:v>
                </c:pt>
                <c:pt idx="137">
                  <c:v>-5.1844466600199257E-2</c:v>
                </c:pt>
                <c:pt idx="138">
                  <c:v>-0.12817381189764043</c:v>
                </c:pt>
                <c:pt idx="139">
                  <c:v>-8.4745762711864403E-2</c:v>
                </c:pt>
                <c:pt idx="140">
                  <c:v>-0.1436440677966101</c:v>
                </c:pt>
                <c:pt idx="141">
                  <c:v>-9.487371219674301E-2</c:v>
                </c:pt>
                <c:pt idx="142">
                  <c:v>-1.4049518112329573E-2</c:v>
                </c:pt>
                <c:pt idx="143">
                  <c:v>-2.8389830508474434E-2</c:v>
                </c:pt>
                <c:pt idx="144">
                  <c:v>-8.2344632768361459E-2</c:v>
                </c:pt>
                <c:pt idx="145">
                  <c:v>-0.10778497839813894</c:v>
                </c:pt>
                <c:pt idx="146">
                  <c:v>-7.3529411764705843E-2</c:v>
                </c:pt>
                <c:pt idx="147">
                  <c:v>-8.9705882352940969E-2</c:v>
                </c:pt>
                <c:pt idx="148">
                  <c:v>-0.13909106015287465</c:v>
                </c:pt>
                <c:pt idx="149">
                  <c:v>-0.12173479561316047</c:v>
                </c:pt>
                <c:pt idx="150">
                  <c:v>-0.15202725157859742</c:v>
                </c:pt>
                <c:pt idx="151">
                  <c:v>-0.17956131605184444</c:v>
                </c:pt>
                <c:pt idx="152">
                  <c:v>-0.23619142572283136</c:v>
                </c:pt>
                <c:pt idx="153">
                  <c:v>-0.23634097706879353</c:v>
                </c:pt>
                <c:pt idx="154">
                  <c:v>-0.27483383183781984</c:v>
                </c:pt>
                <c:pt idx="155">
                  <c:v>-0.3370970422067131</c:v>
                </c:pt>
                <c:pt idx="156">
                  <c:v>-0.38925722831505472</c:v>
                </c:pt>
                <c:pt idx="157">
                  <c:v>-0.31382519109338647</c:v>
                </c:pt>
                <c:pt idx="158">
                  <c:v>-0.24954303755400464</c:v>
                </c:pt>
                <c:pt idx="159">
                  <c:v>-0.25536723163841801</c:v>
                </c:pt>
                <c:pt idx="160">
                  <c:v>-0.1951229644400132</c:v>
                </c:pt>
                <c:pt idx="161">
                  <c:v>-3.0940511797939552E-2</c:v>
                </c:pt>
                <c:pt idx="162">
                  <c:v>6.5827517447657025E-2</c:v>
                </c:pt>
                <c:pt idx="163">
                  <c:v>5.2991026919242401E-2</c:v>
                </c:pt>
                <c:pt idx="164">
                  <c:v>6.3476237952808212E-2</c:v>
                </c:pt>
                <c:pt idx="165">
                  <c:v>0.16349285476902642</c:v>
                </c:pt>
                <c:pt idx="166">
                  <c:v>0.15120471917580591</c:v>
                </c:pt>
                <c:pt idx="167">
                  <c:v>9.895314057826532E-2</c:v>
                </c:pt>
                <c:pt idx="168">
                  <c:v>0.10554170820870734</c:v>
                </c:pt>
                <c:pt idx="169">
                  <c:v>0.14535559986706548</c:v>
                </c:pt>
                <c:pt idx="170">
                  <c:v>0.21997341309405116</c:v>
                </c:pt>
                <c:pt idx="171">
                  <c:v>0.23059155865736147</c:v>
                </c:pt>
                <c:pt idx="172">
                  <c:v>0.28728813559322042</c:v>
                </c:pt>
                <c:pt idx="173">
                  <c:v>0.2684862080425392</c:v>
                </c:pt>
                <c:pt idx="174">
                  <c:v>0.22465104685942183</c:v>
                </c:pt>
                <c:pt idx="175">
                  <c:v>0.20909770687936202</c:v>
                </c:pt>
                <c:pt idx="176">
                  <c:v>0.24904453306746421</c:v>
                </c:pt>
                <c:pt idx="177">
                  <c:v>0.27170156198072459</c:v>
                </c:pt>
                <c:pt idx="178">
                  <c:v>0.23161349285476907</c:v>
                </c:pt>
                <c:pt idx="179">
                  <c:v>0.18050847457627128</c:v>
                </c:pt>
                <c:pt idx="180">
                  <c:v>0.16884346959122642</c:v>
                </c:pt>
                <c:pt idx="181">
                  <c:v>0.1949484878697243</c:v>
                </c:pt>
                <c:pt idx="182">
                  <c:v>0.17838152210036573</c:v>
                </c:pt>
                <c:pt idx="183">
                  <c:v>0.16370056497175156</c:v>
                </c:pt>
                <c:pt idx="184">
                  <c:v>0.14484878697241621</c:v>
                </c:pt>
                <c:pt idx="185">
                  <c:v>0.10987869724160859</c:v>
                </c:pt>
                <c:pt idx="186">
                  <c:v>8.3266866068461232E-2</c:v>
                </c:pt>
                <c:pt idx="187">
                  <c:v>6.0701229644400279E-2</c:v>
                </c:pt>
                <c:pt idx="188">
                  <c:v>5.5333998005982155E-2</c:v>
                </c:pt>
                <c:pt idx="189">
                  <c:v>5.524260551678295E-2</c:v>
                </c:pt>
                <c:pt idx="190">
                  <c:v>8.8908275174476525E-2</c:v>
                </c:pt>
                <c:pt idx="191">
                  <c:v>7.5797607178464732E-2</c:v>
                </c:pt>
                <c:pt idx="192">
                  <c:v>6.4024592888002774E-2</c:v>
                </c:pt>
                <c:pt idx="193">
                  <c:v>6.354270521768024E-2</c:v>
                </c:pt>
                <c:pt idx="194">
                  <c:v>3.7130275839149185E-2</c:v>
                </c:pt>
                <c:pt idx="195">
                  <c:v>3.8118976404120986E-2</c:v>
                </c:pt>
                <c:pt idx="196">
                  <c:v>2.8331671651711243E-3</c:v>
                </c:pt>
                <c:pt idx="197">
                  <c:v>2.0945496842804889E-2</c:v>
                </c:pt>
                <c:pt idx="198">
                  <c:v>1.3899966766367511E-2</c:v>
                </c:pt>
                <c:pt idx="199">
                  <c:v>2.5407111997341358E-2</c:v>
                </c:pt>
                <c:pt idx="200">
                  <c:v>-1.0194416749750745E-2</c:v>
                </c:pt>
                <c:pt idx="201">
                  <c:v>-1.005317381189752E-2</c:v>
                </c:pt>
                <c:pt idx="202">
                  <c:v>-3.8841807909604564E-2</c:v>
                </c:pt>
                <c:pt idx="203">
                  <c:v>-1.9117647058823573E-2</c:v>
                </c:pt>
                <c:pt idx="204">
                  <c:v>0</c:v>
                </c:pt>
              </c:numCache>
            </c:numRef>
          </c:val>
          <c:smooth val="0"/>
          <c:extLst>
            <c:ext xmlns:c16="http://schemas.microsoft.com/office/drawing/2014/chart" uri="{C3380CC4-5D6E-409C-BE32-E72D297353CC}">
              <c16:uniqueId val="{00000001-ADBC-4B80-AED6-F16033764D60}"/>
            </c:ext>
          </c:extLst>
        </c:ser>
        <c:dLbls>
          <c:showLegendKey val="0"/>
          <c:showVal val="0"/>
          <c:showCatName val="0"/>
          <c:showSerName val="0"/>
          <c:showPercent val="0"/>
          <c:showBubbleSize val="0"/>
        </c:dLbls>
        <c:smooth val="0"/>
        <c:axId val="625432216"/>
        <c:axId val="625432544"/>
      </c:lineChart>
      <c:dateAx>
        <c:axId val="625432216"/>
        <c:scaling>
          <c:orientation val="minMax"/>
        </c:scaling>
        <c:delete val="0"/>
        <c:axPos val="b"/>
        <c:numFmt formatCode="d\-mmm"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5432544"/>
        <c:crosses val="autoZero"/>
        <c:auto val="1"/>
        <c:lblOffset val="100"/>
        <c:baseTimeUnit val="months"/>
      </c:dateAx>
      <c:valAx>
        <c:axId val="6254325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54322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Sheet2!$B$1</c:f>
              <c:strCache>
                <c:ptCount val="1"/>
                <c:pt idx="0">
                  <c:v>Norm djre</c:v>
                </c:pt>
              </c:strCache>
            </c:strRef>
          </c:tx>
          <c:spPr>
            <a:ln w="28575" cap="rnd">
              <a:solidFill>
                <a:schemeClr val="accent1"/>
              </a:solidFill>
              <a:round/>
            </a:ln>
            <a:effectLst/>
          </c:spPr>
          <c:marker>
            <c:symbol val="none"/>
          </c:marker>
          <c:cat>
            <c:numRef>
              <c:f>Sheet2!$A$2:$A$23</c:f>
              <c:numCache>
                <c:formatCode>mmm\-yy</c:formatCode>
                <c:ptCount val="22"/>
                <c:pt idx="0">
                  <c:v>39417</c:v>
                </c:pt>
                <c:pt idx="1">
                  <c:v>39326</c:v>
                </c:pt>
                <c:pt idx="2">
                  <c:v>39234</c:v>
                </c:pt>
                <c:pt idx="3">
                  <c:v>39142</c:v>
                </c:pt>
                <c:pt idx="4">
                  <c:v>39052</c:v>
                </c:pt>
                <c:pt idx="5">
                  <c:v>38961</c:v>
                </c:pt>
                <c:pt idx="6">
                  <c:v>38869</c:v>
                </c:pt>
                <c:pt idx="7">
                  <c:v>38777</c:v>
                </c:pt>
                <c:pt idx="8">
                  <c:v>38687</c:v>
                </c:pt>
                <c:pt idx="9">
                  <c:v>38596</c:v>
                </c:pt>
                <c:pt idx="10">
                  <c:v>38504</c:v>
                </c:pt>
                <c:pt idx="11">
                  <c:v>38412</c:v>
                </c:pt>
                <c:pt idx="12">
                  <c:v>38322</c:v>
                </c:pt>
                <c:pt idx="13">
                  <c:v>38231</c:v>
                </c:pt>
                <c:pt idx="14">
                  <c:v>38139</c:v>
                </c:pt>
                <c:pt idx="15">
                  <c:v>38047</c:v>
                </c:pt>
                <c:pt idx="16">
                  <c:v>37956</c:v>
                </c:pt>
                <c:pt idx="17">
                  <c:v>37865</c:v>
                </c:pt>
                <c:pt idx="18">
                  <c:v>37773</c:v>
                </c:pt>
                <c:pt idx="19">
                  <c:v>37681</c:v>
                </c:pt>
                <c:pt idx="20">
                  <c:v>37591</c:v>
                </c:pt>
                <c:pt idx="21">
                  <c:v>37500</c:v>
                </c:pt>
              </c:numCache>
            </c:numRef>
          </c:cat>
          <c:val>
            <c:numRef>
              <c:f>Sheet2!$B$2:$B$23</c:f>
              <c:numCache>
                <c:formatCode>General</c:formatCode>
                <c:ptCount val="22"/>
                <c:pt idx="0">
                  <c:v>0.57538856933055937</c:v>
                </c:pt>
                <c:pt idx="1">
                  <c:v>0.83178313547913385</c:v>
                </c:pt>
                <c:pt idx="2">
                  <c:v>0.85142577407906028</c:v>
                </c:pt>
                <c:pt idx="3">
                  <c:v>1.0446701750091787</c:v>
                </c:pt>
                <c:pt idx="4">
                  <c:v>1.0115040998653777</c:v>
                </c:pt>
                <c:pt idx="5">
                  <c:v>0.85246603842858915</c:v>
                </c:pt>
                <c:pt idx="6">
                  <c:v>0.72794027658793303</c:v>
                </c:pt>
                <c:pt idx="7">
                  <c:v>0.76948965854852558</c:v>
                </c:pt>
                <c:pt idx="8">
                  <c:v>0.55042222494186777</c:v>
                </c:pt>
                <c:pt idx="9">
                  <c:v>0.54742381593440226</c:v>
                </c:pt>
                <c:pt idx="10">
                  <c:v>0.53543017990454045</c:v>
                </c:pt>
                <c:pt idx="11">
                  <c:v>0.36146126545098545</c:v>
                </c:pt>
                <c:pt idx="12">
                  <c:v>0.48923020438134879</c:v>
                </c:pt>
                <c:pt idx="13">
                  <c:v>0.31036592828295184</c:v>
                </c:pt>
                <c:pt idx="14">
                  <c:v>0.2245747154571045</c:v>
                </c:pt>
                <c:pt idx="15">
                  <c:v>0.32945783869783374</c:v>
                </c:pt>
                <c:pt idx="16">
                  <c:v>0.19905764288336814</c:v>
                </c:pt>
                <c:pt idx="17">
                  <c:v>0.10390405091176125</c:v>
                </c:pt>
                <c:pt idx="18">
                  <c:v>2.49051523681314E-2</c:v>
                </c:pt>
                <c:pt idx="19">
                  <c:v>-7.8386978338024549E-2</c:v>
                </c:pt>
                <c:pt idx="20">
                  <c:v>-6.5842614123118315E-2</c:v>
                </c:pt>
                <c:pt idx="21">
                  <c:v>-5.3665402031574994E-2</c:v>
                </c:pt>
              </c:numCache>
            </c:numRef>
          </c:val>
          <c:smooth val="0"/>
          <c:extLst>
            <c:ext xmlns:c16="http://schemas.microsoft.com/office/drawing/2014/chart" uri="{C3380CC4-5D6E-409C-BE32-E72D297353CC}">
              <c16:uniqueId val="{00000000-E430-432E-A909-8D954CE5D7C4}"/>
            </c:ext>
          </c:extLst>
        </c:ser>
        <c:ser>
          <c:idx val="1"/>
          <c:order val="1"/>
          <c:tx>
            <c:strRef>
              <c:f>Sheet2!$C$1</c:f>
              <c:strCache>
                <c:ptCount val="1"/>
                <c:pt idx="0">
                  <c:v>Norm s&amp;p</c:v>
                </c:pt>
              </c:strCache>
            </c:strRef>
          </c:tx>
          <c:spPr>
            <a:ln w="28575" cap="rnd">
              <a:solidFill>
                <a:schemeClr val="accent2"/>
              </a:solidFill>
              <a:round/>
            </a:ln>
            <a:effectLst/>
          </c:spPr>
          <c:marker>
            <c:symbol val="none"/>
          </c:marker>
          <c:cat>
            <c:numRef>
              <c:f>Sheet2!$A$2:$A$23</c:f>
              <c:numCache>
                <c:formatCode>mmm\-yy</c:formatCode>
                <c:ptCount val="22"/>
                <c:pt idx="0">
                  <c:v>39417</c:v>
                </c:pt>
                <c:pt idx="1">
                  <c:v>39326</c:v>
                </c:pt>
                <c:pt idx="2">
                  <c:v>39234</c:v>
                </c:pt>
                <c:pt idx="3">
                  <c:v>39142</c:v>
                </c:pt>
                <c:pt idx="4">
                  <c:v>39052</c:v>
                </c:pt>
                <c:pt idx="5">
                  <c:v>38961</c:v>
                </c:pt>
                <c:pt idx="6">
                  <c:v>38869</c:v>
                </c:pt>
                <c:pt idx="7">
                  <c:v>38777</c:v>
                </c:pt>
                <c:pt idx="8">
                  <c:v>38687</c:v>
                </c:pt>
                <c:pt idx="9">
                  <c:v>38596</c:v>
                </c:pt>
                <c:pt idx="10">
                  <c:v>38504</c:v>
                </c:pt>
                <c:pt idx="11">
                  <c:v>38412</c:v>
                </c:pt>
                <c:pt idx="12">
                  <c:v>38322</c:v>
                </c:pt>
                <c:pt idx="13">
                  <c:v>38231</c:v>
                </c:pt>
                <c:pt idx="14">
                  <c:v>38139</c:v>
                </c:pt>
                <c:pt idx="15">
                  <c:v>38047</c:v>
                </c:pt>
                <c:pt idx="16">
                  <c:v>37956</c:v>
                </c:pt>
                <c:pt idx="17">
                  <c:v>37865</c:v>
                </c:pt>
                <c:pt idx="18">
                  <c:v>37773</c:v>
                </c:pt>
                <c:pt idx="19">
                  <c:v>37681</c:v>
                </c:pt>
                <c:pt idx="20">
                  <c:v>37591</c:v>
                </c:pt>
                <c:pt idx="21">
                  <c:v>37500</c:v>
                </c:pt>
              </c:numCache>
            </c:numRef>
          </c:cat>
          <c:val>
            <c:numRef>
              <c:f>Sheet2!$C$2:$C$23</c:f>
              <c:numCache>
                <c:formatCode>General</c:formatCode>
                <c:ptCount val="22"/>
                <c:pt idx="0">
                  <c:v>0.6107149908953291</c:v>
                </c:pt>
                <c:pt idx="1">
                  <c:v>0.67476580154011545</c:v>
                </c:pt>
                <c:pt idx="2">
                  <c:v>0.64909721155744715</c:v>
                </c:pt>
                <c:pt idx="3">
                  <c:v>0.55860994712709222</c:v>
                </c:pt>
                <c:pt idx="4">
                  <c:v>0.55580175950505684</c:v>
                </c:pt>
                <c:pt idx="5">
                  <c:v>0.46535837300629646</c:v>
                </c:pt>
                <c:pt idx="6">
                  <c:v>0.39334371777714394</c:v>
                </c:pt>
                <c:pt idx="7">
                  <c:v>0.42036155415633703</c:v>
                </c:pt>
                <c:pt idx="8">
                  <c:v>0.36930958074636355</c:v>
                </c:pt>
                <c:pt idx="9">
                  <c:v>0.3479410280599371</c:v>
                </c:pt>
                <c:pt idx="10">
                  <c:v>0.30682740615607362</c:v>
                </c:pt>
                <c:pt idx="11">
                  <c:v>0.29504618152300299</c:v>
                </c:pt>
                <c:pt idx="12">
                  <c:v>0.3294135714442421</c:v>
                </c:pt>
                <c:pt idx="13">
                  <c:v>0.22263662490950176</c:v>
                </c:pt>
                <c:pt idx="14">
                  <c:v>0.25144248700116267</c:v>
                </c:pt>
                <c:pt idx="15">
                  <c:v>0.23539413352054583</c:v>
                </c:pt>
                <c:pt idx="16">
                  <c:v>0.21971874245848055</c:v>
                </c:pt>
                <c:pt idx="17">
                  <c:v>9.2527588249490034E-2</c:v>
                </c:pt>
                <c:pt idx="18">
                  <c:v>6.8976108466246799E-2</c:v>
                </c:pt>
                <c:pt idx="19">
                  <c:v>-6.9590399508567269E-2</c:v>
                </c:pt>
                <c:pt idx="20">
                  <c:v>-3.4882955617472122E-2</c:v>
                </c:pt>
                <c:pt idx="21">
                  <c:v>-0.10567999824488272</c:v>
                </c:pt>
              </c:numCache>
            </c:numRef>
          </c:val>
          <c:smooth val="0"/>
          <c:extLst>
            <c:ext xmlns:c16="http://schemas.microsoft.com/office/drawing/2014/chart" uri="{C3380CC4-5D6E-409C-BE32-E72D297353CC}">
              <c16:uniqueId val="{00000001-E430-432E-A909-8D954CE5D7C4}"/>
            </c:ext>
          </c:extLst>
        </c:ser>
        <c:ser>
          <c:idx val="2"/>
          <c:order val="2"/>
          <c:tx>
            <c:strRef>
              <c:f>Sheet2!$D$1</c:f>
              <c:strCache>
                <c:ptCount val="1"/>
                <c:pt idx="0">
                  <c:v>Norm price index</c:v>
                </c:pt>
              </c:strCache>
            </c:strRef>
          </c:tx>
          <c:spPr>
            <a:ln w="28575" cap="rnd">
              <a:solidFill>
                <a:schemeClr val="accent3"/>
              </a:solidFill>
              <a:round/>
            </a:ln>
            <a:effectLst/>
          </c:spPr>
          <c:marker>
            <c:symbol val="none"/>
          </c:marker>
          <c:cat>
            <c:numRef>
              <c:f>Sheet2!$A$2:$A$23</c:f>
              <c:numCache>
                <c:formatCode>mmm\-yy</c:formatCode>
                <c:ptCount val="22"/>
                <c:pt idx="0">
                  <c:v>39417</c:v>
                </c:pt>
                <c:pt idx="1">
                  <c:v>39326</c:v>
                </c:pt>
                <c:pt idx="2">
                  <c:v>39234</c:v>
                </c:pt>
                <c:pt idx="3">
                  <c:v>39142</c:v>
                </c:pt>
                <c:pt idx="4">
                  <c:v>39052</c:v>
                </c:pt>
                <c:pt idx="5">
                  <c:v>38961</c:v>
                </c:pt>
                <c:pt idx="6">
                  <c:v>38869</c:v>
                </c:pt>
                <c:pt idx="7">
                  <c:v>38777</c:v>
                </c:pt>
                <c:pt idx="8">
                  <c:v>38687</c:v>
                </c:pt>
                <c:pt idx="9">
                  <c:v>38596</c:v>
                </c:pt>
                <c:pt idx="10">
                  <c:v>38504</c:v>
                </c:pt>
                <c:pt idx="11">
                  <c:v>38412</c:v>
                </c:pt>
                <c:pt idx="12">
                  <c:v>38322</c:v>
                </c:pt>
                <c:pt idx="13">
                  <c:v>38231</c:v>
                </c:pt>
                <c:pt idx="14">
                  <c:v>38139</c:v>
                </c:pt>
                <c:pt idx="15">
                  <c:v>38047</c:v>
                </c:pt>
                <c:pt idx="16">
                  <c:v>37956</c:v>
                </c:pt>
                <c:pt idx="17">
                  <c:v>37865</c:v>
                </c:pt>
                <c:pt idx="18">
                  <c:v>37773</c:v>
                </c:pt>
                <c:pt idx="19">
                  <c:v>37681</c:v>
                </c:pt>
                <c:pt idx="20">
                  <c:v>37591</c:v>
                </c:pt>
                <c:pt idx="21">
                  <c:v>37500</c:v>
                </c:pt>
              </c:numCache>
            </c:numRef>
          </c:cat>
          <c:val>
            <c:numRef>
              <c:f>Sheet2!$D$2:$D$23</c:f>
              <c:numCache>
                <c:formatCode>General</c:formatCode>
                <c:ptCount val="22"/>
                <c:pt idx="0">
                  <c:v>0.61777353081700914</c:v>
                </c:pt>
                <c:pt idx="1">
                  <c:v>0.6296312383268905</c:v>
                </c:pt>
                <c:pt idx="2">
                  <c:v>0.63493028710420041</c:v>
                </c:pt>
                <c:pt idx="3">
                  <c:v>0.65339008817269706</c:v>
                </c:pt>
                <c:pt idx="4">
                  <c:v>0.65443252399774132</c:v>
                </c:pt>
                <c:pt idx="5">
                  <c:v>0.64826477869956145</c:v>
                </c:pt>
                <c:pt idx="6">
                  <c:v>0.63158580549884902</c:v>
                </c:pt>
                <c:pt idx="7">
                  <c:v>0.61829474872953138</c:v>
                </c:pt>
                <c:pt idx="8">
                  <c:v>0.6018763844850803</c:v>
                </c:pt>
                <c:pt idx="9">
                  <c:v>0.57690135951005539</c:v>
                </c:pt>
                <c:pt idx="10">
                  <c:v>0.5419797593710638</c:v>
                </c:pt>
                <c:pt idx="11">
                  <c:v>0.49663380098162713</c:v>
                </c:pt>
                <c:pt idx="12">
                  <c:v>0.45015853711505893</c:v>
                </c:pt>
                <c:pt idx="13">
                  <c:v>0.41762585240846106</c:v>
                </c:pt>
                <c:pt idx="14">
                  <c:v>0.38791643139469234</c:v>
                </c:pt>
                <c:pt idx="15">
                  <c:v>0.33688051079355441</c:v>
                </c:pt>
                <c:pt idx="16">
                  <c:v>0.30499934847760946</c:v>
                </c:pt>
                <c:pt idx="17">
                  <c:v>0.28480215436737177</c:v>
                </c:pt>
                <c:pt idx="18">
                  <c:v>0.24940277114190157</c:v>
                </c:pt>
                <c:pt idx="19">
                  <c:v>0.23042175216088245</c:v>
                </c:pt>
                <c:pt idx="20">
                  <c:v>0.21556704165399831</c:v>
                </c:pt>
                <c:pt idx="21">
                  <c:v>0.20092950527733144</c:v>
                </c:pt>
              </c:numCache>
            </c:numRef>
          </c:val>
          <c:smooth val="0"/>
          <c:extLst>
            <c:ext xmlns:c16="http://schemas.microsoft.com/office/drawing/2014/chart" uri="{C3380CC4-5D6E-409C-BE32-E72D297353CC}">
              <c16:uniqueId val="{00000002-E430-432E-A909-8D954CE5D7C4}"/>
            </c:ext>
          </c:extLst>
        </c:ser>
        <c:dLbls>
          <c:showLegendKey val="0"/>
          <c:showVal val="0"/>
          <c:showCatName val="0"/>
          <c:showSerName val="0"/>
          <c:showPercent val="0"/>
          <c:showBubbleSize val="0"/>
        </c:dLbls>
        <c:smooth val="0"/>
        <c:axId val="579473320"/>
        <c:axId val="579473976"/>
      </c:lineChart>
      <c:dateAx>
        <c:axId val="579473320"/>
        <c:scaling>
          <c:orientation val="minMax"/>
        </c:scaling>
        <c:delete val="0"/>
        <c:axPos val="b"/>
        <c:numFmt formatCode="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9473976"/>
        <c:crosses val="autoZero"/>
        <c:auto val="1"/>
        <c:lblOffset val="100"/>
        <c:baseTimeUnit val="months"/>
      </c:dateAx>
      <c:valAx>
        <c:axId val="5794739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94733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'Foglio1 (2)'!$B$1</c:f>
              <c:strCache>
                <c:ptCount val="1"/>
                <c:pt idx="0">
                  <c:v>100basis Vanguard</c:v>
                </c:pt>
              </c:strCache>
            </c:strRef>
          </c:tx>
          <c:spPr>
            <a:ln w="28575" cap="rnd">
              <a:solidFill>
                <a:schemeClr val="accent1"/>
              </a:solidFill>
              <a:round/>
            </a:ln>
            <a:effectLst/>
          </c:spPr>
          <c:marker>
            <c:symbol val="none"/>
          </c:marker>
          <c:cat>
            <c:numRef>
              <c:f>'Foglio1 (2)'!$A$2:$A$67</c:f>
              <c:numCache>
                <c:formatCode>mmm\-yy</c:formatCode>
                <c:ptCount val="66"/>
                <c:pt idx="0">
                  <c:v>44362</c:v>
                </c:pt>
                <c:pt idx="1">
                  <c:v>44270</c:v>
                </c:pt>
                <c:pt idx="2">
                  <c:v>44180</c:v>
                </c:pt>
                <c:pt idx="3">
                  <c:v>44089</c:v>
                </c:pt>
                <c:pt idx="4">
                  <c:v>43997</c:v>
                </c:pt>
                <c:pt idx="5">
                  <c:v>43905</c:v>
                </c:pt>
                <c:pt idx="6">
                  <c:v>43814</c:v>
                </c:pt>
                <c:pt idx="7">
                  <c:v>43723</c:v>
                </c:pt>
                <c:pt idx="8">
                  <c:v>43631</c:v>
                </c:pt>
                <c:pt idx="9">
                  <c:v>43539</c:v>
                </c:pt>
                <c:pt idx="10">
                  <c:v>43449</c:v>
                </c:pt>
                <c:pt idx="11">
                  <c:v>43358</c:v>
                </c:pt>
                <c:pt idx="12">
                  <c:v>43266</c:v>
                </c:pt>
                <c:pt idx="13">
                  <c:v>43174</c:v>
                </c:pt>
                <c:pt idx="14">
                  <c:v>43084</c:v>
                </c:pt>
                <c:pt idx="15">
                  <c:v>42993</c:v>
                </c:pt>
                <c:pt idx="16">
                  <c:v>42901</c:v>
                </c:pt>
                <c:pt idx="17">
                  <c:v>42809</c:v>
                </c:pt>
                <c:pt idx="18">
                  <c:v>42719</c:v>
                </c:pt>
                <c:pt idx="19">
                  <c:v>42628</c:v>
                </c:pt>
                <c:pt idx="20">
                  <c:v>42536</c:v>
                </c:pt>
                <c:pt idx="21">
                  <c:v>42444</c:v>
                </c:pt>
                <c:pt idx="22">
                  <c:v>42353</c:v>
                </c:pt>
                <c:pt idx="23">
                  <c:v>42262</c:v>
                </c:pt>
                <c:pt idx="24">
                  <c:v>42170</c:v>
                </c:pt>
                <c:pt idx="25">
                  <c:v>42078</c:v>
                </c:pt>
                <c:pt idx="26">
                  <c:v>41988</c:v>
                </c:pt>
                <c:pt idx="27">
                  <c:v>41897</c:v>
                </c:pt>
                <c:pt idx="28">
                  <c:v>41805</c:v>
                </c:pt>
                <c:pt idx="29">
                  <c:v>41713</c:v>
                </c:pt>
                <c:pt idx="30">
                  <c:v>41623</c:v>
                </c:pt>
                <c:pt idx="31">
                  <c:v>41532</c:v>
                </c:pt>
                <c:pt idx="32">
                  <c:v>41440</c:v>
                </c:pt>
                <c:pt idx="33">
                  <c:v>41348</c:v>
                </c:pt>
                <c:pt idx="34">
                  <c:v>41258</c:v>
                </c:pt>
                <c:pt idx="35">
                  <c:v>41167</c:v>
                </c:pt>
                <c:pt idx="36">
                  <c:v>41075</c:v>
                </c:pt>
                <c:pt idx="37">
                  <c:v>40983</c:v>
                </c:pt>
                <c:pt idx="38">
                  <c:v>40892</c:v>
                </c:pt>
                <c:pt idx="39">
                  <c:v>40801</c:v>
                </c:pt>
                <c:pt idx="40">
                  <c:v>40709</c:v>
                </c:pt>
                <c:pt idx="41">
                  <c:v>40617</c:v>
                </c:pt>
                <c:pt idx="42">
                  <c:v>40527</c:v>
                </c:pt>
                <c:pt idx="43">
                  <c:v>40436</c:v>
                </c:pt>
                <c:pt idx="44">
                  <c:v>40344</c:v>
                </c:pt>
                <c:pt idx="45">
                  <c:v>40252</c:v>
                </c:pt>
                <c:pt idx="46">
                  <c:v>40162</c:v>
                </c:pt>
                <c:pt idx="47">
                  <c:v>40071</c:v>
                </c:pt>
                <c:pt idx="48">
                  <c:v>39979</c:v>
                </c:pt>
                <c:pt idx="49">
                  <c:v>39887</c:v>
                </c:pt>
                <c:pt idx="50">
                  <c:v>39797</c:v>
                </c:pt>
                <c:pt idx="51">
                  <c:v>39706</c:v>
                </c:pt>
                <c:pt idx="52">
                  <c:v>39614</c:v>
                </c:pt>
                <c:pt idx="53">
                  <c:v>39522</c:v>
                </c:pt>
                <c:pt idx="54">
                  <c:v>39431</c:v>
                </c:pt>
                <c:pt idx="55">
                  <c:v>39340</c:v>
                </c:pt>
                <c:pt idx="56">
                  <c:v>39248</c:v>
                </c:pt>
                <c:pt idx="57">
                  <c:v>39156</c:v>
                </c:pt>
                <c:pt idx="58">
                  <c:v>39066</c:v>
                </c:pt>
                <c:pt idx="59">
                  <c:v>38975</c:v>
                </c:pt>
                <c:pt idx="60">
                  <c:v>38883</c:v>
                </c:pt>
                <c:pt idx="61">
                  <c:v>38791</c:v>
                </c:pt>
                <c:pt idx="62">
                  <c:v>38701</c:v>
                </c:pt>
                <c:pt idx="63">
                  <c:v>38610</c:v>
                </c:pt>
                <c:pt idx="64">
                  <c:v>38518</c:v>
                </c:pt>
                <c:pt idx="65">
                  <c:v>38426</c:v>
                </c:pt>
              </c:numCache>
            </c:numRef>
          </c:cat>
          <c:val>
            <c:numRef>
              <c:f>'Foglio1 (2)'!$B$2:$B$67</c:f>
              <c:numCache>
                <c:formatCode>General</c:formatCode>
                <c:ptCount val="66"/>
                <c:pt idx="0">
                  <c:v>0.90796626054358009</c:v>
                </c:pt>
                <c:pt idx="1">
                  <c:v>0.7218369259606372</c:v>
                </c:pt>
                <c:pt idx="2">
                  <c:v>0.59194001874414259</c:v>
                </c:pt>
                <c:pt idx="3">
                  <c:v>0.48003748828491077</c:v>
                </c:pt>
                <c:pt idx="4">
                  <c:v>0.4719775070290535</c:v>
                </c:pt>
                <c:pt idx="5">
                  <c:v>0.30927835051546371</c:v>
                </c:pt>
                <c:pt idx="6">
                  <c:v>0.73926897844423634</c:v>
                </c:pt>
                <c:pt idx="7">
                  <c:v>0.74789128397375815</c:v>
                </c:pt>
                <c:pt idx="8">
                  <c:v>0.6382380506091847</c:v>
                </c:pt>
                <c:pt idx="9">
                  <c:v>0.62905342080599791</c:v>
                </c:pt>
                <c:pt idx="10">
                  <c:v>0.39775070290534198</c:v>
                </c:pt>
                <c:pt idx="11">
                  <c:v>0.5122774133083412</c:v>
                </c:pt>
                <c:pt idx="12">
                  <c:v>0.5267104029990628</c:v>
                </c:pt>
                <c:pt idx="13">
                  <c:v>0.41462043111527636</c:v>
                </c:pt>
                <c:pt idx="14">
                  <c:v>0.55538894095595137</c:v>
                </c:pt>
                <c:pt idx="15">
                  <c:v>0.55745079662605446</c:v>
                </c:pt>
                <c:pt idx="16">
                  <c:v>0.56007497656982186</c:v>
                </c:pt>
                <c:pt idx="17">
                  <c:v>0.54807872539831304</c:v>
                </c:pt>
                <c:pt idx="18">
                  <c:v>0.54695407685098396</c:v>
                </c:pt>
                <c:pt idx="19">
                  <c:v>0.62586691658856597</c:v>
                </c:pt>
                <c:pt idx="20">
                  <c:v>0.6620431115276475</c:v>
                </c:pt>
                <c:pt idx="21">
                  <c:v>0.57075913776944698</c:v>
                </c:pt>
                <c:pt idx="22">
                  <c:v>0.49447047797563259</c:v>
                </c:pt>
                <c:pt idx="23">
                  <c:v>0.41593252108716028</c:v>
                </c:pt>
                <c:pt idx="24">
                  <c:v>0.39999999999999991</c:v>
                </c:pt>
                <c:pt idx="25">
                  <c:v>0.58031865042174324</c:v>
                </c:pt>
                <c:pt idx="26">
                  <c:v>0.51827553889409561</c:v>
                </c:pt>
                <c:pt idx="27">
                  <c:v>0.34676663542642916</c:v>
                </c:pt>
                <c:pt idx="28">
                  <c:v>0.40281162136832238</c:v>
                </c:pt>
                <c:pt idx="29">
                  <c:v>0.32371134020618553</c:v>
                </c:pt>
                <c:pt idx="30">
                  <c:v>0.21012183692596054</c:v>
                </c:pt>
                <c:pt idx="31">
                  <c:v>0.23973758200562312</c:v>
                </c:pt>
                <c:pt idx="32">
                  <c:v>0.28809746954076854</c:v>
                </c:pt>
                <c:pt idx="33">
                  <c:v>0.32202436738519213</c:v>
                </c:pt>
                <c:pt idx="34">
                  <c:v>0.23336457357075902</c:v>
                </c:pt>
                <c:pt idx="35">
                  <c:v>0.21780693533270856</c:v>
                </c:pt>
                <c:pt idx="36">
                  <c:v>0.2264292408622306</c:v>
                </c:pt>
                <c:pt idx="37">
                  <c:v>0.19306466729147131</c:v>
                </c:pt>
                <c:pt idx="38">
                  <c:v>8.716026241799435E-2</c:v>
                </c:pt>
                <c:pt idx="39">
                  <c:v>-4.6485473289597068E-2</c:v>
                </c:pt>
                <c:pt idx="40">
                  <c:v>0.12652296157450804</c:v>
                </c:pt>
                <c:pt idx="41">
                  <c:v>9.597000937207123E-2</c:v>
                </c:pt>
                <c:pt idx="42">
                  <c:v>3.7863167760074923E-2</c:v>
                </c:pt>
                <c:pt idx="43">
                  <c:v>-2.3805060918463017E-2</c:v>
                </c:pt>
                <c:pt idx="44">
                  <c:v>-0.12858481724461102</c:v>
                </c:pt>
                <c:pt idx="45">
                  <c:v>-8.5098406747891264E-2</c:v>
                </c:pt>
                <c:pt idx="46">
                  <c:v>-0.16138706654170565</c:v>
                </c:pt>
                <c:pt idx="47">
                  <c:v>-0.22305529522024359</c:v>
                </c:pt>
                <c:pt idx="48">
                  <c:v>-0.41874414245548264</c:v>
                </c:pt>
                <c:pt idx="49">
                  <c:v>-0.54489222118088099</c:v>
                </c:pt>
                <c:pt idx="50">
                  <c:v>-0.316776007497657</c:v>
                </c:pt>
                <c:pt idx="51">
                  <c:v>0.13964386129334572</c:v>
                </c:pt>
                <c:pt idx="52">
                  <c:v>9.5032802249296999E-2</c:v>
                </c:pt>
                <c:pt idx="53">
                  <c:v>0.16944704779756314</c:v>
                </c:pt>
                <c:pt idx="54">
                  <c:v>0.15201499531396445</c:v>
                </c:pt>
                <c:pt idx="55">
                  <c:v>0.33945641986879083</c:v>
                </c:pt>
                <c:pt idx="56">
                  <c:v>0.32989690721649478</c:v>
                </c:pt>
                <c:pt idx="57">
                  <c:v>0.48734770384254911</c:v>
                </c:pt>
                <c:pt idx="58">
                  <c:v>0.44329896907216493</c:v>
                </c:pt>
                <c:pt idx="59">
                  <c:v>0.34751640112464854</c:v>
                </c:pt>
                <c:pt idx="60">
                  <c:v>0.24273664479850043</c:v>
                </c:pt>
                <c:pt idx="61">
                  <c:v>0.2731021555763824</c:v>
                </c:pt>
                <c:pt idx="62">
                  <c:v>0.11640112464854724</c:v>
                </c:pt>
                <c:pt idx="63">
                  <c:v>0.13308341143392699</c:v>
                </c:pt>
                <c:pt idx="64">
                  <c:v>0.10028116213683225</c:v>
                </c:pt>
                <c:pt idx="65">
                  <c:v>-2.8678537956888461E-2</c:v>
                </c:pt>
              </c:numCache>
            </c:numRef>
          </c:val>
          <c:smooth val="0"/>
          <c:extLst>
            <c:ext xmlns:c16="http://schemas.microsoft.com/office/drawing/2014/chart" uri="{C3380CC4-5D6E-409C-BE32-E72D297353CC}">
              <c16:uniqueId val="{00000000-B9B8-4948-BB47-0D95C9DF9407}"/>
            </c:ext>
          </c:extLst>
        </c:ser>
        <c:ser>
          <c:idx val="1"/>
          <c:order val="1"/>
          <c:tx>
            <c:strRef>
              <c:f>'Foglio1 (2)'!$C$1</c:f>
              <c:strCache>
                <c:ptCount val="1"/>
                <c:pt idx="0">
                  <c:v>100basis S&amp;P 500</c:v>
                </c:pt>
              </c:strCache>
            </c:strRef>
          </c:tx>
          <c:spPr>
            <a:ln w="28575" cap="rnd">
              <a:solidFill>
                <a:schemeClr val="accent2"/>
              </a:solidFill>
              <a:round/>
            </a:ln>
            <a:effectLst/>
          </c:spPr>
          <c:marker>
            <c:symbol val="none"/>
          </c:marker>
          <c:cat>
            <c:numRef>
              <c:f>'Foglio1 (2)'!$A$2:$A$67</c:f>
              <c:numCache>
                <c:formatCode>mmm\-yy</c:formatCode>
                <c:ptCount val="66"/>
                <c:pt idx="0">
                  <c:v>44362</c:v>
                </c:pt>
                <c:pt idx="1">
                  <c:v>44270</c:v>
                </c:pt>
                <c:pt idx="2">
                  <c:v>44180</c:v>
                </c:pt>
                <c:pt idx="3">
                  <c:v>44089</c:v>
                </c:pt>
                <c:pt idx="4">
                  <c:v>43997</c:v>
                </c:pt>
                <c:pt idx="5">
                  <c:v>43905</c:v>
                </c:pt>
                <c:pt idx="6">
                  <c:v>43814</c:v>
                </c:pt>
                <c:pt idx="7">
                  <c:v>43723</c:v>
                </c:pt>
                <c:pt idx="8">
                  <c:v>43631</c:v>
                </c:pt>
                <c:pt idx="9">
                  <c:v>43539</c:v>
                </c:pt>
                <c:pt idx="10">
                  <c:v>43449</c:v>
                </c:pt>
                <c:pt idx="11">
                  <c:v>43358</c:v>
                </c:pt>
                <c:pt idx="12">
                  <c:v>43266</c:v>
                </c:pt>
                <c:pt idx="13">
                  <c:v>43174</c:v>
                </c:pt>
                <c:pt idx="14">
                  <c:v>43084</c:v>
                </c:pt>
                <c:pt idx="15">
                  <c:v>42993</c:v>
                </c:pt>
                <c:pt idx="16">
                  <c:v>42901</c:v>
                </c:pt>
                <c:pt idx="17">
                  <c:v>42809</c:v>
                </c:pt>
                <c:pt idx="18">
                  <c:v>42719</c:v>
                </c:pt>
                <c:pt idx="19">
                  <c:v>42628</c:v>
                </c:pt>
                <c:pt idx="20">
                  <c:v>42536</c:v>
                </c:pt>
                <c:pt idx="21">
                  <c:v>42444</c:v>
                </c:pt>
                <c:pt idx="22">
                  <c:v>42353</c:v>
                </c:pt>
                <c:pt idx="23">
                  <c:v>42262</c:v>
                </c:pt>
                <c:pt idx="24">
                  <c:v>42170</c:v>
                </c:pt>
                <c:pt idx="25">
                  <c:v>42078</c:v>
                </c:pt>
                <c:pt idx="26">
                  <c:v>41988</c:v>
                </c:pt>
                <c:pt idx="27">
                  <c:v>41897</c:v>
                </c:pt>
                <c:pt idx="28">
                  <c:v>41805</c:v>
                </c:pt>
                <c:pt idx="29">
                  <c:v>41713</c:v>
                </c:pt>
                <c:pt idx="30">
                  <c:v>41623</c:v>
                </c:pt>
                <c:pt idx="31">
                  <c:v>41532</c:v>
                </c:pt>
                <c:pt idx="32">
                  <c:v>41440</c:v>
                </c:pt>
                <c:pt idx="33">
                  <c:v>41348</c:v>
                </c:pt>
                <c:pt idx="34">
                  <c:v>41258</c:v>
                </c:pt>
                <c:pt idx="35">
                  <c:v>41167</c:v>
                </c:pt>
                <c:pt idx="36">
                  <c:v>41075</c:v>
                </c:pt>
                <c:pt idx="37">
                  <c:v>40983</c:v>
                </c:pt>
                <c:pt idx="38">
                  <c:v>40892</c:v>
                </c:pt>
                <c:pt idx="39">
                  <c:v>40801</c:v>
                </c:pt>
                <c:pt idx="40">
                  <c:v>40709</c:v>
                </c:pt>
                <c:pt idx="41">
                  <c:v>40617</c:v>
                </c:pt>
                <c:pt idx="42">
                  <c:v>40527</c:v>
                </c:pt>
                <c:pt idx="43">
                  <c:v>40436</c:v>
                </c:pt>
                <c:pt idx="44">
                  <c:v>40344</c:v>
                </c:pt>
                <c:pt idx="45">
                  <c:v>40252</c:v>
                </c:pt>
                <c:pt idx="46">
                  <c:v>40162</c:v>
                </c:pt>
                <c:pt idx="47">
                  <c:v>40071</c:v>
                </c:pt>
                <c:pt idx="48">
                  <c:v>39979</c:v>
                </c:pt>
                <c:pt idx="49">
                  <c:v>39887</c:v>
                </c:pt>
                <c:pt idx="50">
                  <c:v>39797</c:v>
                </c:pt>
                <c:pt idx="51">
                  <c:v>39706</c:v>
                </c:pt>
                <c:pt idx="52">
                  <c:v>39614</c:v>
                </c:pt>
                <c:pt idx="53">
                  <c:v>39522</c:v>
                </c:pt>
                <c:pt idx="54">
                  <c:v>39431</c:v>
                </c:pt>
                <c:pt idx="55">
                  <c:v>39340</c:v>
                </c:pt>
                <c:pt idx="56">
                  <c:v>39248</c:v>
                </c:pt>
                <c:pt idx="57">
                  <c:v>39156</c:v>
                </c:pt>
                <c:pt idx="58">
                  <c:v>39066</c:v>
                </c:pt>
                <c:pt idx="59">
                  <c:v>38975</c:v>
                </c:pt>
                <c:pt idx="60">
                  <c:v>38883</c:v>
                </c:pt>
                <c:pt idx="61">
                  <c:v>38791</c:v>
                </c:pt>
                <c:pt idx="62">
                  <c:v>38701</c:v>
                </c:pt>
                <c:pt idx="63">
                  <c:v>38610</c:v>
                </c:pt>
                <c:pt idx="64">
                  <c:v>38518</c:v>
                </c:pt>
                <c:pt idx="65">
                  <c:v>38426</c:v>
                </c:pt>
              </c:numCache>
            </c:numRef>
          </c:cat>
          <c:val>
            <c:numRef>
              <c:f>'Foglio1 (2)'!$C$2:$C$67</c:f>
              <c:numCache>
                <c:formatCode>General</c:formatCode>
                <c:ptCount val="66"/>
                <c:pt idx="0">
                  <c:v>2.5705383848454639</c:v>
                </c:pt>
                <c:pt idx="1">
                  <c:v>2.3008391492190099</c:v>
                </c:pt>
                <c:pt idx="2">
                  <c:v>2.120696244599535</c:v>
                </c:pt>
                <c:pt idx="3">
                  <c:v>1.7941176470588238</c:v>
                </c:pt>
                <c:pt idx="4">
                  <c:v>1.5758474576271189</c:v>
                </c:pt>
                <c:pt idx="5">
                  <c:v>1.1473828514456632</c:v>
                </c:pt>
                <c:pt idx="6">
                  <c:v>1.6842638750415424</c:v>
                </c:pt>
                <c:pt idx="7">
                  <c:v>1.4731970754403458</c:v>
                </c:pt>
                <c:pt idx="8">
                  <c:v>1.4441342638750418</c:v>
                </c:pt>
                <c:pt idx="9">
                  <c:v>1.35493519441675</c:v>
                </c:pt>
                <c:pt idx="10">
                  <c:v>1.0827932868062482</c:v>
                </c:pt>
                <c:pt idx="11">
                  <c:v>1.4210535061482221</c:v>
                </c:pt>
                <c:pt idx="12">
                  <c:v>1.2585327351279494</c:v>
                </c:pt>
                <c:pt idx="13">
                  <c:v>1.1941425722831505</c:v>
                </c:pt>
                <c:pt idx="14">
                  <c:v>1.2213443004320377</c:v>
                </c:pt>
                <c:pt idx="15">
                  <c:v>1.0931871053506153</c:v>
                </c:pt>
                <c:pt idx="16">
                  <c:v>1.0134679295446993</c:v>
                </c:pt>
                <c:pt idx="17">
                  <c:v>0.96304420073113994</c:v>
                </c:pt>
                <c:pt idx="18">
                  <c:v>0.86011133266866069</c:v>
                </c:pt>
                <c:pt idx="19">
                  <c:v>0.80148720505151227</c:v>
                </c:pt>
                <c:pt idx="20">
                  <c:v>0.74381854436689965</c:v>
                </c:pt>
                <c:pt idx="21">
                  <c:v>0.71131605184446656</c:v>
                </c:pt>
                <c:pt idx="22">
                  <c:v>0.69818876703223687</c:v>
                </c:pt>
                <c:pt idx="23">
                  <c:v>0.5952392821535395</c:v>
                </c:pt>
                <c:pt idx="24">
                  <c:v>0.71411598537720189</c:v>
                </c:pt>
                <c:pt idx="25">
                  <c:v>0.71808740445330677</c:v>
                </c:pt>
                <c:pt idx="26">
                  <c:v>0.71061814556331027</c:v>
                </c:pt>
                <c:pt idx="27">
                  <c:v>0.63865902293120658</c:v>
                </c:pt>
                <c:pt idx="28">
                  <c:v>0.62863908275174496</c:v>
                </c:pt>
                <c:pt idx="29">
                  <c:v>0.55561648388168838</c:v>
                </c:pt>
                <c:pt idx="30">
                  <c:v>0.53569292123629109</c:v>
                </c:pt>
                <c:pt idx="31">
                  <c:v>0.39710036556995676</c:v>
                </c:pt>
                <c:pt idx="32">
                  <c:v>0.33456297773346644</c:v>
                </c:pt>
                <c:pt idx="33">
                  <c:v>0.30374709205716188</c:v>
                </c:pt>
                <c:pt idx="34">
                  <c:v>0.18493685609837174</c:v>
                </c:pt>
                <c:pt idx="35">
                  <c:v>0.19696743104021275</c:v>
                </c:pt>
                <c:pt idx="36">
                  <c:v>0.13173811897640419</c:v>
                </c:pt>
                <c:pt idx="37">
                  <c:v>0.1702143569292125</c:v>
                </c:pt>
                <c:pt idx="38">
                  <c:v>4.4865403788634017E-2</c:v>
                </c:pt>
                <c:pt idx="39">
                  <c:v>-5.9970089730807419E-2</c:v>
                </c:pt>
                <c:pt idx="40">
                  <c:v>9.7241608507810051E-2</c:v>
                </c:pt>
                <c:pt idx="41">
                  <c:v>0.10155367231638412</c:v>
                </c:pt>
                <c:pt idx="42">
                  <c:v>4.4898637421070253E-2</c:v>
                </c:pt>
                <c:pt idx="43">
                  <c:v>-5.1844466600199257E-2</c:v>
                </c:pt>
                <c:pt idx="44">
                  <c:v>-0.1436440677966101</c:v>
                </c:pt>
                <c:pt idx="45">
                  <c:v>-2.8389830508474434E-2</c:v>
                </c:pt>
                <c:pt idx="46">
                  <c:v>-7.3529411764705843E-2</c:v>
                </c:pt>
                <c:pt idx="47">
                  <c:v>-0.12173479561316047</c:v>
                </c:pt>
                <c:pt idx="48">
                  <c:v>-0.23619142572283136</c:v>
                </c:pt>
                <c:pt idx="49">
                  <c:v>-0.3370970422067131</c:v>
                </c:pt>
                <c:pt idx="50">
                  <c:v>-0.24954303755400464</c:v>
                </c:pt>
                <c:pt idx="51">
                  <c:v>-3.0940511797939552E-2</c:v>
                </c:pt>
                <c:pt idx="52">
                  <c:v>6.3476237952808212E-2</c:v>
                </c:pt>
                <c:pt idx="53">
                  <c:v>9.895314057826532E-2</c:v>
                </c:pt>
                <c:pt idx="54">
                  <c:v>0.21997341309405116</c:v>
                </c:pt>
                <c:pt idx="55">
                  <c:v>0.2684862080425392</c:v>
                </c:pt>
                <c:pt idx="56">
                  <c:v>0.24904453306746421</c:v>
                </c:pt>
                <c:pt idx="57">
                  <c:v>0.18050847457627128</c:v>
                </c:pt>
                <c:pt idx="58">
                  <c:v>0.17838152210036573</c:v>
                </c:pt>
                <c:pt idx="59">
                  <c:v>0.10987869724160859</c:v>
                </c:pt>
                <c:pt idx="60">
                  <c:v>5.5333998005982155E-2</c:v>
                </c:pt>
                <c:pt idx="61">
                  <c:v>7.5797607178464732E-2</c:v>
                </c:pt>
                <c:pt idx="62">
                  <c:v>3.7130275839149185E-2</c:v>
                </c:pt>
                <c:pt idx="63">
                  <c:v>2.0945496842804889E-2</c:v>
                </c:pt>
                <c:pt idx="64">
                  <c:v>-1.0194416749750745E-2</c:v>
                </c:pt>
                <c:pt idx="65">
                  <c:v>-1.9117647058823573E-2</c:v>
                </c:pt>
              </c:numCache>
            </c:numRef>
          </c:val>
          <c:smooth val="0"/>
          <c:extLst>
            <c:ext xmlns:c16="http://schemas.microsoft.com/office/drawing/2014/chart" uri="{C3380CC4-5D6E-409C-BE32-E72D297353CC}">
              <c16:uniqueId val="{00000001-B9B8-4948-BB47-0D95C9DF9407}"/>
            </c:ext>
          </c:extLst>
        </c:ser>
        <c:ser>
          <c:idx val="2"/>
          <c:order val="2"/>
          <c:tx>
            <c:strRef>
              <c:f>'Foglio1 (2)'!#REF!</c:f>
              <c:strCache>
                <c:ptCount val="1"/>
                <c:pt idx="0">
                  <c:v>#REF!</c:v>
                </c:pt>
              </c:strCache>
            </c:strRef>
          </c:tx>
          <c:spPr>
            <a:ln w="28575" cap="rnd">
              <a:solidFill>
                <a:schemeClr val="accent3"/>
              </a:solidFill>
              <a:round/>
            </a:ln>
            <a:effectLst/>
          </c:spPr>
          <c:marker>
            <c:symbol val="none"/>
          </c:marker>
          <c:cat>
            <c:numRef>
              <c:f>'Foglio1 (2)'!$A$2:$A$67</c:f>
              <c:numCache>
                <c:formatCode>mmm\-yy</c:formatCode>
                <c:ptCount val="66"/>
                <c:pt idx="0">
                  <c:v>44362</c:v>
                </c:pt>
                <c:pt idx="1">
                  <c:v>44270</c:v>
                </c:pt>
                <c:pt idx="2">
                  <c:v>44180</c:v>
                </c:pt>
                <c:pt idx="3">
                  <c:v>44089</c:v>
                </c:pt>
                <c:pt idx="4">
                  <c:v>43997</c:v>
                </c:pt>
                <c:pt idx="5">
                  <c:v>43905</c:v>
                </c:pt>
                <c:pt idx="6">
                  <c:v>43814</c:v>
                </c:pt>
                <c:pt idx="7">
                  <c:v>43723</c:v>
                </c:pt>
                <c:pt idx="8">
                  <c:v>43631</c:v>
                </c:pt>
                <c:pt idx="9">
                  <c:v>43539</c:v>
                </c:pt>
                <c:pt idx="10">
                  <c:v>43449</c:v>
                </c:pt>
                <c:pt idx="11">
                  <c:v>43358</c:v>
                </c:pt>
                <c:pt idx="12">
                  <c:v>43266</c:v>
                </c:pt>
                <c:pt idx="13">
                  <c:v>43174</c:v>
                </c:pt>
                <c:pt idx="14">
                  <c:v>43084</c:v>
                </c:pt>
                <c:pt idx="15">
                  <c:v>42993</c:v>
                </c:pt>
                <c:pt idx="16">
                  <c:v>42901</c:v>
                </c:pt>
                <c:pt idx="17">
                  <c:v>42809</c:v>
                </c:pt>
                <c:pt idx="18">
                  <c:v>42719</c:v>
                </c:pt>
                <c:pt idx="19">
                  <c:v>42628</c:v>
                </c:pt>
                <c:pt idx="20">
                  <c:v>42536</c:v>
                </c:pt>
                <c:pt idx="21">
                  <c:v>42444</c:v>
                </c:pt>
                <c:pt idx="22">
                  <c:v>42353</c:v>
                </c:pt>
                <c:pt idx="23">
                  <c:v>42262</c:v>
                </c:pt>
                <c:pt idx="24">
                  <c:v>42170</c:v>
                </c:pt>
                <c:pt idx="25">
                  <c:v>42078</c:v>
                </c:pt>
                <c:pt idx="26">
                  <c:v>41988</c:v>
                </c:pt>
                <c:pt idx="27">
                  <c:v>41897</c:v>
                </c:pt>
                <c:pt idx="28">
                  <c:v>41805</c:v>
                </c:pt>
                <c:pt idx="29">
                  <c:v>41713</c:v>
                </c:pt>
                <c:pt idx="30">
                  <c:v>41623</c:v>
                </c:pt>
                <c:pt idx="31">
                  <c:v>41532</c:v>
                </c:pt>
                <c:pt idx="32">
                  <c:v>41440</c:v>
                </c:pt>
                <c:pt idx="33">
                  <c:v>41348</c:v>
                </c:pt>
                <c:pt idx="34">
                  <c:v>41258</c:v>
                </c:pt>
                <c:pt idx="35">
                  <c:v>41167</c:v>
                </c:pt>
                <c:pt idx="36">
                  <c:v>41075</c:v>
                </c:pt>
                <c:pt idx="37">
                  <c:v>40983</c:v>
                </c:pt>
                <c:pt idx="38">
                  <c:v>40892</c:v>
                </c:pt>
                <c:pt idx="39">
                  <c:v>40801</c:v>
                </c:pt>
                <c:pt idx="40">
                  <c:v>40709</c:v>
                </c:pt>
                <c:pt idx="41">
                  <c:v>40617</c:v>
                </c:pt>
                <c:pt idx="42">
                  <c:v>40527</c:v>
                </c:pt>
                <c:pt idx="43">
                  <c:v>40436</c:v>
                </c:pt>
                <c:pt idx="44">
                  <c:v>40344</c:v>
                </c:pt>
                <c:pt idx="45">
                  <c:v>40252</c:v>
                </c:pt>
                <c:pt idx="46">
                  <c:v>40162</c:v>
                </c:pt>
                <c:pt idx="47">
                  <c:v>40071</c:v>
                </c:pt>
                <c:pt idx="48">
                  <c:v>39979</c:v>
                </c:pt>
                <c:pt idx="49">
                  <c:v>39887</c:v>
                </c:pt>
                <c:pt idx="50">
                  <c:v>39797</c:v>
                </c:pt>
                <c:pt idx="51">
                  <c:v>39706</c:v>
                </c:pt>
                <c:pt idx="52">
                  <c:v>39614</c:v>
                </c:pt>
                <c:pt idx="53">
                  <c:v>39522</c:v>
                </c:pt>
                <c:pt idx="54">
                  <c:v>39431</c:v>
                </c:pt>
                <c:pt idx="55">
                  <c:v>39340</c:v>
                </c:pt>
                <c:pt idx="56">
                  <c:v>39248</c:v>
                </c:pt>
                <c:pt idx="57">
                  <c:v>39156</c:v>
                </c:pt>
                <c:pt idx="58">
                  <c:v>39066</c:v>
                </c:pt>
                <c:pt idx="59">
                  <c:v>38975</c:v>
                </c:pt>
                <c:pt idx="60">
                  <c:v>38883</c:v>
                </c:pt>
                <c:pt idx="61">
                  <c:v>38791</c:v>
                </c:pt>
                <c:pt idx="62">
                  <c:v>38701</c:v>
                </c:pt>
                <c:pt idx="63">
                  <c:v>38610</c:v>
                </c:pt>
                <c:pt idx="64">
                  <c:v>38518</c:v>
                </c:pt>
                <c:pt idx="65">
                  <c:v>38426</c:v>
                </c:pt>
              </c:numCache>
            </c:numRef>
          </c:cat>
          <c:val>
            <c:numRef>
              <c:f>'Foglio1 (2)'!#REF!</c:f>
              <c:numCache>
                <c:formatCode>General</c:formatCode>
                <c:ptCount val="1"/>
                <c:pt idx="0">
                  <c:v>1</c:v>
                </c:pt>
              </c:numCache>
            </c:numRef>
          </c:val>
          <c:smooth val="0"/>
          <c:extLst>
            <c:ext xmlns:c16="http://schemas.microsoft.com/office/drawing/2014/chart" uri="{C3380CC4-5D6E-409C-BE32-E72D297353CC}">
              <c16:uniqueId val="{00000002-B9B8-4948-BB47-0D95C9DF9407}"/>
            </c:ext>
          </c:extLst>
        </c:ser>
        <c:ser>
          <c:idx val="3"/>
          <c:order val="3"/>
          <c:tx>
            <c:strRef>
              <c:f>'Foglio1 (2)'!$D$1</c:f>
              <c:strCache>
                <c:ptCount val="1"/>
                <c:pt idx="0">
                  <c:v>100basis Price Index</c:v>
                </c:pt>
              </c:strCache>
            </c:strRef>
          </c:tx>
          <c:spPr>
            <a:ln w="28575" cap="rnd">
              <a:solidFill>
                <a:schemeClr val="accent4"/>
              </a:solidFill>
              <a:round/>
            </a:ln>
            <a:effectLst/>
          </c:spPr>
          <c:marker>
            <c:symbol val="none"/>
          </c:marker>
          <c:cat>
            <c:numRef>
              <c:f>'Foglio1 (2)'!$A$2:$A$67</c:f>
              <c:numCache>
                <c:formatCode>mmm\-yy</c:formatCode>
                <c:ptCount val="66"/>
                <c:pt idx="0">
                  <c:v>44362</c:v>
                </c:pt>
                <c:pt idx="1">
                  <c:v>44270</c:v>
                </c:pt>
                <c:pt idx="2">
                  <c:v>44180</c:v>
                </c:pt>
                <c:pt idx="3">
                  <c:v>44089</c:v>
                </c:pt>
                <c:pt idx="4">
                  <c:v>43997</c:v>
                </c:pt>
                <c:pt idx="5">
                  <c:v>43905</c:v>
                </c:pt>
                <c:pt idx="6">
                  <c:v>43814</c:v>
                </c:pt>
                <c:pt idx="7">
                  <c:v>43723</c:v>
                </c:pt>
                <c:pt idx="8">
                  <c:v>43631</c:v>
                </c:pt>
                <c:pt idx="9">
                  <c:v>43539</c:v>
                </c:pt>
                <c:pt idx="10">
                  <c:v>43449</c:v>
                </c:pt>
                <c:pt idx="11">
                  <c:v>43358</c:v>
                </c:pt>
                <c:pt idx="12">
                  <c:v>43266</c:v>
                </c:pt>
                <c:pt idx="13">
                  <c:v>43174</c:v>
                </c:pt>
                <c:pt idx="14">
                  <c:v>43084</c:v>
                </c:pt>
                <c:pt idx="15">
                  <c:v>42993</c:v>
                </c:pt>
                <c:pt idx="16">
                  <c:v>42901</c:v>
                </c:pt>
                <c:pt idx="17">
                  <c:v>42809</c:v>
                </c:pt>
                <c:pt idx="18">
                  <c:v>42719</c:v>
                </c:pt>
                <c:pt idx="19">
                  <c:v>42628</c:v>
                </c:pt>
                <c:pt idx="20">
                  <c:v>42536</c:v>
                </c:pt>
                <c:pt idx="21">
                  <c:v>42444</c:v>
                </c:pt>
                <c:pt idx="22">
                  <c:v>42353</c:v>
                </c:pt>
                <c:pt idx="23">
                  <c:v>42262</c:v>
                </c:pt>
                <c:pt idx="24">
                  <c:v>42170</c:v>
                </c:pt>
                <c:pt idx="25">
                  <c:v>42078</c:v>
                </c:pt>
                <c:pt idx="26">
                  <c:v>41988</c:v>
                </c:pt>
                <c:pt idx="27">
                  <c:v>41897</c:v>
                </c:pt>
                <c:pt idx="28">
                  <c:v>41805</c:v>
                </c:pt>
                <c:pt idx="29">
                  <c:v>41713</c:v>
                </c:pt>
                <c:pt idx="30">
                  <c:v>41623</c:v>
                </c:pt>
                <c:pt idx="31">
                  <c:v>41532</c:v>
                </c:pt>
                <c:pt idx="32">
                  <c:v>41440</c:v>
                </c:pt>
                <c:pt idx="33">
                  <c:v>41348</c:v>
                </c:pt>
                <c:pt idx="34">
                  <c:v>41258</c:v>
                </c:pt>
                <c:pt idx="35">
                  <c:v>41167</c:v>
                </c:pt>
                <c:pt idx="36">
                  <c:v>41075</c:v>
                </c:pt>
                <c:pt idx="37">
                  <c:v>40983</c:v>
                </c:pt>
                <c:pt idx="38">
                  <c:v>40892</c:v>
                </c:pt>
                <c:pt idx="39">
                  <c:v>40801</c:v>
                </c:pt>
                <c:pt idx="40">
                  <c:v>40709</c:v>
                </c:pt>
                <c:pt idx="41">
                  <c:v>40617</c:v>
                </c:pt>
                <c:pt idx="42">
                  <c:v>40527</c:v>
                </c:pt>
                <c:pt idx="43">
                  <c:v>40436</c:v>
                </c:pt>
                <c:pt idx="44">
                  <c:v>40344</c:v>
                </c:pt>
                <c:pt idx="45">
                  <c:v>40252</c:v>
                </c:pt>
                <c:pt idx="46">
                  <c:v>40162</c:v>
                </c:pt>
                <c:pt idx="47">
                  <c:v>40071</c:v>
                </c:pt>
                <c:pt idx="48">
                  <c:v>39979</c:v>
                </c:pt>
                <c:pt idx="49">
                  <c:v>39887</c:v>
                </c:pt>
                <c:pt idx="50">
                  <c:v>39797</c:v>
                </c:pt>
                <c:pt idx="51">
                  <c:v>39706</c:v>
                </c:pt>
                <c:pt idx="52">
                  <c:v>39614</c:v>
                </c:pt>
                <c:pt idx="53">
                  <c:v>39522</c:v>
                </c:pt>
                <c:pt idx="54">
                  <c:v>39431</c:v>
                </c:pt>
                <c:pt idx="55">
                  <c:v>39340</c:v>
                </c:pt>
                <c:pt idx="56">
                  <c:v>39248</c:v>
                </c:pt>
                <c:pt idx="57">
                  <c:v>39156</c:v>
                </c:pt>
                <c:pt idx="58">
                  <c:v>39066</c:v>
                </c:pt>
                <c:pt idx="59">
                  <c:v>38975</c:v>
                </c:pt>
                <c:pt idx="60">
                  <c:v>38883</c:v>
                </c:pt>
                <c:pt idx="61">
                  <c:v>38791</c:v>
                </c:pt>
                <c:pt idx="62">
                  <c:v>38701</c:v>
                </c:pt>
                <c:pt idx="63">
                  <c:v>38610</c:v>
                </c:pt>
                <c:pt idx="64">
                  <c:v>38518</c:v>
                </c:pt>
                <c:pt idx="65">
                  <c:v>38426</c:v>
                </c:pt>
              </c:numCache>
            </c:numRef>
          </c:cat>
          <c:val>
            <c:numRef>
              <c:f>'Foglio1 (2)'!$D$2:$D$67</c:f>
              <c:numCache>
                <c:formatCode>General</c:formatCode>
                <c:ptCount val="66"/>
                <c:pt idx="0">
                  <c:v>1.3434391695261261</c:v>
                </c:pt>
                <c:pt idx="1">
                  <c:v>1.2189115232593495</c:v>
                </c:pt>
                <c:pt idx="2">
                  <c:v>1.1040264083742346</c:v>
                </c:pt>
                <c:pt idx="3">
                  <c:v>1.0569864917691003</c:v>
                </c:pt>
                <c:pt idx="4">
                  <c:v>1.0131607522911872</c:v>
                </c:pt>
                <c:pt idx="5">
                  <c:v>0.97797854319593447</c:v>
                </c:pt>
                <c:pt idx="6">
                  <c:v>0.95856317595448037</c:v>
                </c:pt>
                <c:pt idx="7">
                  <c:v>0.93623767536811009</c:v>
                </c:pt>
                <c:pt idx="8">
                  <c:v>0.91929809321113676</c:v>
                </c:pt>
                <c:pt idx="9">
                  <c:v>0.89536550406115634</c:v>
                </c:pt>
                <c:pt idx="10">
                  <c:v>0.86430960344003838</c:v>
                </c:pt>
                <c:pt idx="11">
                  <c:v>0.84398210485167025</c:v>
                </c:pt>
                <c:pt idx="12">
                  <c:v>0.83733657646701132</c:v>
                </c:pt>
                <c:pt idx="13">
                  <c:v>0.81544542414107646</c:v>
                </c:pt>
                <c:pt idx="14">
                  <c:v>0.78256526082613043</c:v>
                </c:pt>
                <c:pt idx="15">
                  <c:v>0.7575902358511053</c:v>
                </c:pt>
                <c:pt idx="16">
                  <c:v>0.74286582982235161</c:v>
                </c:pt>
                <c:pt idx="17">
                  <c:v>0.71624028145767271</c:v>
                </c:pt>
                <c:pt idx="18">
                  <c:v>0.67836511314772197</c:v>
                </c:pt>
                <c:pt idx="19">
                  <c:v>0.66585588324718747</c:v>
                </c:pt>
                <c:pt idx="20">
                  <c:v>0.65269513095600051</c:v>
                </c:pt>
                <c:pt idx="21">
                  <c:v>0.62389784128914583</c:v>
                </c:pt>
                <c:pt idx="22">
                  <c:v>0.59397124614515939</c:v>
                </c:pt>
                <c:pt idx="23">
                  <c:v>0.57942057942057956</c:v>
                </c:pt>
                <c:pt idx="24">
                  <c:v>0.56665074056378417</c:v>
                </c:pt>
                <c:pt idx="25">
                  <c:v>0.54432523997741411</c:v>
                </c:pt>
                <c:pt idx="26">
                  <c:v>0.5196108239586501</c:v>
                </c:pt>
                <c:pt idx="27">
                  <c:v>0.50310559006211197</c:v>
                </c:pt>
                <c:pt idx="28">
                  <c:v>0.49090040394388224</c:v>
                </c:pt>
                <c:pt idx="29">
                  <c:v>0.46961733918255666</c:v>
                </c:pt>
                <c:pt idx="30">
                  <c:v>0.4417756156886592</c:v>
                </c:pt>
                <c:pt idx="31">
                  <c:v>0.42970073404856035</c:v>
                </c:pt>
                <c:pt idx="32">
                  <c:v>0.41827737479911398</c:v>
                </c:pt>
                <c:pt idx="33">
                  <c:v>0.39768926725448472</c:v>
                </c:pt>
                <c:pt idx="34">
                  <c:v>0.37657994179733323</c:v>
                </c:pt>
                <c:pt idx="35">
                  <c:v>0.36963036963036955</c:v>
                </c:pt>
                <c:pt idx="36">
                  <c:v>0.35903227207575039</c:v>
                </c:pt>
                <c:pt idx="37">
                  <c:v>0.34122399339790666</c:v>
                </c:pt>
                <c:pt idx="38">
                  <c:v>0.34730486904399949</c:v>
                </c:pt>
                <c:pt idx="39">
                  <c:v>0.36155149198627479</c:v>
                </c:pt>
                <c:pt idx="40">
                  <c:v>0.35534031186205106</c:v>
                </c:pt>
                <c:pt idx="41">
                  <c:v>0.34526343221995415</c:v>
                </c:pt>
                <c:pt idx="42">
                  <c:v>0.36923945619597798</c:v>
                </c:pt>
                <c:pt idx="43">
                  <c:v>0.40824392998306069</c:v>
                </c:pt>
                <c:pt idx="44">
                  <c:v>0.41836424445120102</c:v>
                </c:pt>
                <c:pt idx="45">
                  <c:v>0.40472570907353522</c:v>
                </c:pt>
                <c:pt idx="46">
                  <c:v>0.41753898275637424</c:v>
                </c:pt>
                <c:pt idx="47">
                  <c:v>0.43469573904356529</c:v>
                </c:pt>
                <c:pt idx="48">
                  <c:v>0.44564131520653261</c:v>
                </c:pt>
                <c:pt idx="49">
                  <c:v>0.48447204968944102</c:v>
                </c:pt>
                <c:pt idx="50">
                  <c:v>0.524518959301568</c:v>
                </c:pt>
                <c:pt idx="51">
                  <c:v>0.51331277418233956</c:v>
                </c:pt>
                <c:pt idx="52">
                  <c:v>0.52734222299439693</c:v>
                </c:pt>
                <c:pt idx="53">
                  <c:v>0.57698822916214221</c:v>
                </c:pt>
                <c:pt idx="54">
                  <c:v>0.61777353081700914</c:v>
                </c:pt>
                <c:pt idx="55">
                  <c:v>0.6296312383268905</c:v>
                </c:pt>
                <c:pt idx="56">
                  <c:v>0.63493028710420041</c:v>
                </c:pt>
                <c:pt idx="57">
                  <c:v>0.65339008817269706</c:v>
                </c:pt>
                <c:pt idx="58">
                  <c:v>0.65443252399774132</c:v>
                </c:pt>
                <c:pt idx="59">
                  <c:v>0.64826477869956145</c:v>
                </c:pt>
                <c:pt idx="60">
                  <c:v>0.63158580549884902</c:v>
                </c:pt>
                <c:pt idx="61">
                  <c:v>0.61829474872953138</c:v>
                </c:pt>
                <c:pt idx="62">
                  <c:v>0.6018763844850803</c:v>
                </c:pt>
                <c:pt idx="63">
                  <c:v>0.57690135951005539</c:v>
                </c:pt>
                <c:pt idx="64">
                  <c:v>0.5419797593710638</c:v>
                </c:pt>
                <c:pt idx="65">
                  <c:v>0.49663380098162713</c:v>
                </c:pt>
              </c:numCache>
            </c:numRef>
          </c:val>
          <c:smooth val="0"/>
          <c:extLst>
            <c:ext xmlns:c16="http://schemas.microsoft.com/office/drawing/2014/chart" uri="{C3380CC4-5D6E-409C-BE32-E72D297353CC}">
              <c16:uniqueId val="{00000003-B9B8-4948-BB47-0D95C9DF9407}"/>
            </c:ext>
          </c:extLst>
        </c:ser>
        <c:dLbls>
          <c:showLegendKey val="0"/>
          <c:showVal val="0"/>
          <c:showCatName val="0"/>
          <c:showSerName val="0"/>
          <c:showPercent val="0"/>
          <c:showBubbleSize val="0"/>
        </c:dLbls>
        <c:smooth val="0"/>
        <c:axId val="1192933016"/>
        <c:axId val="1192938264"/>
      </c:lineChart>
      <c:dateAx>
        <c:axId val="1192933016"/>
        <c:scaling>
          <c:orientation val="minMax"/>
        </c:scaling>
        <c:delete val="0"/>
        <c:axPos val="b"/>
        <c:numFmt formatCode="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2938264"/>
        <c:crosses val="autoZero"/>
        <c:auto val="1"/>
        <c:lblOffset val="100"/>
        <c:baseTimeUnit val="months"/>
      </c:dateAx>
      <c:valAx>
        <c:axId val="11929382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2933016"/>
        <c:crosses val="autoZero"/>
        <c:crossBetween val="between"/>
      </c:valAx>
      <c:spPr>
        <a:noFill/>
        <a:ln>
          <a:noFill/>
        </a:ln>
        <a:effectLst/>
      </c:spPr>
    </c:plotArea>
    <c:legend>
      <c:legendPos val="b"/>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'FRED Graph'!$B$11</c:f>
              <c:strCache>
                <c:ptCount val="1"/>
                <c:pt idx="0">
                  <c:v>Days on market</c:v>
                </c:pt>
              </c:strCache>
            </c:strRef>
          </c:tx>
          <c:spPr>
            <a:ln w="28575" cap="rnd">
              <a:solidFill>
                <a:schemeClr val="accent1"/>
              </a:solidFill>
              <a:round/>
            </a:ln>
            <a:effectLst/>
          </c:spPr>
          <c:marker>
            <c:symbol val="none"/>
          </c:marker>
          <c:cat>
            <c:numRef>
              <c:f>'FRED Graph'!$A$12:$A$78</c:f>
              <c:numCache>
                <c:formatCode>yyyy\-mm\-dd</c:formatCode>
                <c:ptCount val="67"/>
                <c:pt idx="0">
                  <c:v>42552</c:v>
                </c:pt>
                <c:pt idx="1">
                  <c:v>42583</c:v>
                </c:pt>
                <c:pt idx="2">
                  <c:v>42614</c:v>
                </c:pt>
                <c:pt idx="3">
                  <c:v>42644</c:v>
                </c:pt>
                <c:pt idx="4">
                  <c:v>42675</c:v>
                </c:pt>
                <c:pt idx="5">
                  <c:v>42705</c:v>
                </c:pt>
                <c:pt idx="6">
                  <c:v>42736</c:v>
                </c:pt>
                <c:pt idx="7">
                  <c:v>42767</c:v>
                </c:pt>
                <c:pt idx="8">
                  <c:v>42795</c:v>
                </c:pt>
                <c:pt idx="9">
                  <c:v>42826</c:v>
                </c:pt>
                <c:pt idx="10">
                  <c:v>42856</c:v>
                </c:pt>
                <c:pt idx="11">
                  <c:v>42887</c:v>
                </c:pt>
                <c:pt idx="12">
                  <c:v>42917</c:v>
                </c:pt>
                <c:pt idx="13">
                  <c:v>42948</c:v>
                </c:pt>
                <c:pt idx="14">
                  <c:v>42979</c:v>
                </c:pt>
                <c:pt idx="15">
                  <c:v>43009</c:v>
                </c:pt>
                <c:pt idx="16">
                  <c:v>43040</c:v>
                </c:pt>
                <c:pt idx="17">
                  <c:v>43070</c:v>
                </c:pt>
                <c:pt idx="18">
                  <c:v>43101</c:v>
                </c:pt>
                <c:pt idx="19">
                  <c:v>43132</c:v>
                </c:pt>
                <c:pt idx="20">
                  <c:v>43160</c:v>
                </c:pt>
                <c:pt idx="21">
                  <c:v>43191</c:v>
                </c:pt>
                <c:pt idx="22">
                  <c:v>43221</c:v>
                </c:pt>
                <c:pt idx="23">
                  <c:v>43252</c:v>
                </c:pt>
                <c:pt idx="24">
                  <c:v>43282</c:v>
                </c:pt>
                <c:pt idx="25">
                  <c:v>43313</c:v>
                </c:pt>
                <c:pt idx="26">
                  <c:v>43344</c:v>
                </c:pt>
                <c:pt idx="27">
                  <c:v>43374</c:v>
                </c:pt>
                <c:pt idx="28">
                  <c:v>43405</c:v>
                </c:pt>
                <c:pt idx="29">
                  <c:v>43435</c:v>
                </c:pt>
                <c:pt idx="30">
                  <c:v>43466</c:v>
                </c:pt>
                <c:pt idx="31">
                  <c:v>43497</c:v>
                </c:pt>
                <c:pt idx="32">
                  <c:v>43525</c:v>
                </c:pt>
                <c:pt idx="33">
                  <c:v>43556</c:v>
                </c:pt>
                <c:pt idx="34">
                  <c:v>43586</c:v>
                </c:pt>
                <c:pt idx="35">
                  <c:v>43617</c:v>
                </c:pt>
                <c:pt idx="36">
                  <c:v>43647</c:v>
                </c:pt>
                <c:pt idx="37">
                  <c:v>43678</c:v>
                </c:pt>
                <c:pt idx="38">
                  <c:v>43709</c:v>
                </c:pt>
                <c:pt idx="39">
                  <c:v>43739</c:v>
                </c:pt>
                <c:pt idx="40">
                  <c:v>43770</c:v>
                </c:pt>
                <c:pt idx="41">
                  <c:v>43800</c:v>
                </c:pt>
                <c:pt idx="42">
                  <c:v>43831</c:v>
                </c:pt>
                <c:pt idx="43">
                  <c:v>43862</c:v>
                </c:pt>
                <c:pt idx="44">
                  <c:v>43891</c:v>
                </c:pt>
                <c:pt idx="45">
                  <c:v>43922</c:v>
                </c:pt>
                <c:pt idx="46">
                  <c:v>43952</c:v>
                </c:pt>
                <c:pt idx="47">
                  <c:v>43983</c:v>
                </c:pt>
                <c:pt idx="48">
                  <c:v>44013</c:v>
                </c:pt>
                <c:pt idx="49">
                  <c:v>44044</c:v>
                </c:pt>
                <c:pt idx="50">
                  <c:v>44075</c:v>
                </c:pt>
                <c:pt idx="51">
                  <c:v>44105</c:v>
                </c:pt>
                <c:pt idx="52">
                  <c:v>44136</c:v>
                </c:pt>
                <c:pt idx="53">
                  <c:v>44166</c:v>
                </c:pt>
                <c:pt idx="54">
                  <c:v>44197</c:v>
                </c:pt>
                <c:pt idx="55">
                  <c:v>44228</c:v>
                </c:pt>
                <c:pt idx="56">
                  <c:v>44256</c:v>
                </c:pt>
                <c:pt idx="57">
                  <c:v>44287</c:v>
                </c:pt>
                <c:pt idx="58">
                  <c:v>44317</c:v>
                </c:pt>
                <c:pt idx="59">
                  <c:v>44348</c:v>
                </c:pt>
                <c:pt idx="60">
                  <c:v>44378</c:v>
                </c:pt>
                <c:pt idx="61">
                  <c:v>44409</c:v>
                </c:pt>
                <c:pt idx="62">
                  <c:v>44440</c:v>
                </c:pt>
                <c:pt idx="63">
                  <c:v>44470</c:v>
                </c:pt>
                <c:pt idx="64">
                  <c:v>44501</c:v>
                </c:pt>
                <c:pt idx="65">
                  <c:v>44531</c:v>
                </c:pt>
                <c:pt idx="66">
                  <c:v>44562</c:v>
                </c:pt>
              </c:numCache>
            </c:numRef>
          </c:cat>
          <c:val>
            <c:numRef>
              <c:f>'FRED Graph'!$B$12:$B$78</c:f>
              <c:numCache>
                <c:formatCode>0</c:formatCode>
                <c:ptCount val="67"/>
                <c:pt idx="0">
                  <c:v>69</c:v>
                </c:pt>
                <c:pt idx="1">
                  <c:v>73</c:v>
                </c:pt>
                <c:pt idx="2">
                  <c:v>78</c:v>
                </c:pt>
                <c:pt idx="3">
                  <c:v>79</c:v>
                </c:pt>
                <c:pt idx="4">
                  <c:v>83</c:v>
                </c:pt>
                <c:pt idx="5">
                  <c:v>92</c:v>
                </c:pt>
                <c:pt idx="6">
                  <c:v>96</c:v>
                </c:pt>
                <c:pt idx="7">
                  <c:v>92</c:v>
                </c:pt>
                <c:pt idx="8">
                  <c:v>71</c:v>
                </c:pt>
                <c:pt idx="9">
                  <c:v>65</c:v>
                </c:pt>
                <c:pt idx="10">
                  <c:v>61</c:v>
                </c:pt>
                <c:pt idx="11">
                  <c:v>61</c:v>
                </c:pt>
                <c:pt idx="12">
                  <c:v>65</c:v>
                </c:pt>
                <c:pt idx="13">
                  <c:v>67</c:v>
                </c:pt>
                <c:pt idx="14">
                  <c:v>71</c:v>
                </c:pt>
                <c:pt idx="15">
                  <c:v>75</c:v>
                </c:pt>
                <c:pt idx="16">
                  <c:v>78</c:v>
                </c:pt>
                <c:pt idx="17">
                  <c:v>85</c:v>
                </c:pt>
                <c:pt idx="18">
                  <c:v>90</c:v>
                </c:pt>
                <c:pt idx="19">
                  <c:v>85</c:v>
                </c:pt>
                <c:pt idx="20">
                  <c:v>65</c:v>
                </c:pt>
                <c:pt idx="21">
                  <c:v>60</c:v>
                </c:pt>
                <c:pt idx="22">
                  <c:v>57</c:v>
                </c:pt>
                <c:pt idx="23">
                  <c:v>57</c:v>
                </c:pt>
                <c:pt idx="24">
                  <c:v>60</c:v>
                </c:pt>
                <c:pt idx="25">
                  <c:v>62</c:v>
                </c:pt>
                <c:pt idx="26">
                  <c:v>65</c:v>
                </c:pt>
                <c:pt idx="27">
                  <c:v>69</c:v>
                </c:pt>
                <c:pt idx="28">
                  <c:v>72</c:v>
                </c:pt>
                <c:pt idx="29">
                  <c:v>81</c:v>
                </c:pt>
                <c:pt idx="30">
                  <c:v>87</c:v>
                </c:pt>
                <c:pt idx="31">
                  <c:v>83</c:v>
                </c:pt>
                <c:pt idx="32">
                  <c:v>65</c:v>
                </c:pt>
                <c:pt idx="33">
                  <c:v>59</c:v>
                </c:pt>
                <c:pt idx="34">
                  <c:v>56</c:v>
                </c:pt>
                <c:pt idx="35">
                  <c:v>57</c:v>
                </c:pt>
                <c:pt idx="36">
                  <c:v>60</c:v>
                </c:pt>
                <c:pt idx="37">
                  <c:v>64</c:v>
                </c:pt>
                <c:pt idx="38">
                  <c:v>66</c:v>
                </c:pt>
                <c:pt idx="39">
                  <c:v>66</c:v>
                </c:pt>
                <c:pt idx="40">
                  <c:v>69</c:v>
                </c:pt>
                <c:pt idx="41">
                  <c:v>79</c:v>
                </c:pt>
                <c:pt idx="42">
                  <c:v>85</c:v>
                </c:pt>
                <c:pt idx="43">
                  <c:v>79</c:v>
                </c:pt>
                <c:pt idx="44">
                  <c:v>59</c:v>
                </c:pt>
                <c:pt idx="45">
                  <c:v>62</c:v>
                </c:pt>
                <c:pt idx="46">
                  <c:v>71</c:v>
                </c:pt>
                <c:pt idx="47">
                  <c:v>69</c:v>
                </c:pt>
                <c:pt idx="48">
                  <c:v>58</c:v>
                </c:pt>
                <c:pt idx="49">
                  <c:v>53</c:v>
                </c:pt>
                <c:pt idx="50">
                  <c:v>51</c:v>
                </c:pt>
                <c:pt idx="51">
                  <c:v>51</c:v>
                </c:pt>
                <c:pt idx="52">
                  <c:v>57</c:v>
                </c:pt>
                <c:pt idx="53">
                  <c:v>64</c:v>
                </c:pt>
                <c:pt idx="54">
                  <c:v>71</c:v>
                </c:pt>
                <c:pt idx="55">
                  <c:v>64</c:v>
                </c:pt>
                <c:pt idx="56">
                  <c:v>48</c:v>
                </c:pt>
                <c:pt idx="57">
                  <c:v>40</c:v>
                </c:pt>
                <c:pt idx="58">
                  <c:v>37</c:v>
                </c:pt>
                <c:pt idx="59">
                  <c:v>36</c:v>
                </c:pt>
                <c:pt idx="60">
                  <c:v>37</c:v>
                </c:pt>
                <c:pt idx="61">
                  <c:v>38</c:v>
                </c:pt>
                <c:pt idx="62">
                  <c:v>42</c:v>
                </c:pt>
                <c:pt idx="63">
                  <c:v>43</c:v>
                </c:pt>
                <c:pt idx="64">
                  <c:v>47</c:v>
                </c:pt>
                <c:pt idx="65">
                  <c:v>54</c:v>
                </c:pt>
                <c:pt idx="66">
                  <c:v>61</c:v>
                </c:pt>
              </c:numCache>
            </c:numRef>
          </c:val>
          <c:smooth val="0"/>
          <c:extLst>
            <c:ext xmlns:c16="http://schemas.microsoft.com/office/drawing/2014/chart" uri="{C3380CC4-5D6E-409C-BE32-E72D297353CC}">
              <c16:uniqueId val="{00000000-8BF8-49A3-BA22-93BD34DC4AB7}"/>
            </c:ext>
          </c:extLst>
        </c:ser>
        <c:dLbls>
          <c:showLegendKey val="0"/>
          <c:showVal val="0"/>
          <c:showCatName val="0"/>
          <c:showSerName val="0"/>
          <c:showPercent val="0"/>
          <c:showBubbleSize val="0"/>
        </c:dLbls>
        <c:smooth val="0"/>
        <c:axId val="1400309951"/>
        <c:axId val="1400307455"/>
      </c:lineChart>
      <c:dateAx>
        <c:axId val="1400309951"/>
        <c:scaling>
          <c:orientation val="minMax"/>
        </c:scaling>
        <c:delete val="0"/>
        <c:axPos val="b"/>
        <c:numFmt formatCode="yyyy\-mm\-dd"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00307455"/>
        <c:crosses val="autoZero"/>
        <c:auto val="1"/>
        <c:lblOffset val="100"/>
        <c:baseTimeUnit val="months"/>
      </c:dateAx>
      <c:valAx>
        <c:axId val="1400307455"/>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00309951"/>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449A91F4-12A2-4E95-9C44-6EBF790FE3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5623</TotalTime>
  <Pages>25</Pages>
  <Words>8043</Words>
  <Characters>45850</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Ettore Minelli</dc:creator>
  <cp:keywords/>
  <dc:description/>
  <cp:lastModifiedBy>Ettore Minelli</cp:lastModifiedBy>
  <cp:revision>59</cp:revision>
  <dcterms:created xsi:type="dcterms:W3CDTF">2022-02-06T09:36:00Z</dcterms:created>
  <dcterms:modified xsi:type="dcterms:W3CDTF">2022-03-13T14:11:00Z</dcterms:modified>
</cp:coreProperties>
</file>