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16A586" w14:textId="7D2E645C" w:rsidR="006542E6" w:rsidRDefault="006542E6" w:rsidP="006542E6">
      <w:pPr>
        <w:pStyle w:val="Title"/>
        <w:rPr>
          <w:lang w:val="it-IT"/>
        </w:rPr>
      </w:pPr>
      <w:r w:rsidRPr="006542E6">
        <w:rPr>
          <w:lang w:val="it-IT"/>
        </w:rPr>
        <w:t>Il mercato immobiliare: nuove opportunità economiche ancora inesplorate – Modelli e applicazioni pratiche</w:t>
      </w:r>
    </w:p>
    <w:sdt>
      <w:sdtPr>
        <w:rPr>
          <w:rFonts w:asciiTheme="minorHAnsi" w:eastAsiaTheme="minorHAnsi" w:hAnsiTheme="minorHAnsi" w:cstheme="minorBidi"/>
          <w:color w:val="auto"/>
          <w:sz w:val="22"/>
          <w:szCs w:val="22"/>
        </w:rPr>
        <w:id w:val="347990915"/>
        <w:docPartObj>
          <w:docPartGallery w:val="Table of Contents"/>
          <w:docPartUnique/>
        </w:docPartObj>
      </w:sdtPr>
      <w:sdtEndPr>
        <w:rPr>
          <w:b/>
          <w:bCs/>
          <w:noProof/>
        </w:rPr>
      </w:sdtEndPr>
      <w:sdtContent>
        <w:p w14:paraId="2639D39A" w14:textId="555AE69C" w:rsidR="006542E6" w:rsidRDefault="006542E6">
          <w:pPr>
            <w:pStyle w:val="TOCHeading"/>
          </w:pPr>
          <w:r>
            <w:t>Indice</w:t>
          </w:r>
        </w:p>
        <w:p w14:paraId="15F49924" w14:textId="32F856E7" w:rsidR="009617B0" w:rsidRDefault="006542E6">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98239981" w:history="1">
            <w:r w:rsidR="009617B0" w:rsidRPr="00006199">
              <w:rPr>
                <w:rStyle w:val="Hyperlink"/>
                <w:noProof/>
                <w:lang w:val="it-IT"/>
              </w:rPr>
              <w:t>Capitolo 1</w:t>
            </w:r>
            <w:r w:rsidR="009617B0">
              <w:rPr>
                <w:noProof/>
                <w:webHidden/>
              </w:rPr>
              <w:tab/>
            </w:r>
            <w:r w:rsidR="009617B0">
              <w:rPr>
                <w:noProof/>
                <w:webHidden/>
              </w:rPr>
              <w:fldChar w:fldCharType="begin"/>
            </w:r>
            <w:r w:rsidR="009617B0">
              <w:rPr>
                <w:noProof/>
                <w:webHidden/>
              </w:rPr>
              <w:instrText xml:space="preserve"> PAGEREF _Toc98239981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63A3B81E" w14:textId="283B7FAC" w:rsidR="009617B0" w:rsidRDefault="00E92772">
          <w:pPr>
            <w:pStyle w:val="TOC2"/>
            <w:tabs>
              <w:tab w:val="right" w:leader="dot" w:pos="9628"/>
            </w:tabs>
            <w:rPr>
              <w:rFonts w:eastAsiaTheme="minorEastAsia"/>
              <w:noProof/>
            </w:rPr>
          </w:pPr>
          <w:hyperlink w:anchor="_Toc98239982" w:history="1">
            <w:r w:rsidR="009617B0" w:rsidRPr="00006199">
              <w:rPr>
                <w:rStyle w:val="Hyperlink"/>
                <w:noProof/>
                <w:lang w:val="it-IT"/>
              </w:rPr>
              <w:t>Definizione di Real Estate</w:t>
            </w:r>
            <w:r w:rsidR="009617B0">
              <w:rPr>
                <w:noProof/>
                <w:webHidden/>
              </w:rPr>
              <w:tab/>
            </w:r>
            <w:r w:rsidR="009617B0">
              <w:rPr>
                <w:noProof/>
                <w:webHidden/>
              </w:rPr>
              <w:fldChar w:fldCharType="begin"/>
            </w:r>
            <w:r w:rsidR="009617B0">
              <w:rPr>
                <w:noProof/>
                <w:webHidden/>
              </w:rPr>
              <w:instrText xml:space="preserve"> PAGEREF _Toc98239982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1ADB4007" w14:textId="15F6E4B4" w:rsidR="009617B0" w:rsidRDefault="00E92772">
          <w:pPr>
            <w:pStyle w:val="TOC2"/>
            <w:tabs>
              <w:tab w:val="right" w:leader="dot" w:pos="9628"/>
            </w:tabs>
            <w:rPr>
              <w:rFonts w:eastAsiaTheme="minorEastAsia"/>
              <w:noProof/>
            </w:rPr>
          </w:pPr>
          <w:hyperlink w:anchor="_Toc98239983" w:history="1">
            <w:r w:rsidR="009617B0" w:rsidRPr="00006199">
              <w:rPr>
                <w:rStyle w:val="Hyperlink"/>
                <w:noProof/>
                <w:lang w:val="it-IT"/>
              </w:rPr>
              <w:t>Sottomercati immobiliari</w:t>
            </w:r>
            <w:r w:rsidR="009617B0">
              <w:rPr>
                <w:noProof/>
                <w:webHidden/>
              </w:rPr>
              <w:tab/>
            </w:r>
            <w:r w:rsidR="009617B0">
              <w:rPr>
                <w:noProof/>
                <w:webHidden/>
              </w:rPr>
              <w:fldChar w:fldCharType="begin"/>
            </w:r>
            <w:r w:rsidR="009617B0">
              <w:rPr>
                <w:noProof/>
                <w:webHidden/>
              </w:rPr>
              <w:instrText xml:space="preserve"> PAGEREF _Toc98239983 \h </w:instrText>
            </w:r>
            <w:r w:rsidR="009617B0">
              <w:rPr>
                <w:noProof/>
                <w:webHidden/>
              </w:rPr>
            </w:r>
            <w:r w:rsidR="009617B0">
              <w:rPr>
                <w:noProof/>
                <w:webHidden/>
              </w:rPr>
              <w:fldChar w:fldCharType="separate"/>
            </w:r>
            <w:r w:rsidR="009617B0">
              <w:rPr>
                <w:noProof/>
                <w:webHidden/>
              </w:rPr>
              <w:t>2</w:t>
            </w:r>
            <w:r w:rsidR="009617B0">
              <w:rPr>
                <w:noProof/>
                <w:webHidden/>
              </w:rPr>
              <w:fldChar w:fldCharType="end"/>
            </w:r>
          </w:hyperlink>
        </w:p>
        <w:p w14:paraId="6833F9F3" w14:textId="07341F8A" w:rsidR="009617B0" w:rsidRDefault="00E92772">
          <w:pPr>
            <w:pStyle w:val="TOC2"/>
            <w:tabs>
              <w:tab w:val="right" w:leader="dot" w:pos="9628"/>
            </w:tabs>
            <w:rPr>
              <w:rFonts w:eastAsiaTheme="minorEastAsia"/>
              <w:noProof/>
            </w:rPr>
          </w:pPr>
          <w:hyperlink w:anchor="_Toc98239984" w:history="1">
            <w:r w:rsidR="009617B0" w:rsidRPr="00006199">
              <w:rPr>
                <w:rStyle w:val="Hyperlink"/>
                <w:noProof/>
                <w:lang w:val="it-IT"/>
              </w:rPr>
              <w:t>Inelasticità dell’offerta</w:t>
            </w:r>
            <w:r w:rsidR="009617B0">
              <w:rPr>
                <w:noProof/>
                <w:webHidden/>
              </w:rPr>
              <w:tab/>
            </w:r>
            <w:r w:rsidR="009617B0">
              <w:rPr>
                <w:noProof/>
                <w:webHidden/>
              </w:rPr>
              <w:fldChar w:fldCharType="begin"/>
            </w:r>
            <w:r w:rsidR="009617B0">
              <w:rPr>
                <w:noProof/>
                <w:webHidden/>
              </w:rPr>
              <w:instrText xml:space="preserve"> PAGEREF _Toc98239984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2D08BBF7" w14:textId="39C4F8A0" w:rsidR="009617B0" w:rsidRDefault="00E92772">
          <w:pPr>
            <w:pStyle w:val="TOC2"/>
            <w:tabs>
              <w:tab w:val="right" w:leader="dot" w:pos="9628"/>
            </w:tabs>
            <w:rPr>
              <w:rFonts w:eastAsiaTheme="minorEastAsia"/>
              <w:noProof/>
            </w:rPr>
          </w:pPr>
          <w:hyperlink w:anchor="_Toc98239985" w:history="1">
            <w:r w:rsidR="009617B0" w:rsidRPr="00006199">
              <w:rPr>
                <w:rStyle w:val="Hyperlink"/>
                <w:noProof/>
                <w:lang w:val="it-IT"/>
              </w:rPr>
              <w:t>Caratteristiche del mercato immobiliare</w:t>
            </w:r>
            <w:r w:rsidR="009617B0">
              <w:rPr>
                <w:noProof/>
                <w:webHidden/>
              </w:rPr>
              <w:tab/>
            </w:r>
            <w:r w:rsidR="009617B0">
              <w:rPr>
                <w:noProof/>
                <w:webHidden/>
              </w:rPr>
              <w:fldChar w:fldCharType="begin"/>
            </w:r>
            <w:r w:rsidR="009617B0">
              <w:rPr>
                <w:noProof/>
                <w:webHidden/>
              </w:rPr>
              <w:instrText xml:space="preserve"> PAGEREF _Toc98239985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431FC0A8" w14:textId="0455E96E" w:rsidR="009617B0" w:rsidRDefault="00E92772">
          <w:pPr>
            <w:pStyle w:val="TOC2"/>
            <w:tabs>
              <w:tab w:val="right" w:leader="dot" w:pos="9628"/>
            </w:tabs>
            <w:rPr>
              <w:rFonts w:eastAsiaTheme="minorEastAsia"/>
              <w:noProof/>
            </w:rPr>
          </w:pPr>
          <w:hyperlink w:anchor="_Toc98239986" w:history="1">
            <w:r w:rsidR="009617B0" w:rsidRPr="00006199">
              <w:rPr>
                <w:rStyle w:val="Hyperlink"/>
                <w:noProof/>
                <w:lang w:val="it-IT"/>
              </w:rPr>
              <w:t>Interazione tra mercato immobiliare ed economia</w:t>
            </w:r>
            <w:r w:rsidR="009617B0">
              <w:rPr>
                <w:noProof/>
                <w:webHidden/>
              </w:rPr>
              <w:tab/>
            </w:r>
            <w:r w:rsidR="009617B0">
              <w:rPr>
                <w:noProof/>
                <w:webHidden/>
              </w:rPr>
              <w:fldChar w:fldCharType="begin"/>
            </w:r>
            <w:r w:rsidR="009617B0">
              <w:rPr>
                <w:noProof/>
                <w:webHidden/>
              </w:rPr>
              <w:instrText xml:space="preserve"> PAGEREF _Toc98239986 \h </w:instrText>
            </w:r>
            <w:r w:rsidR="009617B0">
              <w:rPr>
                <w:noProof/>
                <w:webHidden/>
              </w:rPr>
            </w:r>
            <w:r w:rsidR="009617B0">
              <w:rPr>
                <w:noProof/>
                <w:webHidden/>
              </w:rPr>
              <w:fldChar w:fldCharType="separate"/>
            </w:r>
            <w:r w:rsidR="009617B0">
              <w:rPr>
                <w:noProof/>
                <w:webHidden/>
              </w:rPr>
              <w:t>4</w:t>
            </w:r>
            <w:r w:rsidR="009617B0">
              <w:rPr>
                <w:noProof/>
                <w:webHidden/>
              </w:rPr>
              <w:fldChar w:fldCharType="end"/>
            </w:r>
          </w:hyperlink>
        </w:p>
        <w:p w14:paraId="342EC346" w14:textId="43FB7DB8" w:rsidR="009617B0" w:rsidRDefault="00E92772">
          <w:pPr>
            <w:pStyle w:val="TOC3"/>
            <w:tabs>
              <w:tab w:val="right" w:leader="dot" w:pos="9628"/>
            </w:tabs>
            <w:rPr>
              <w:rFonts w:eastAsiaTheme="minorEastAsia"/>
              <w:noProof/>
            </w:rPr>
          </w:pPr>
          <w:hyperlink w:anchor="_Toc98239987" w:history="1">
            <w:r w:rsidR="009617B0" w:rsidRPr="00006199">
              <w:rPr>
                <w:rStyle w:val="Hyperlink"/>
                <w:noProof/>
                <w:lang w:val="it-IT"/>
              </w:rPr>
              <w:t>RE è demand-driven</w:t>
            </w:r>
            <w:r w:rsidR="009617B0">
              <w:rPr>
                <w:noProof/>
                <w:webHidden/>
              </w:rPr>
              <w:tab/>
            </w:r>
            <w:r w:rsidR="009617B0">
              <w:rPr>
                <w:noProof/>
                <w:webHidden/>
              </w:rPr>
              <w:fldChar w:fldCharType="begin"/>
            </w:r>
            <w:r w:rsidR="009617B0">
              <w:rPr>
                <w:noProof/>
                <w:webHidden/>
              </w:rPr>
              <w:instrText xml:space="preserve"> PAGEREF _Toc98239987 \h </w:instrText>
            </w:r>
            <w:r w:rsidR="009617B0">
              <w:rPr>
                <w:noProof/>
                <w:webHidden/>
              </w:rPr>
            </w:r>
            <w:r w:rsidR="009617B0">
              <w:rPr>
                <w:noProof/>
                <w:webHidden/>
              </w:rPr>
              <w:fldChar w:fldCharType="separate"/>
            </w:r>
            <w:r w:rsidR="009617B0">
              <w:rPr>
                <w:noProof/>
                <w:webHidden/>
              </w:rPr>
              <w:t>5</w:t>
            </w:r>
            <w:r w:rsidR="009617B0">
              <w:rPr>
                <w:noProof/>
                <w:webHidden/>
              </w:rPr>
              <w:fldChar w:fldCharType="end"/>
            </w:r>
          </w:hyperlink>
        </w:p>
        <w:p w14:paraId="010630E5" w14:textId="05CF0AEC" w:rsidR="009617B0" w:rsidRDefault="00E92772">
          <w:pPr>
            <w:pStyle w:val="TOC2"/>
            <w:tabs>
              <w:tab w:val="right" w:leader="dot" w:pos="9628"/>
            </w:tabs>
            <w:rPr>
              <w:rFonts w:eastAsiaTheme="minorEastAsia"/>
              <w:noProof/>
            </w:rPr>
          </w:pPr>
          <w:hyperlink w:anchor="_Toc98239988" w:history="1">
            <w:r w:rsidR="009617B0" w:rsidRPr="00006199">
              <w:rPr>
                <w:rStyle w:val="Hyperlink"/>
                <w:noProof/>
                <w:lang w:val="it-IT"/>
              </w:rPr>
              <w:t>La crescita del RE negli anni</w:t>
            </w:r>
            <w:r w:rsidR="009617B0">
              <w:rPr>
                <w:noProof/>
                <w:webHidden/>
              </w:rPr>
              <w:tab/>
            </w:r>
            <w:r w:rsidR="009617B0">
              <w:rPr>
                <w:noProof/>
                <w:webHidden/>
              </w:rPr>
              <w:fldChar w:fldCharType="begin"/>
            </w:r>
            <w:r w:rsidR="009617B0">
              <w:rPr>
                <w:noProof/>
                <w:webHidden/>
              </w:rPr>
              <w:instrText xml:space="preserve"> PAGEREF _Toc98239988 \h </w:instrText>
            </w:r>
            <w:r w:rsidR="009617B0">
              <w:rPr>
                <w:noProof/>
                <w:webHidden/>
              </w:rPr>
            </w:r>
            <w:r w:rsidR="009617B0">
              <w:rPr>
                <w:noProof/>
                <w:webHidden/>
              </w:rPr>
              <w:fldChar w:fldCharType="separate"/>
            </w:r>
            <w:r w:rsidR="009617B0">
              <w:rPr>
                <w:noProof/>
                <w:webHidden/>
              </w:rPr>
              <w:t>6</w:t>
            </w:r>
            <w:r w:rsidR="009617B0">
              <w:rPr>
                <w:noProof/>
                <w:webHidden/>
              </w:rPr>
              <w:fldChar w:fldCharType="end"/>
            </w:r>
          </w:hyperlink>
        </w:p>
        <w:p w14:paraId="658E7A36" w14:textId="3A33E57B" w:rsidR="009617B0" w:rsidRDefault="00E92772">
          <w:pPr>
            <w:pStyle w:val="TOC2"/>
            <w:tabs>
              <w:tab w:val="right" w:leader="dot" w:pos="9628"/>
            </w:tabs>
            <w:rPr>
              <w:rFonts w:eastAsiaTheme="minorEastAsia"/>
              <w:noProof/>
            </w:rPr>
          </w:pPr>
          <w:hyperlink w:anchor="_Toc98239989" w:history="1">
            <w:r w:rsidR="009617B0" w:rsidRPr="00006199">
              <w:rPr>
                <w:rStyle w:val="Hyperlink"/>
                <w:noProof/>
                <w:lang w:val="it-IT"/>
              </w:rPr>
              <w:t>Regolamentazione fondi di investimento immobiliare</w:t>
            </w:r>
            <w:r w:rsidR="009617B0">
              <w:rPr>
                <w:noProof/>
                <w:webHidden/>
              </w:rPr>
              <w:tab/>
            </w:r>
            <w:r w:rsidR="009617B0">
              <w:rPr>
                <w:noProof/>
                <w:webHidden/>
              </w:rPr>
              <w:fldChar w:fldCharType="begin"/>
            </w:r>
            <w:r w:rsidR="009617B0">
              <w:rPr>
                <w:noProof/>
                <w:webHidden/>
              </w:rPr>
              <w:instrText xml:space="preserve"> PAGEREF _Toc98239989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25F34C3A" w14:textId="30288404" w:rsidR="009617B0" w:rsidRDefault="00E92772">
          <w:pPr>
            <w:pStyle w:val="TOC3"/>
            <w:tabs>
              <w:tab w:val="right" w:leader="dot" w:pos="9628"/>
            </w:tabs>
            <w:rPr>
              <w:rFonts w:eastAsiaTheme="minorEastAsia"/>
              <w:noProof/>
            </w:rPr>
          </w:pPr>
          <w:hyperlink w:anchor="_Toc98239990" w:history="1">
            <w:r w:rsidR="009617B0" w:rsidRPr="00006199">
              <w:rPr>
                <w:rStyle w:val="Hyperlink"/>
                <w:noProof/>
                <w:lang w:val="it-IT"/>
              </w:rPr>
              <w:t>Gli OICR</w:t>
            </w:r>
            <w:r w:rsidR="009617B0">
              <w:rPr>
                <w:noProof/>
                <w:webHidden/>
              </w:rPr>
              <w:tab/>
            </w:r>
            <w:r w:rsidR="009617B0">
              <w:rPr>
                <w:noProof/>
                <w:webHidden/>
              </w:rPr>
              <w:fldChar w:fldCharType="begin"/>
            </w:r>
            <w:r w:rsidR="009617B0">
              <w:rPr>
                <w:noProof/>
                <w:webHidden/>
              </w:rPr>
              <w:instrText xml:space="preserve"> PAGEREF _Toc98239990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01C00D83" w14:textId="0437A9CF" w:rsidR="009617B0" w:rsidRDefault="00E92772">
          <w:pPr>
            <w:pStyle w:val="TOC3"/>
            <w:tabs>
              <w:tab w:val="right" w:leader="dot" w:pos="9628"/>
            </w:tabs>
            <w:rPr>
              <w:rFonts w:eastAsiaTheme="minorEastAsia"/>
              <w:noProof/>
            </w:rPr>
          </w:pPr>
          <w:hyperlink w:anchor="_Toc98239991" w:history="1">
            <w:r w:rsidR="009617B0" w:rsidRPr="00006199">
              <w:rPr>
                <w:rStyle w:val="Hyperlink"/>
                <w:noProof/>
                <w:lang w:val="it-IT"/>
              </w:rPr>
              <w:t>Caratteri generali</w:t>
            </w:r>
            <w:r w:rsidR="009617B0">
              <w:rPr>
                <w:noProof/>
                <w:webHidden/>
              </w:rPr>
              <w:tab/>
            </w:r>
            <w:r w:rsidR="009617B0">
              <w:rPr>
                <w:noProof/>
                <w:webHidden/>
              </w:rPr>
              <w:fldChar w:fldCharType="begin"/>
            </w:r>
            <w:r w:rsidR="009617B0">
              <w:rPr>
                <w:noProof/>
                <w:webHidden/>
              </w:rPr>
              <w:instrText xml:space="preserve"> PAGEREF _Toc98239991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3FD31628" w14:textId="242AB747" w:rsidR="009617B0" w:rsidRDefault="00E92772">
          <w:pPr>
            <w:pStyle w:val="TOC1"/>
            <w:tabs>
              <w:tab w:val="right" w:leader="dot" w:pos="9628"/>
            </w:tabs>
            <w:rPr>
              <w:rFonts w:eastAsiaTheme="minorEastAsia"/>
              <w:noProof/>
            </w:rPr>
          </w:pPr>
          <w:hyperlink w:anchor="_Toc98239992" w:history="1">
            <w:r w:rsidR="009617B0" w:rsidRPr="00006199">
              <w:rPr>
                <w:rStyle w:val="Hyperlink"/>
                <w:noProof/>
                <w:lang w:val="it-IT"/>
              </w:rPr>
              <w:t>Capitolo 2</w:t>
            </w:r>
            <w:r w:rsidR="009617B0">
              <w:rPr>
                <w:noProof/>
                <w:webHidden/>
              </w:rPr>
              <w:tab/>
            </w:r>
            <w:r w:rsidR="009617B0">
              <w:rPr>
                <w:noProof/>
                <w:webHidden/>
              </w:rPr>
              <w:fldChar w:fldCharType="begin"/>
            </w:r>
            <w:r w:rsidR="009617B0">
              <w:rPr>
                <w:noProof/>
                <w:webHidden/>
              </w:rPr>
              <w:instrText xml:space="preserve"> PAGEREF _Toc98239992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2005E5E3" w14:textId="594EAC13" w:rsidR="009617B0" w:rsidRDefault="00E92772">
          <w:pPr>
            <w:pStyle w:val="TOC2"/>
            <w:tabs>
              <w:tab w:val="right" w:leader="dot" w:pos="9628"/>
            </w:tabs>
            <w:rPr>
              <w:rFonts w:eastAsiaTheme="minorEastAsia"/>
              <w:noProof/>
            </w:rPr>
          </w:pPr>
          <w:hyperlink w:anchor="_Toc98239993" w:history="1">
            <w:r w:rsidR="009617B0" w:rsidRPr="00006199">
              <w:rPr>
                <w:rStyle w:val="Hyperlink"/>
                <w:noProof/>
                <w:lang w:val="it-IT"/>
              </w:rPr>
              <w:t>Efficienza del mercato immobiliare</w:t>
            </w:r>
            <w:r w:rsidR="009617B0">
              <w:rPr>
                <w:noProof/>
                <w:webHidden/>
              </w:rPr>
              <w:tab/>
            </w:r>
            <w:r w:rsidR="009617B0">
              <w:rPr>
                <w:noProof/>
                <w:webHidden/>
              </w:rPr>
              <w:fldChar w:fldCharType="begin"/>
            </w:r>
            <w:r w:rsidR="009617B0">
              <w:rPr>
                <w:noProof/>
                <w:webHidden/>
              </w:rPr>
              <w:instrText xml:space="preserve"> PAGEREF _Toc98239993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1D50E86B" w14:textId="0386AC81" w:rsidR="009617B0" w:rsidRDefault="00E92772">
          <w:pPr>
            <w:pStyle w:val="TOC2"/>
            <w:tabs>
              <w:tab w:val="right" w:leader="dot" w:pos="9628"/>
            </w:tabs>
            <w:rPr>
              <w:rFonts w:eastAsiaTheme="minorEastAsia"/>
              <w:noProof/>
            </w:rPr>
          </w:pPr>
          <w:hyperlink w:anchor="_Toc98239994" w:history="1">
            <w:r w:rsidR="009617B0" w:rsidRPr="00006199">
              <w:rPr>
                <w:rStyle w:val="Hyperlink"/>
                <w:noProof/>
                <w:lang w:val="it-IT"/>
              </w:rPr>
              <w:t>Inefficienze del mercato immobiliare</w:t>
            </w:r>
            <w:r w:rsidR="009617B0">
              <w:rPr>
                <w:noProof/>
                <w:webHidden/>
              </w:rPr>
              <w:tab/>
            </w:r>
            <w:r w:rsidR="009617B0">
              <w:rPr>
                <w:noProof/>
                <w:webHidden/>
              </w:rPr>
              <w:fldChar w:fldCharType="begin"/>
            </w:r>
            <w:r w:rsidR="009617B0">
              <w:rPr>
                <w:noProof/>
                <w:webHidden/>
              </w:rPr>
              <w:instrText xml:space="preserve"> PAGEREF _Toc98239994 \h </w:instrText>
            </w:r>
            <w:r w:rsidR="009617B0">
              <w:rPr>
                <w:noProof/>
                <w:webHidden/>
              </w:rPr>
            </w:r>
            <w:r w:rsidR="009617B0">
              <w:rPr>
                <w:noProof/>
                <w:webHidden/>
              </w:rPr>
              <w:fldChar w:fldCharType="separate"/>
            </w:r>
            <w:r w:rsidR="009617B0">
              <w:rPr>
                <w:noProof/>
                <w:webHidden/>
              </w:rPr>
              <w:t>10</w:t>
            </w:r>
            <w:r w:rsidR="009617B0">
              <w:rPr>
                <w:noProof/>
                <w:webHidden/>
              </w:rPr>
              <w:fldChar w:fldCharType="end"/>
            </w:r>
          </w:hyperlink>
        </w:p>
        <w:p w14:paraId="43F11821" w14:textId="2942AF3D" w:rsidR="009617B0" w:rsidRDefault="00E92772">
          <w:pPr>
            <w:pStyle w:val="TOC3"/>
            <w:tabs>
              <w:tab w:val="right" w:leader="dot" w:pos="9628"/>
            </w:tabs>
            <w:rPr>
              <w:rFonts w:eastAsiaTheme="minorEastAsia"/>
              <w:noProof/>
            </w:rPr>
          </w:pPr>
          <w:hyperlink w:anchor="_Toc98239995" w:history="1">
            <w:r w:rsidR="009617B0" w:rsidRPr="00006199">
              <w:rPr>
                <w:rStyle w:val="Hyperlink"/>
                <w:noProof/>
                <w:lang w:val="it-IT"/>
              </w:rPr>
              <w:t>Costi di transazione</w:t>
            </w:r>
            <w:r w:rsidR="009617B0">
              <w:rPr>
                <w:noProof/>
                <w:webHidden/>
              </w:rPr>
              <w:tab/>
            </w:r>
            <w:r w:rsidR="009617B0">
              <w:rPr>
                <w:noProof/>
                <w:webHidden/>
              </w:rPr>
              <w:fldChar w:fldCharType="begin"/>
            </w:r>
            <w:r w:rsidR="009617B0">
              <w:rPr>
                <w:noProof/>
                <w:webHidden/>
              </w:rPr>
              <w:instrText xml:space="preserve"> PAGEREF _Toc98239995 \h </w:instrText>
            </w:r>
            <w:r w:rsidR="009617B0">
              <w:rPr>
                <w:noProof/>
                <w:webHidden/>
              </w:rPr>
            </w:r>
            <w:r w:rsidR="009617B0">
              <w:rPr>
                <w:noProof/>
                <w:webHidden/>
              </w:rPr>
              <w:fldChar w:fldCharType="separate"/>
            </w:r>
            <w:r w:rsidR="009617B0">
              <w:rPr>
                <w:noProof/>
                <w:webHidden/>
              </w:rPr>
              <w:t>11</w:t>
            </w:r>
            <w:r w:rsidR="009617B0">
              <w:rPr>
                <w:noProof/>
                <w:webHidden/>
              </w:rPr>
              <w:fldChar w:fldCharType="end"/>
            </w:r>
          </w:hyperlink>
        </w:p>
        <w:p w14:paraId="133779DD" w14:textId="592C4936" w:rsidR="009617B0" w:rsidRDefault="00E92772">
          <w:pPr>
            <w:pStyle w:val="TOC3"/>
            <w:tabs>
              <w:tab w:val="right" w:leader="dot" w:pos="9628"/>
            </w:tabs>
            <w:rPr>
              <w:rFonts w:eastAsiaTheme="minorEastAsia"/>
              <w:noProof/>
            </w:rPr>
          </w:pPr>
          <w:hyperlink w:anchor="_Toc98239996" w:history="1">
            <w:r w:rsidR="009617B0" w:rsidRPr="00006199">
              <w:rPr>
                <w:rStyle w:val="Hyperlink"/>
                <w:noProof/>
                <w:lang w:val="it-IT"/>
              </w:rPr>
              <w:t>Regolamentazione</w:t>
            </w:r>
            <w:r w:rsidR="009617B0">
              <w:rPr>
                <w:noProof/>
                <w:webHidden/>
              </w:rPr>
              <w:tab/>
            </w:r>
            <w:r w:rsidR="009617B0">
              <w:rPr>
                <w:noProof/>
                <w:webHidden/>
              </w:rPr>
              <w:fldChar w:fldCharType="begin"/>
            </w:r>
            <w:r w:rsidR="009617B0">
              <w:rPr>
                <w:noProof/>
                <w:webHidden/>
              </w:rPr>
              <w:instrText xml:space="preserve"> PAGEREF _Toc98239996 \h </w:instrText>
            </w:r>
            <w:r w:rsidR="009617B0">
              <w:rPr>
                <w:noProof/>
                <w:webHidden/>
              </w:rPr>
            </w:r>
            <w:r w:rsidR="009617B0">
              <w:rPr>
                <w:noProof/>
                <w:webHidden/>
              </w:rPr>
              <w:fldChar w:fldCharType="separate"/>
            </w:r>
            <w:r w:rsidR="009617B0">
              <w:rPr>
                <w:noProof/>
                <w:webHidden/>
              </w:rPr>
              <w:t>14</w:t>
            </w:r>
            <w:r w:rsidR="009617B0">
              <w:rPr>
                <w:noProof/>
                <w:webHidden/>
              </w:rPr>
              <w:fldChar w:fldCharType="end"/>
            </w:r>
          </w:hyperlink>
        </w:p>
        <w:p w14:paraId="524ADEE3" w14:textId="09586042" w:rsidR="009617B0" w:rsidRDefault="00E92772">
          <w:pPr>
            <w:pStyle w:val="TOC3"/>
            <w:tabs>
              <w:tab w:val="right" w:leader="dot" w:pos="9628"/>
            </w:tabs>
            <w:rPr>
              <w:rFonts w:eastAsiaTheme="minorEastAsia"/>
              <w:noProof/>
            </w:rPr>
          </w:pPr>
          <w:hyperlink w:anchor="_Toc98239997" w:history="1">
            <w:r w:rsidR="009617B0" w:rsidRPr="00006199">
              <w:rPr>
                <w:rStyle w:val="Hyperlink"/>
                <w:noProof/>
                <w:lang w:val="it-IT"/>
              </w:rPr>
              <w:t>Liquidità</w:t>
            </w:r>
            <w:r w:rsidR="009617B0">
              <w:rPr>
                <w:noProof/>
                <w:webHidden/>
              </w:rPr>
              <w:tab/>
            </w:r>
            <w:r w:rsidR="009617B0">
              <w:rPr>
                <w:noProof/>
                <w:webHidden/>
              </w:rPr>
              <w:fldChar w:fldCharType="begin"/>
            </w:r>
            <w:r w:rsidR="009617B0">
              <w:rPr>
                <w:noProof/>
                <w:webHidden/>
              </w:rPr>
              <w:instrText xml:space="preserve"> PAGEREF _Toc98239997 \h </w:instrText>
            </w:r>
            <w:r w:rsidR="009617B0">
              <w:rPr>
                <w:noProof/>
                <w:webHidden/>
              </w:rPr>
            </w:r>
            <w:r w:rsidR="009617B0">
              <w:rPr>
                <w:noProof/>
                <w:webHidden/>
              </w:rPr>
              <w:fldChar w:fldCharType="separate"/>
            </w:r>
            <w:r w:rsidR="009617B0">
              <w:rPr>
                <w:noProof/>
                <w:webHidden/>
              </w:rPr>
              <w:t>16</w:t>
            </w:r>
            <w:r w:rsidR="009617B0">
              <w:rPr>
                <w:noProof/>
                <w:webHidden/>
              </w:rPr>
              <w:fldChar w:fldCharType="end"/>
            </w:r>
          </w:hyperlink>
        </w:p>
        <w:p w14:paraId="1D558EDF" w14:textId="07C329FA" w:rsidR="009617B0" w:rsidRDefault="00E92772">
          <w:pPr>
            <w:pStyle w:val="TOC2"/>
            <w:tabs>
              <w:tab w:val="right" w:leader="dot" w:pos="9628"/>
            </w:tabs>
            <w:rPr>
              <w:rFonts w:eastAsiaTheme="minorEastAsia"/>
              <w:noProof/>
            </w:rPr>
          </w:pPr>
          <w:hyperlink w:anchor="_Toc98239998" w:history="1">
            <w:r w:rsidR="009617B0" w:rsidRPr="00006199">
              <w:rPr>
                <w:rStyle w:val="Hyperlink"/>
                <w:noProof/>
                <w:lang w:val="it-IT"/>
              </w:rPr>
              <w:t>Perché è importante che il mercato sia efficiente?</w:t>
            </w:r>
            <w:r w:rsidR="009617B0">
              <w:rPr>
                <w:noProof/>
                <w:webHidden/>
              </w:rPr>
              <w:tab/>
            </w:r>
            <w:r w:rsidR="009617B0">
              <w:rPr>
                <w:noProof/>
                <w:webHidden/>
              </w:rPr>
              <w:fldChar w:fldCharType="begin"/>
            </w:r>
            <w:r w:rsidR="009617B0">
              <w:rPr>
                <w:noProof/>
                <w:webHidden/>
              </w:rPr>
              <w:instrText xml:space="preserve"> PAGEREF _Toc98239998 \h </w:instrText>
            </w:r>
            <w:r w:rsidR="009617B0">
              <w:rPr>
                <w:noProof/>
                <w:webHidden/>
              </w:rPr>
            </w:r>
            <w:r w:rsidR="009617B0">
              <w:rPr>
                <w:noProof/>
                <w:webHidden/>
              </w:rPr>
              <w:fldChar w:fldCharType="separate"/>
            </w:r>
            <w:r w:rsidR="009617B0">
              <w:rPr>
                <w:noProof/>
                <w:webHidden/>
              </w:rPr>
              <w:t>20</w:t>
            </w:r>
            <w:r w:rsidR="009617B0">
              <w:rPr>
                <w:noProof/>
                <w:webHidden/>
              </w:rPr>
              <w:fldChar w:fldCharType="end"/>
            </w:r>
          </w:hyperlink>
        </w:p>
        <w:p w14:paraId="7656C3C5" w14:textId="5FE246D2" w:rsidR="009617B0" w:rsidRDefault="00E92772">
          <w:pPr>
            <w:pStyle w:val="TOC1"/>
            <w:tabs>
              <w:tab w:val="right" w:leader="dot" w:pos="9628"/>
            </w:tabs>
            <w:rPr>
              <w:rFonts w:eastAsiaTheme="minorEastAsia"/>
              <w:noProof/>
            </w:rPr>
          </w:pPr>
          <w:hyperlink w:anchor="_Toc98239999" w:history="1">
            <w:r w:rsidR="009617B0" w:rsidRPr="00006199">
              <w:rPr>
                <w:rStyle w:val="Hyperlink"/>
                <w:noProof/>
              </w:rPr>
              <w:t>Capitolo 3</w:t>
            </w:r>
            <w:r w:rsidR="009617B0">
              <w:rPr>
                <w:noProof/>
                <w:webHidden/>
              </w:rPr>
              <w:tab/>
            </w:r>
            <w:r w:rsidR="009617B0">
              <w:rPr>
                <w:noProof/>
                <w:webHidden/>
              </w:rPr>
              <w:fldChar w:fldCharType="begin"/>
            </w:r>
            <w:r w:rsidR="009617B0">
              <w:rPr>
                <w:noProof/>
                <w:webHidden/>
              </w:rPr>
              <w:instrText xml:space="preserve"> PAGEREF _Toc98239999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79A156B2" w14:textId="2778B32E" w:rsidR="009617B0" w:rsidRDefault="00E92772">
          <w:pPr>
            <w:pStyle w:val="TOC1"/>
            <w:tabs>
              <w:tab w:val="right" w:leader="dot" w:pos="9628"/>
            </w:tabs>
            <w:rPr>
              <w:rFonts w:eastAsiaTheme="minorEastAsia"/>
              <w:noProof/>
            </w:rPr>
          </w:pPr>
          <w:hyperlink w:anchor="_Toc98240000" w:history="1">
            <w:r w:rsidR="009617B0" w:rsidRPr="00006199">
              <w:rPr>
                <w:rStyle w:val="Hyperlink"/>
                <w:noProof/>
                <w:lang w:val="it-IT"/>
              </w:rPr>
              <w:t>Capitolo 4</w:t>
            </w:r>
            <w:r w:rsidR="009617B0">
              <w:rPr>
                <w:noProof/>
                <w:webHidden/>
              </w:rPr>
              <w:tab/>
            </w:r>
            <w:r w:rsidR="009617B0">
              <w:rPr>
                <w:noProof/>
                <w:webHidden/>
              </w:rPr>
              <w:fldChar w:fldCharType="begin"/>
            </w:r>
            <w:r w:rsidR="009617B0">
              <w:rPr>
                <w:noProof/>
                <w:webHidden/>
              </w:rPr>
              <w:instrText xml:space="preserve"> PAGEREF _Toc98240000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13777551" w14:textId="4CAFF91D" w:rsidR="006542E6" w:rsidRDefault="006542E6">
          <w:r>
            <w:rPr>
              <w:b/>
              <w:bCs/>
              <w:noProof/>
            </w:rPr>
            <w:fldChar w:fldCharType="end"/>
          </w:r>
        </w:p>
      </w:sdtContent>
    </w:sdt>
    <w:p w14:paraId="530750CA" w14:textId="77777777" w:rsidR="006542E6" w:rsidRPr="006542E6" w:rsidRDefault="006542E6" w:rsidP="006542E6">
      <w:pPr>
        <w:rPr>
          <w:lang w:val="it-IT"/>
        </w:rPr>
      </w:pPr>
    </w:p>
    <w:p w14:paraId="6B9BA9F1" w14:textId="2307A543" w:rsidR="00EF3551" w:rsidRPr="00641CCF" w:rsidRDefault="00EF3551" w:rsidP="00EF3551">
      <w:pPr>
        <w:pStyle w:val="Heading1"/>
      </w:pPr>
      <w:bookmarkStart w:id="0" w:name="_Toc98239981"/>
      <w:r w:rsidRPr="00641CCF">
        <w:t>Capitolo 1</w:t>
      </w:r>
      <w:bookmarkEnd w:id="0"/>
    </w:p>
    <w:p w14:paraId="775BB99A" w14:textId="77777777" w:rsidR="009B1538" w:rsidRPr="00641CCF" w:rsidRDefault="009B1538" w:rsidP="009B1538"/>
    <w:p w14:paraId="7D30878E" w14:textId="015E0B13" w:rsidR="0037092F" w:rsidRPr="00641CCF" w:rsidRDefault="00A70573" w:rsidP="00EF3551">
      <w:pPr>
        <w:pStyle w:val="Heading2"/>
      </w:pPr>
      <w:bookmarkStart w:id="1" w:name="_Toc98239982"/>
      <w:r w:rsidRPr="00641CCF">
        <w:t>Definizione di Real Estate</w:t>
      </w:r>
      <w:bookmarkEnd w:id="1"/>
    </w:p>
    <w:p w14:paraId="08AF54C9" w14:textId="122E0C2B" w:rsidR="00A70573" w:rsidRPr="00641CCF" w:rsidRDefault="00A70573" w:rsidP="00A70573"/>
    <w:p w14:paraId="5C590994" w14:textId="0FDECC6F" w:rsidR="00F74FD6" w:rsidRPr="006C6049" w:rsidRDefault="00F74FD6" w:rsidP="00A70573">
      <w:pPr>
        <w:rPr>
          <w:lang w:val="it-IT"/>
        </w:rPr>
      </w:pPr>
      <w:r w:rsidRPr="00F74FD6">
        <w:lastRenderedPageBreak/>
        <w:t>“In the perfect world of f</w:t>
      </w:r>
      <w:r>
        <w:t>i</w:t>
      </w:r>
      <w:r w:rsidRPr="00F74FD6">
        <w:t>nance, there would be</w:t>
      </w:r>
      <w:r>
        <w:t xml:space="preserve"> no real estate. Real estate is </w:t>
      </w:r>
      <w:r w:rsidRPr="00F74FD6">
        <w:t xml:space="preserve">heterogeneous, lumpy, and illiquid, traded on </w:t>
      </w:r>
      <w:r>
        <w:t xml:space="preserve">inefficient markets dominated by </w:t>
      </w:r>
      <w:r w:rsidRPr="00F74FD6">
        <w:t xml:space="preserve">asymmetric information. </w:t>
      </w:r>
      <w:r w:rsidRPr="006C6049">
        <w:rPr>
          <w:lang w:val="it-IT"/>
        </w:rPr>
        <w:t>Real estate is heresy to the financial orthodoxy”.</w:t>
      </w:r>
      <w:r w:rsidR="006C6049">
        <w:rPr>
          <w:rStyle w:val="FootnoteReference"/>
        </w:rPr>
        <w:footnoteReference w:id="1"/>
      </w: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2"/>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3"/>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r w:rsidR="00AF5EAA">
        <w:rPr>
          <w:i/>
          <w:iCs/>
          <w:lang w:val="it-IT"/>
        </w:rPr>
        <w:t>derived</w:t>
      </w:r>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r w:rsidR="0067343B">
        <w:rPr>
          <w:i/>
          <w:iCs/>
          <w:lang w:val="it-IT"/>
        </w:rPr>
        <w:t>authentic</w:t>
      </w:r>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7126BC06" w:rsidR="006859DF" w:rsidRDefault="00F65127" w:rsidP="00094F9B">
      <w:pPr>
        <w:pStyle w:val="Heading2"/>
        <w:jc w:val="both"/>
        <w:rPr>
          <w:lang w:val="it-IT"/>
        </w:rPr>
      </w:pPr>
      <w:bookmarkStart w:id="2" w:name="_Toc98239983"/>
      <w:r>
        <w:rPr>
          <w:lang w:val="it-IT"/>
        </w:rPr>
        <w:t>Sottomercati immobiliari</w:t>
      </w:r>
      <w:bookmarkEnd w:id="2"/>
    </w:p>
    <w:p w14:paraId="147CF9B0" w14:textId="198391A2" w:rsidR="00F65127" w:rsidRDefault="00F65127" w:rsidP="00094F9B">
      <w:pPr>
        <w:jc w:val="both"/>
        <w:rPr>
          <w:lang w:val="it-IT"/>
        </w:rPr>
      </w:pPr>
    </w:p>
    <w:p w14:paraId="07ECF5C4" w14:textId="4F5049F4" w:rsidR="00D80F5F" w:rsidRDefault="00F65127" w:rsidP="00094F9B">
      <w:pPr>
        <w:jc w:val="both"/>
        <w:rPr>
          <w:lang w:val="it-IT"/>
        </w:rPr>
      </w:pPr>
      <w:r>
        <w:rPr>
          <w:lang w:val="it-IT"/>
        </w:rPr>
        <w:t>La domanda derivata per il RE è la regola, non l’eccezione</w:t>
      </w:r>
      <w:r w:rsidR="00282F77">
        <w:rPr>
          <w:lang w:val="it-IT"/>
        </w:rPr>
        <w:t xml:space="preserve">. La conseguenza </w:t>
      </w:r>
      <w:r w:rsidR="009B1538">
        <w:rPr>
          <w:lang w:val="it-IT"/>
        </w:rPr>
        <w:t>che ne deriva è la creazione di</w:t>
      </w:r>
      <w:r w:rsidR="00282F77">
        <w:rPr>
          <w:lang w:val="it-IT"/>
        </w:rPr>
        <w:t xml:space="preserve"> “sottomercati” </w:t>
      </w:r>
      <w:r w:rsidR="009B1538">
        <w:rPr>
          <w:lang w:val="it-IT"/>
        </w:rPr>
        <w:t>in competizione</w:t>
      </w:r>
      <w:r w:rsidR="00282F77">
        <w:rPr>
          <w:lang w:val="it-IT"/>
        </w:rPr>
        <w:t xml:space="preserve"> fra di loro. Ad esempio, il suolo agricolo è in </w:t>
      </w:r>
      <w:r w:rsidR="00071BFD">
        <w:rPr>
          <w:lang w:val="it-IT"/>
        </w:rPr>
        <w:t>concorrenza</w:t>
      </w:r>
      <w:r w:rsidR="00282F77">
        <w:rPr>
          <w:lang w:val="it-IT"/>
        </w:rPr>
        <w:t xml:space="preserve"> con quello residenziale, commerciale ed industriale. Questo perché la quantità</w:t>
      </w:r>
      <w:r w:rsidR="00071BFD">
        <w:rPr>
          <w:lang w:val="it-IT"/>
        </w:rPr>
        <w:t xml:space="preserve"> di suolo disponibile è limitata</w:t>
      </w:r>
      <w:r w:rsidR="00D80F5F">
        <w:rPr>
          <w:lang w:val="it-IT"/>
        </w:rPr>
        <w:t xml:space="preserve"> e per sua natura è escludibile e rivale</w:t>
      </w:r>
      <w:r w:rsidR="00071BFD">
        <w:rPr>
          <w:lang w:val="it-IT"/>
        </w:rPr>
        <w:t>, pertanto, il valore</w:t>
      </w:r>
      <w:r w:rsidR="00D80F5F">
        <w:rPr>
          <w:lang w:val="it-IT"/>
        </w:rPr>
        <w:t xml:space="preserve">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sottomercati. </w:t>
      </w:r>
    </w:p>
    <w:p w14:paraId="5789F461" w14:textId="754132B6" w:rsidR="00A25361" w:rsidRDefault="00A25361" w:rsidP="00094F9B">
      <w:pPr>
        <w:jc w:val="both"/>
        <w:rPr>
          <w:lang w:val="it-IT"/>
        </w:rPr>
      </w:pPr>
      <w:r>
        <w:rPr>
          <w:lang w:val="it-IT"/>
        </w:rPr>
        <w:t>Si pensi alla differenza tra edifici locati in centro città piuttosto a quelli locati in periferia o la differenza tra edifici nuovi ed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sottomercati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lastRenderedPageBreak/>
        <w:t>La suddivisione del mercato immobiliare comprende tipicamente tre comparti:</w:t>
      </w:r>
    </w:p>
    <w:p w14:paraId="0BC5E39B" w14:textId="77777777" w:rsidR="00FC47D7" w:rsidRDefault="00FC47D7" w:rsidP="00094F9B">
      <w:pPr>
        <w:pStyle w:val="ListParagraph"/>
        <w:numPr>
          <w:ilvl w:val="0"/>
          <w:numId w:val="3"/>
        </w:numPr>
        <w:jc w:val="both"/>
        <w:rPr>
          <w:lang w:val="it-IT"/>
        </w:rPr>
      </w:pPr>
      <w:r w:rsidRPr="00FC47D7">
        <w:rPr>
          <w:b/>
          <w:lang w:val="it-IT"/>
        </w:rPr>
        <w:t>Residential</w:t>
      </w:r>
      <w:r>
        <w:rPr>
          <w:lang w:val="it-IT"/>
        </w:rPr>
        <w:t>: Edifici ad uso abitativo o non imprenditoriale</w:t>
      </w:r>
    </w:p>
    <w:p w14:paraId="6719C239" w14:textId="49D1AC25" w:rsidR="00FC47D7" w:rsidRPr="00FC47D7" w:rsidRDefault="00FC47D7" w:rsidP="00094F9B">
      <w:pPr>
        <w:pStyle w:val="ListParagraph"/>
        <w:numPr>
          <w:ilvl w:val="0"/>
          <w:numId w:val="3"/>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094F9B">
      <w:pPr>
        <w:pStyle w:val="ListParagraph"/>
        <w:numPr>
          <w:ilvl w:val="0"/>
          <w:numId w:val="3"/>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4"/>
      </w:r>
    </w:p>
    <w:p w14:paraId="1D4344D0" w14:textId="77777777" w:rsidR="00FC47D7" w:rsidRPr="00F65127" w:rsidRDefault="00FC47D7" w:rsidP="00094F9B">
      <w:pPr>
        <w:jc w:val="both"/>
        <w:rPr>
          <w:lang w:val="it-IT"/>
        </w:rPr>
      </w:pPr>
    </w:p>
    <w:p w14:paraId="49462837" w14:textId="451C2CCE" w:rsidR="006859DF" w:rsidRDefault="00A641D2" w:rsidP="00094F9B">
      <w:pPr>
        <w:pStyle w:val="Heading2"/>
        <w:jc w:val="both"/>
        <w:rPr>
          <w:lang w:val="it-IT"/>
        </w:rPr>
      </w:pPr>
      <w:bookmarkStart w:id="3" w:name="_Toc98239984"/>
      <w:r>
        <w:rPr>
          <w:lang w:val="it-IT"/>
        </w:rPr>
        <w:t>Inelasticità dell’offerta</w:t>
      </w:r>
      <w:bookmarkEnd w:id="3"/>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1BAC1D78"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bookmarkStart w:id="4" w:name="_Hlk98079791"/>
      <w:r>
        <w:rPr>
          <w:lang w:val="it-IT"/>
        </w:rPr>
        <w:t>(S</w:t>
      </w:r>
      <w:r>
        <w:rPr>
          <w:vertAlign w:val="subscript"/>
          <w:lang w:val="it-IT"/>
        </w:rPr>
        <w:t>impin</w:t>
      </w:r>
      <w:r>
        <w:rPr>
          <w:lang w:val="it-IT"/>
        </w:rPr>
        <w:t>)</w:t>
      </w:r>
      <w:bookmarkEnd w:id="4"/>
    </w:p>
    <w:p w14:paraId="32B8B44C" w14:textId="1A55030E" w:rsidR="00127FFE" w:rsidRPr="00127FFE" w:rsidRDefault="00420145" w:rsidP="00094F9B">
      <w:pPr>
        <w:jc w:val="both"/>
        <w:rPr>
          <w:lang w:val="it-IT"/>
        </w:rPr>
      </w:pPr>
      <w:r w:rsidRPr="00F43032">
        <w:rPr>
          <w:lang w:val="it-IT"/>
        </w:rPr>
        <w:t>In Figura 2</w:t>
      </w:r>
      <w:r w:rsidR="00F43032" w:rsidRPr="00F43032">
        <w:rPr>
          <w:lang w:val="it-IT"/>
        </w:rPr>
        <w:t>, L</w:t>
      </w:r>
      <w:r w:rsidR="00F43032" w:rsidRPr="00B83766">
        <w:rPr>
          <w:vertAlign w:val="subscript"/>
          <w:lang w:val="it-IT"/>
        </w:rPr>
        <w:t>1</w:t>
      </w:r>
      <w:r w:rsidR="00F43032" w:rsidRPr="00F43032">
        <w:rPr>
          <w:lang w:val="it-IT"/>
        </w:rPr>
        <w:t xml:space="preserve"> e L</w:t>
      </w:r>
      <w:r w:rsidR="00F43032" w:rsidRPr="00B83766">
        <w:rPr>
          <w:vertAlign w:val="subscript"/>
          <w:lang w:val="it-IT"/>
        </w:rPr>
        <w:t>2</w:t>
      </w:r>
      <w:r w:rsidR="00F43032">
        <w:rPr>
          <w:lang w:val="it-IT"/>
        </w:rPr>
        <w:t xml:space="preserve"> sono costruite in modo che, anche a prezzo zero, esisterà sempre una certa quantità di terreno/superfice edificabile. </w:t>
      </w:r>
      <w:r w:rsidR="00F43032" w:rsidRPr="00F43032">
        <w:rPr>
          <w:lang w:val="it-IT"/>
        </w:rPr>
        <w:t xml:space="preserve">Nel caso in cui la curva di offerta di </w:t>
      </w:r>
      <w:r w:rsidR="00F43032">
        <w:rPr>
          <w:lang w:val="it-IT"/>
        </w:rPr>
        <w:t xml:space="preserve">terreno fosse imperfettamente inelastica </w:t>
      </w:r>
      <w:r w:rsidR="00F43032" w:rsidRPr="00F43032">
        <w:rPr>
          <w:lang w:val="it-IT"/>
        </w:rPr>
        <w:t>(S</w:t>
      </w:r>
      <w:r w:rsidR="00F43032" w:rsidRPr="00F43032">
        <w:rPr>
          <w:vertAlign w:val="subscript"/>
          <w:lang w:val="it-IT"/>
        </w:rPr>
        <w:t>impin</w:t>
      </w:r>
      <w:r w:rsidR="00F43032" w:rsidRPr="00F43032">
        <w:rPr>
          <w:lang w:val="it-IT"/>
        </w:rPr>
        <w:t>)</w:t>
      </w:r>
      <w:r w:rsidR="00F43032">
        <w:rPr>
          <w:lang w:val="it-IT"/>
        </w:rPr>
        <w:t xml:space="preserve"> all’aumentare dei prezzi aumenta </w:t>
      </w:r>
      <w:r w:rsidR="00955BF8">
        <w:rPr>
          <w:lang w:val="it-IT"/>
        </w:rPr>
        <w:t xml:space="preserve">un aumento del consumo di terreno meno che proporzionale. </w:t>
      </w:r>
      <w:r w:rsidR="00955BF8" w:rsidRPr="00955BF8">
        <w:rPr>
          <w:lang w:val="it-IT"/>
        </w:rPr>
        <w:t>Nel caso invece di S</w:t>
      </w:r>
      <w:r w:rsidR="00955BF8" w:rsidRPr="00955BF8">
        <w:rPr>
          <w:vertAlign w:val="subscript"/>
          <w:lang w:val="it-IT"/>
        </w:rPr>
        <w:t>pin</w:t>
      </w:r>
      <w:r w:rsidR="00955BF8">
        <w:rPr>
          <w:vertAlign w:val="subscript"/>
          <w:lang w:val="it-IT"/>
        </w:rPr>
        <w:t xml:space="preserve"> </w:t>
      </w:r>
      <w:r w:rsidR="00955BF8">
        <w:rPr>
          <w:lang w:val="it-IT"/>
        </w:rPr>
        <w:t xml:space="preserve">all’aumentare dei prezzi non aumenta l’offerta di terreno. </w:t>
      </w:r>
    </w:p>
    <w:p w14:paraId="598682FD" w14:textId="4A62E343" w:rsidR="00086211" w:rsidRDefault="00086211" w:rsidP="00094F9B">
      <w:pPr>
        <w:pStyle w:val="Heading2"/>
        <w:jc w:val="both"/>
        <w:rPr>
          <w:lang w:val="it-IT"/>
        </w:rPr>
      </w:pPr>
      <w:bookmarkStart w:id="5" w:name="_Toc98239985"/>
      <w:r>
        <w:rPr>
          <w:lang w:val="it-IT"/>
        </w:rPr>
        <w:t>Caratteristiche del mercato immobiliare</w:t>
      </w:r>
      <w:bookmarkEnd w:id="5"/>
    </w:p>
    <w:p w14:paraId="4EB55D80" w14:textId="77777777" w:rsidR="00071BFD" w:rsidRPr="00071BFD" w:rsidRDefault="00071BFD" w:rsidP="00071BFD">
      <w:pPr>
        <w:rPr>
          <w:lang w:val="it-IT"/>
        </w:rPr>
      </w:pP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AA6073">
      <w:pPr>
        <w:pStyle w:val="ListParagraph"/>
        <w:numPr>
          <w:ilvl w:val="0"/>
          <w:numId w:val="23"/>
        </w:numPr>
        <w:jc w:val="both"/>
        <w:rPr>
          <w:lang w:val="it-IT"/>
        </w:rPr>
      </w:pPr>
      <w:r>
        <w:rPr>
          <w:lang w:val="it-IT"/>
        </w:rPr>
        <w:lastRenderedPageBreak/>
        <w:t>RE non è un prodotto omogeneo: I vari immobili differiscono l’uno dall’altro non solo per caratteristiche edilizie ma soprattutto per la location</w:t>
      </w:r>
    </w:p>
    <w:p w14:paraId="21F1380C" w14:textId="28DAF04D" w:rsidR="00AA6073" w:rsidRDefault="006B583F" w:rsidP="00AA6073">
      <w:pPr>
        <w:pStyle w:val="ListParagraph"/>
        <w:numPr>
          <w:ilvl w:val="0"/>
          <w:numId w:val="23"/>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AA6073">
      <w:pPr>
        <w:pStyle w:val="ListParagraph"/>
        <w:numPr>
          <w:ilvl w:val="0"/>
          <w:numId w:val="23"/>
        </w:numPr>
        <w:jc w:val="both"/>
        <w:rPr>
          <w:lang w:val="it-IT"/>
        </w:rPr>
      </w:pPr>
      <w:r>
        <w:rPr>
          <w:lang w:val="it-IT"/>
        </w:rPr>
        <w:t>Definito come mercato monopolistico-competitivo</w:t>
      </w:r>
    </w:p>
    <w:p w14:paraId="370E7F4D" w14:textId="27D9A9BC" w:rsidR="00781F9B" w:rsidRDefault="00781F9B" w:rsidP="00AA6073">
      <w:pPr>
        <w:pStyle w:val="ListParagraph"/>
        <w:numPr>
          <w:ilvl w:val="0"/>
          <w:numId w:val="23"/>
        </w:numPr>
        <w:jc w:val="both"/>
        <w:rPr>
          <w:lang w:val="it-IT"/>
        </w:rPr>
      </w:pPr>
      <w:r>
        <w:rPr>
          <w:lang w:val="it-IT"/>
        </w:rPr>
        <w:t>Pesantemente regolamentato</w:t>
      </w:r>
    </w:p>
    <w:p w14:paraId="64515841" w14:textId="58859D8F" w:rsidR="00781F9B" w:rsidRDefault="00781F9B" w:rsidP="00AA6073">
      <w:pPr>
        <w:pStyle w:val="ListParagraph"/>
        <w:numPr>
          <w:ilvl w:val="0"/>
          <w:numId w:val="23"/>
        </w:numPr>
        <w:jc w:val="both"/>
        <w:rPr>
          <w:lang w:val="it-IT"/>
        </w:rPr>
      </w:pPr>
      <w:r>
        <w:rPr>
          <w:lang w:val="it-IT"/>
        </w:rPr>
        <w:t xml:space="preserve">Ad oggi è difficile suddividere la proprietà degli immobili. </w:t>
      </w:r>
    </w:p>
    <w:p w14:paraId="2F76C39C" w14:textId="4AA1445C" w:rsidR="00781F9B" w:rsidRDefault="00781F9B" w:rsidP="00AA6073">
      <w:pPr>
        <w:pStyle w:val="ListParagraph"/>
        <w:numPr>
          <w:ilvl w:val="0"/>
          <w:numId w:val="23"/>
        </w:numPr>
        <w:jc w:val="both"/>
        <w:rPr>
          <w:lang w:val="it-IT"/>
        </w:rPr>
      </w:pPr>
      <w:r>
        <w:rPr>
          <w:lang w:val="it-IT"/>
        </w:rPr>
        <w:t>Caratterizzato da informazione imperfetta</w:t>
      </w:r>
    </w:p>
    <w:p w14:paraId="31A63D92" w14:textId="13150E51" w:rsidR="000253AF" w:rsidRDefault="000253AF" w:rsidP="00094F9B">
      <w:pPr>
        <w:pStyle w:val="Heading2"/>
        <w:jc w:val="both"/>
        <w:rPr>
          <w:lang w:val="it-IT"/>
        </w:rPr>
      </w:pPr>
      <w:bookmarkStart w:id="6" w:name="_Toc98239986"/>
      <w:r w:rsidRPr="000253AF">
        <w:rPr>
          <w:lang w:val="it-IT"/>
        </w:rPr>
        <w:t xml:space="preserve">Interazione tra </w:t>
      </w:r>
      <w:r>
        <w:rPr>
          <w:lang w:val="it-IT"/>
        </w:rPr>
        <w:t>mercato immobiliare ed economia</w:t>
      </w:r>
      <w:bookmarkEnd w:id="6"/>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r>
        <w:rPr>
          <w:i/>
          <w:lang w:val="it-IT"/>
        </w:rPr>
        <w:t xml:space="preserve">imputed rents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094F9B">
      <w:pPr>
        <w:pStyle w:val="ListParagraph"/>
        <w:numPr>
          <w:ilvl w:val="0"/>
          <w:numId w:val="5"/>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094F9B">
      <w:pPr>
        <w:pStyle w:val="ListParagraph"/>
        <w:numPr>
          <w:ilvl w:val="0"/>
          <w:numId w:val="5"/>
        </w:numPr>
        <w:jc w:val="both"/>
        <w:rPr>
          <w:lang w:val="it-IT"/>
        </w:rPr>
      </w:pPr>
      <w:r>
        <w:rPr>
          <w:lang w:val="it-IT"/>
        </w:rPr>
        <w:t>Valore aggiunto per le imprese che forniscono i progetti immobiliari di materiali e attrezzature</w:t>
      </w:r>
    </w:p>
    <w:p w14:paraId="20B8294A" w14:textId="77777777" w:rsidR="00094F9B" w:rsidRDefault="00094F9B" w:rsidP="00094F9B">
      <w:pPr>
        <w:pStyle w:val="ListParagraph"/>
        <w:numPr>
          <w:ilvl w:val="0"/>
          <w:numId w:val="5"/>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094F9B">
      <w:pPr>
        <w:pStyle w:val="ListParagraph"/>
        <w:numPr>
          <w:ilvl w:val="0"/>
          <w:numId w:val="5"/>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lastRenderedPageBreak/>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3794B7CC" w:rsidR="009A190D" w:rsidRPr="00696B8D" w:rsidRDefault="009A190D" w:rsidP="00E449C2">
      <w:pPr>
        <w:pStyle w:val="Heading3"/>
        <w:jc w:val="both"/>
        <w:rPr>
          <w:lang w:val="it-IT"/>
        </w:rPr>
      </w:pPr>
      <w:bookmarkStart w:id="7" w:name="_Toc98239987"/>
      <w:r w:rsidRPr="00696B8D">
        <w:rPr>
          <w:lang w:val="it-IT"/>
        </w:rPr>
        <w:t>RE è demand-driven</w:t>
      </w:r>
      <w:bookmarkEnd w:id="7"/>
    </w:p>
    <w:p w14:paraId="0A42E0B4" w14:textId="78A011CD" w:rsidR="00DD26D7" w:rsidRDefault="00DD26D7" w:rsidP="00E449C2">
      <w:pPr>
        <w:jc w:val="both"/>
        <w:rPr>
          <w:lang w:val="it-IT"/>
        </w:rPr>
      </w:pPr>
      <w:r>
        <w:rPr>
          <w:lang w:val="it-IT"/>
        </w:rPr>
        <w:t xml:space="preserve">Come si sviluppa il mercato immobiliare? Cosa determina la variazione dell’offerta di immobili? Vi sono quattro possibili spiegazioni, non mutualmente escludibili, il cui fil-rouge è che l’offerta di immobili è prevalentemente demand-driven. </w:t>
      </w:r>
    </w:p>
    <w:p w14:paraId="31E00CC0" w14:textId="21432B14" w:rsidR="00DD26D7" w:rsidRDefault="00DD26D7" w:rsidP="00E449C2">
      <w:pPr>
        <w:pStyle w:val="Heading4"/>
        <w:jc w:val="both"/>
        <w:rPr>
          <w:lang w:val="it-IT"/>
        </w:rPr>
      </w:pPr>
      <w:r>
        <w:rPr>
          <w:lang w:val="it-IT"/>
        </w:rPr>
        <w:t xml:space="preserve">Investimento Utility-driven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Aumentando l’offerta di immobili, l’utilità marginale scende finchè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lastRenderedPageBreak/>
        <w:t>q</w:t>
      </w:r>
      <w:r w:rsidR="00E449C2">
        <w:rPr>
          <w:lang w:val="it-IT"/>
        </w:rPr>
        <w:t xml:space="preserve"> di Tobin</w:t>
      </w:r>
    </w:p>
    <w:p w14:paraId="441B659B" w14:textId="6934FC59" w:rsidR="00E449C2" w:rsidRDefault="00E449C2" w:rsidP="00F119F7">
      <w:pPr>
        <w:jc w:val="both"/>
        <w:rPr>
          <w:lang w:val="it-IT"/>
        </w:rPr>
      </w:pPr>
      <w:r>
        <w:rPr>
          <w:lang w:val="it-IT"/>
        </w:rPr>
        <w:t xml:space="preserve">Una alternativa alla teoria precedente è quella secondo cui gli investimenti verranno intrapresi se il </w:t>
      </w:r>
      <w:r w:rsidR="00071BFD">
        <w:rPr>
          <w:lang w:val="it-IT"/>
        </w:rPr>
        <w:t>rapporto</w:t>
      </w:r>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r>
        <w:rPr>
          <w:lang w:val="it-IT"/>
        </w:rPr>
        <w:t>Jud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dove OFHEO è l’acronimo di “Office of Federal Housing Enterprise Oversight</w:t>
      </w:r>
      <w:r>
        <w:rPr>
          <w:rFonts w:eastAsiaTheme="minorEastAsia"/>
        </w:rPr>
        <w:t>”.</w:t>
      </w:r>
    </w:p>
    <w:p w14:paraId="726D12C6" w14:textId="22364236" w:rsidR="00B80503" w:rsidRDefault="00B80503" w:rsidP="00F119F7">
      <w:pPr>
        <w:jc w:val="both"/>
        <w:rPr>
          <w:rFonts w:eastAsiaTheme="minorEastAsia"/>
          <w:lang w:val="it-IT"/>
        </w:rPr>
      </w:pPr>
      <w:r w:rsidRPr="00B80503">
        <w:rPr>
          <w:rFonts w:eastAsiaTheme="minorEastAsia"/>
          <w:lang w:val="it-IT"/>
        </w:rPr>
        <w:t xml:space="preserve">Il </w:t>
      </w:r>
      <w:r w:rsidR="00071BFD">
        <w:rPr>
          <w:rFonts w:eastAsiaTheme="minorEastAsia"/>
          <w:lang w:val="it-IT"/>
        </w:rPr>
        <w:t>rapporto</w:t>
      </w:r>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Tuttavia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r>
        <w:rPr>
          <w:lang w:val="it-IT"/>
        </w:rPr>
        <w:t xml:space="preserve">Infatti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F119F7">
      <w:pPr>
        <w:pStyle w:val="ListParagraph"/>
        <w:numPr>
          <w:ilvl w:val="0"/>
          <w:numId w:val="6"/>
        </w:numPr>
        <w:jc w:val="both"/>
        <w:rPr>
          <w:lang w:val="it-IT"/>
        </w:rPr>
      </w:pPr>
      <w:r>
        <w:rPr>
          <w:lang w:val="it-IT"/>
        </w:rPr>
        <w:t>I costi di costruzione tendono ad aumentare per via dell’inflazione</w:t>
      </w:r>
    </w:p>
    <w:p w14:paraId="696DD11C" w14:textId="0279F6A8" w:rsidR="00232A5D" w:rsidRDefault="00232A5D" w:rsidP="00F119F7">
      <w:pPr>
        <w:pStyle w:val="ListParagraph"/>
        <w:numPr>
          <w:ilvl w:val="0"/>
          <w:numId w:val="6"/>
        </w:numPr>
        <w:jc w:val="both"/>
        <w:rPr>
          <w:lang w:val="it-IT"/>
        </w:rPr>
      </w:pPr>
      <w:r>
        <w:rPr>
          <w:lang w:val="it-IT"/>
        </w:rPr>
        <w:t>Gli affitti aumentano quando il valore immobiliare aumenta</w:t>
      </w:r>
    </w:p>
    <w:p w14:paraId="4A47246A" w14:textId="474806DE" w:rsidR="00232A5D" w:rsidRPr="00EA4B92" w:rsidRDefault="00232A5D" w:rsidP="00EA4B92">
      <w:pPr>
        <w:pStyle w:val="ListParagraph"/>
        <w:numPr>
          <w:ilvl w:val="0"/>
          <w:numId w:val="6"/>
        </w:numPr>
        <w:jc w:val="both"/>
        <w:rPr>
          <w:lang w:val="it-IT"/>
        </w:rPr>
      </w:pPr>
      <w:r>
        <w:rPr>
          <w:lang w:val="it-IT"/>
        </w:rPr>
        <w:t>Quando domanda e offerta sono equilibrate, le forze dell’equilibrio di mercato tendono ad eguagliare</w:t>
      </w:r>
      <w:r w:rsidR="00EA4B92">
        <w:rPr>
          <w:lang w:val="it-IT"/>
        </w:rPr>
        <w:t xml:space="preserve"> </w:t>
      </w:r>
      <w:r w:rsidRPr="00EA4B92">
        <w:rPr>
          <w:lang w:val="it-IT"/>
        </w:rPr>
        <w:t>il valore degli edifici con il loro costo</w:t>
      </w:r>
    </w:p>
    <w:p w14:paraId="42ABAD89" w14:textId="4A0DD690" w:rsidR="006046CD" w:rsidRPr="006046CD" w:rsidRDefault="006046CD" w:rsidP="00F119F7">
      <w:pPr>
        <w:pStyle w:val="ListParagraph"/>
        <w:numPr>
          <w:ilvl w:val="0"/>
          <w:numId w:val="6"/>
        </w:numPr>
        <w:jc w:val="both"/>
        <w:rPr>
          <w:lang w:val="it-IT"/>
        </w:rPr>
      </w:pPr>
      <w:r>
        <w:rPr>
          <w:lang w:val="it-IT"/>
        </w:rPr>
        <w:t xml:space="preserve">I contratti di affitto possono essere indicizzati all’inflazione. </w:t>
      </w:r>
    </w:p>
    <w:p w14:paraId="3286762E" w14:textId="5B37FDED" w:rsidR="00232A5D" w:rsidRDefault="006771CC" w:rsidP="00F119F7">
      <w:pPr>
        <w:pStyle w:val="Heading2"/>
        <w:jc w:val="both"/>
        <w:rPr>
          <w:rFonts w:eastAsiaTheme="minorEastAsia"/>
          <w:lang w:val="it-IT"/>
        </w:rPr>
      </w:pPr>
      <w:bookmarkStart w:id="8" w:name="_Toc98239988"/>
      <w:r>
        <w:rPr>
          <w:rFonts w:eastAsiaTheme="minorEastAsia"/>
          <w:lang w:val="it-IT"/>
        </w:rPr>
        <w:t>La crescita del RE negli anni</w:t>
      </w:r>
      <w:bookmarkEnd w:id="8"/>
    </w:p>
    <w:p w14:paraId="7607A210" w14:textId="77777777" w:rsidR="00420145" w:rsidRPr="00420145" w:rsidRDefault="00420145" w:rsidP="00420145">
      <w:pPr>
        <w:rPr>
          <w:lang w:val="it-IT"/>
        </w:rPr>
      </w:pP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mentre il valore dei directly held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lastRenderedPageBreak/>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53A4508D"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2BE15F1" w14:textId="715C8428" w:rsidR="00CF52BE" w:rsidRDefault="00E93E61" w:rsidP="00F119F7">
      <w:pPr>
        <w:jc w:val="both"/>
        <w:rPr>
          <w:lang w:val="it-IT"/>
        </w:rPr>
      </w:pPr>
      <w:r>
        <w:rPr>
          <w:lang w:val="it-IT"/>
        </w:rPr>
        <w:t xml:space="preserve">Le proprietà immobiliari possono essere detenute direttamente o indirettamente attraverso l’uso di quote di entità che detengono a loro volta degli immobili. </w:t>
      </w:r>
    </w:p>
    <w:p w14:paraId="04CF4BDB" w14:textId="2BE96FAB" w:rsidR="00CF52BE" w:rsidRDefault="00C92D96" w:rsidP="00F119F7">
      <w:pPr>
        <w:jc w:val="both"/>
        <w:rPr>
          <w:lang w:val="it-IT"/>
        </w:rPr>
      </w:pPr>
      <w:r>
        <w:rPr>
          <w:lang w:val="it-IT"/>
        </w:rPr>
        <w:t>Gli unici veicoli veramente liquidi, che hanno una relazione con il RE, sono i “Real Estate Investment Trust” o REIT. I REIT infatti sono quotati sui maggiori mercati e vengono scambiati continuamente.</w:t>
      </w:r>
      <w:r w:rsidR="00CF52BE">
        <w:rPr>
          <w:lang w:val="it-IT"/>
        </w:rPr>
        <w:t xml:space="preserve"> Si tratta di trusts il cui compito è quello di detenere e gestire patrimoni immobiliari.</w:t>
      </w:r>
    </w:p>
    <w:p w14:paraId="772033E2" w14:textId="32F973AF" w:rsidR="00E93E61" w:rsidRDefault="00E93E61" w:rsidP="00F119F7">
      <w:pPr>
        <w:jc w:val="both"/>
        <w:rPr>
          <w:lang w:val="it-IT"/>
        </w:rPr>
      </w:pPr>
      <w:r>
        <w:rPr>
          <w:lang w:val="it-IT"/>
        </w:rPr>
        <w:t>Presi come</w:t>
      </w:r>
      <w:r w:rsidR="00C92D96">
        <w:rPr>
          <w:lang w:val="it-IT"/>
        </w:rPr>
        <w:t xml:space="preserve">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0E377AC7" w14:textId="71FFBDDC" w:rsidR="0040094F" w:rsidRDefault="00801AE2" w:rsidP="00F119F7">
      <w:pPr>
        <w:jc w:val="both"/>
        <w:rPr>
          <w:lang w:val="it-IT"/>
        </w:rPr>
      </w:pPr>
      <w:r>
        <w:rPr>
          <w:lang w:val="it-IT"/>
        </w:rPr>
        <w:t xml:space="preserve">Per fare ciò si prende in considerazione il </w:t>
      </w:r>
      <w:r w:rsidR="005531A5" w:rsidRPr="005531A5">
        <w:rPr>
          <w:lang w:val="it-IT"/>
        </w:rPr>
        <w:t>FTSE Nareit US Real Estate Index</w:t>
      </w:r>
      <w:r w:rsidR="005531A5">
        <w:rPr>
          <w:lang w:val="it-IT"/>
        </w:rPr>
        <w:t xml:space="preserve"> che è un indice creato dalla NAREIT che è un’associazione </w:t>
      </w:r>
      <w:r w:rsidR="0040094F">
        <w:rPr>
          <w:lang w:val="it-IT"/>
        </w:rPr>
        <w:t xml:space="preserve">americana che si occupa di lobbying del mercato REIT, con circa 190 REITs incorporati </w:t>
      </w:r>
      <w:r w:rsidR="00D257FD">
        <w:rPr>
          <w:lang w:val="it-IT"/>
        </w:rPr>
        <w:t>e</w:t>
      </w:r>
      <w:r w:rsidR="0040094F">
        <w:rPr>
          <w:lang w:val="it-IT"/>
        </w:rPr>
        <w:t xml:space="preserve"> una market cap di $1.5 trilioni.</w:t>
      </w:r>
    </w:p>
    <w:p w14:paraId="6F03A5C0" w14:textId="786E7EF6" w:rsidR="00007004" w:rsidRDefault="00E93E61" w:rsidP="00E77A72">
      <w:pPr>
        <w:jc w:val="center"/>
        <w:rPr>
          <w:lang w:val="it-IT"/>
        </w:rPr>
      </w:pPr>
      <w:r>
        <w:rPr>
          <w:noProof/>
        </w:rPr>
        <w:drawing>
          <wp:inline distT="0" distB="0" distL="0" distR="0" wp14:anchorId="2DB92DF3" wp14:editId="34248A63">
            <wp:extent cx="4572000" cy="2743200"/>
            <wp:effectExtent l="0" t="0" r="0" b="0"/>
            <wp:docPr id="56" name="Chart 56">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09914A" w14:textId="04178958" w:rsidR="00E77A72" w:rsidRDefault="00E77A72" w:rsidP="00E77A72">
      <w:pPr>
        <w:jc w:val="both"/>
        <w:rPr>
          <w:lang w:val="it-IT"/>
        </w:rPr>
      </w:pPr>
    </w:p>
    <w:p w14:paraId="15FCB70F" w14:textId="5FEB06F4" w:rsidR="00E77A72" w:rsidRPr="00E77A72" w:rsidRDefault="00E77A72" w:rsidP="00E77A72">
      <w:pPr>
        <w:jc w:val="both"/>
        <w:rPr>
          <w:lang w:val="it-IT"/>
        </w:rPr>
      </w:pPr>
      <w:r w:rsidRPr="00E77A72">
        <w:rPr>
          <w:lang w:val="it-IT"/>
        </w:rPr>
        <w:lastRenderedPageBreak/>
        <w:t xml:space="preserve">Con un </w:t>
      </w:r>
      <w:r w:rsidR="00D257FD">
        <w:rPr>
          <w:lang w:val="it-IT"/>
        </w:rPr>
        <w:t xml:space="preserve">average </w:t>
      </w:r>
      <w:r w:rsidRPr="00E77A72">
        <w:rPr>
          <w:lang w:val="it-IT"/>
        </w:rPr>
        <w:t xml:space="preserve">risk-adjusted return del 17.8% è </w:t>
      </w:r>
      <w:r>
        <w:rPr>
          <w:lang w:val="it-IT"/>
        </w:rPr>
        <w:t>facile notare che i NAREIT hanno storicamente un profilo rischio/rendimento migliore rispetto all’indice azionario di riferimento S&amp;P 500 che ha un</w:t>
      </w:r>
      <w:r w:rsidR="00D257FD">
        <w:rPr>
          <w:lang w:val="it-IT"/>
        </w:rPr>
        <w:t xml:space="preserve"> average</w:t>
      </w:r>
      <w:r>
        <w:rPr>
          <w:lang w:val="it-IT"/>
        </w:rPr>
        <w:t xml:space="preserve"> risk-adjusted return del 16.3% nel periodo 1/12/1971-1/02/2022.</w:t>
      </w:r>
    </w:p>
    <w:p w14:paraId="031D7114" w14:textId="6F3E9C2B" w:rsidR="009605CE" w:rsidRPr="00845990" w:rsidRDefault="00845990" w:rsidP="00845990">
      <w:pPr>
        <w:pStyle w:val="Heading2"/>
        <w:rPr>
          <w:lang w:val="it-IT"/>
        </w:rPr>
      </w:pPr>
      <w:bookmarkStart w:id="9" w:name="_Toc98239989"/>
      <w:r w:rsidRPr="00845990">
        <w:rPr>
          <w:lang w:val="it-IT"/>
        </w:rPr>
        <w:t xml:space="preserve">Regolamentazione </w:t>
      </w:r>
      <w:r w:rsidR="003E296D">
        <w:rPr>
          <w:lang w:val="it-IT"/>
        </w:rPr>
        <w:t>fondi di investimento immobiliare</w:t>
      </w:r>
      <w:bookmarkEnd w:id="9"/>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5A7FF08" w:rsidR="00C13DB9" w:rsidRDefault="00C13DB9" w:rsidP="00C13DB9">
      <w:pPr>
        <w:pStyle w:val="Heading3"/>
        <w:rPr>
          <w:lang w:val="it-IT"/>
        </w:rPr>
      </w:pPr>
      <w:bookmarkStart w:id="10" w:name="_Toc98239990"/>
      <w:r>
        <w:rPr>
          <w:lang w:val="it-IT"/>
        </w:rPr>
        <w:t>Gli OICR</w:t>
      </w:r>
      <w:bookmarkEnd w:id="10"/>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l'organismo istituito per la prestazione del servizio di gestione collettiva del risparmio, il cui patrimonio è raccolto tra una pluralità di 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BE26DD">
      <w:pPr>
        <w:pStyle w:val="ListParagraph"/>
        <w:numPr>
          <w:ilvl w:val="0"/>
          <w:numId w:val="8"/>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BE26DD">
      <w:pPr>
        <w:pStyle w:val="ListParagraph"/>
        <w:numPr>
          <w:ilvl w:val="0"/>
          <w:numId w:val="8"/>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rimborsi il fatto che un OICVM agisca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t>FIA italiano: “</w:t>
      </w:r>
      <w:r w:rsidRPr="00BE26DD">
        <w:rPr>
          <w:i/>
          <w:lang w:val="it-IT"/>
        </w:rPr>
        <w:t>il fondo comune di investimento, la Sicav e la Sicaf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lastRenderedPageBreak/>
        <w:t>FIA non UE: “</w:t>
      </w:r>
      <w:r w:rsidRPr="00BE26DD">
        <w:rPr>
          <w:i/>
          <w:lang w:val="it-IT"/>
        </w:rPr>
        <w:t>gli OICR rientranti nell’ambito di applicazione della direttiva 2011/61/UE, costituiti in uno Stato non appartenente all’UE</w:t>
      </w:r>
      <w:r>
        <w:rPr>
          <w:lang w:val="it-IT"/>
        </w:rPr>
        <w:t>”;</w:t>
      </w:r>
    </w:p>
    <w:p w14:paraId="638AA304" w14:textId="029693E9" w:rsidR="00BE26DD" w:rsidRDefault="00C13DB9" w:rsidP="00C13DB9">
      <w:pPr>
        <w:pStyle w:val="Heading3"/>
        <w:rPr>
          <w:lang w:val="it-IT"/>
        </w:rPr>
      </w:pPr>
      <w:bookmarkStart w:id="11" w:name="_Toc98239991"/>
      <w:r>
        <w:rPr>
          <w:lang w:val="it-IT"/>
        </w:rPr>
        <w:t>Caratteri generali</w:t>
      </w:r>
      <w:bookmarkEnd w:id="11"/>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C13DB9">
      <w:pPr>
        <w:pStyle w:val="ListParagraph"/>
        <w:numPr>
          <w:ilvl w:val="0"/>
          <w:numId w:val="9"/>
        </w:numPr>
        <w:rPr>
          <w:lang w:val="it-IT"/>
        </w:rPr>
      </w:pPr>
      <w:r>
        <w:rPr>
          <w:lang w:val="it-IT"/>
        </w:rPr>
        <w:t>gestione di un patrimonio;</w:t>
      </w:r>
    </w:p>
    <w:p w14:paraId="4FB240B3" w14:textId="5DB293FB" w:rsidR="00C13DB9" w:rsidRDefault="00C13DB9" w:rsidP="00C13DB9">
      <w:pPr>
        <w:pStyle w:val="ListParagraph"/>
        <w:numPr>
          <w:ilvl w:val="0"/>
          <w:numId w:val="9"/>
        </w:numPr>
        <w:rPr>
          <w:lang w:val="it-IT"/>
        </w:rPr>
      </w:pPr>
      <w:r>
        <w:rPr>
          <w:lang w:val="it-IT"/>
        </w:rPr>
        <w:t>gestione dei rischi di tale patrimonio;</w:t>
      </w:r>
    </w:p>
    <w:p w14:paraId="1C7E1AD6" w14:textId="088C4CA1" w:rsidR="00C13DB9" w:rsidRDefault="00C13DB9" w:rsidP="00C13DB9">
      <w:pPr>
        <w:pStyle w:val="ListParagraph"/>
        <w:numPr>
          <w:ilvl w:val="0"/>
          <w:numId w:val="9"/>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304E9F90" w14:textId="0944B160" w:rsidR="001B6483" w:rsidRPr="001B6483" w:rsidRDefault="001B6483" w:rsidP="001B6483">
      <w:pPr>
        <w:pStyle w:val="Heading1"/>
        <w:rPr>
          <w:lang w:val="it-IT"/>
        </w:rPr>
      </w:pPr>
      <w:bookmarkStart w:id="12" w:name="_Toc98239992"/>
      <w:r w:rsidRPr="001B6483">
        <w:rPr>
          <w:lang w:val="it-IT"/>
        </w:rPr>
        <w:t>Capitolo 2</w:t>
      </w:r>
      <w:bookmarkEnd w:id="12"/>
    </w:p>
    <w:p w14:paraId="0FFDA7AF" w14:textId="42D63F6B" w:rsidR="00AF709F" w:rsidRDefault="00AF709F" w:rsidP="00BF1C60">
      <w:pPr>
        <w:pStyle w:val="Heading2"/>
        <w:rPr>
          <w:lang w:val="it-IT"/>
        </w:rPr>
      </w:pPr>
      <w:bookmarkStart w:id="13" w:name="_Toc98239993"/>
      <w:r w:rsidRPr="00AF709F">
        <w:rPr>
          <w:lang w:val="it-IT"/>
        </w:rPr>
        <w:t>Efficienza del mercato immobiliare</w:t>
      </w:r>
      <w:bookmarkEnd w:id="13"/>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beni i quali presentano diverse utilità. La teoria sostiene che </w:t>
      </w:r>
      <w:r w:rsidRPr="00AF709F">
        <w:rPr>
          <w:lang w:val="it-IT"/>
        </w:rPr>
        <w:t xml:space="preserve">una particolare allocazione di beni è considerabile pareto-efficiente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814DCFC" w:rsidR="00510439" w:rsidRDefault="00510439" w:rsidP="00C454AC">
      <w:pPr>
        <w:jc w:val="both"/>
        <w:rPr>
          <w:lang w:val="it-IT"/>
        </w:rPr>
      </w:pPr>
      <w:r>
        <w:rPr>
          <w:lang w:val="it-IT"/>
        </w:rPr>
        <w:t>Un mercato efficiente, come definito da Fama</w:t>
      </w:r>
      <w:r>
        <w:rPr>
          <w:rStyle w:val="FootnoteReference"/>
          <w:lang w:val="it-IT"/>
        </w:rPr>
        <w:footnoteReference w:id="12"/>
      </w:r>
      <w:r>
        <w:rPr>
          <w:lang w:val="it-IT"/>
        </w:rPr>
        <w:t xml:space="preserve"> implica che tutti i prezzi di mercato riflettano istantaneamente e in pieno tutte le informazioni rilevanti disponibili. Grossman e Stiglitz</w:t>
      </w:r>
      <w:r>
        <w:rPr>
          <w:rStyle w:val="FootnoteReference"/>
          <w:lang w:val="it-IT"/>
        </w:rPr>
        <w:footnoteReference w:id="13"/>
      </w:r>
      <w:r>
        <w:rPr>
          <w:lang w:val="it-IT"/>
        </w:rPr>
        <w:t xml:space="preserve"> dimostrano come, </w:t>
      </w:r>
      <w:r w:rsidR="00EA4B92">
        <w:rPr>
          <w:lang w:val="it-IT"/>
        </w:rPr>
        <w:t>affinché</w:t>
      </w:r>
      <w:r>
        <w:rPr>
          <w:lang w:val="it-IT"/>
        </w:rPr>
        <w:t xml:space="preserve"> i mercati siano pienamente efficienti, non vi debbano essere costi associati all’ottenimento delle informazioni o all’esecuzione degli ordini. Un’altra definizione di efficienza del mercato è quella secondo cui i prezzi riflettono le informazioni disponibili fino al punt</w:t>
      </w:r>
      <w:r w:rsidR="00071BFD">
        <w:rPr>
          <w:lang w:val="it-IT"/>
        </w:rPr>
        <w:t>o in cui i benefici marginali dell’</w:t>
      </w:r>
      <w:r>
        <w:rPr>
          <w:lang w:val="it-IT"/>
        </w:rPr>
        <w:t>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6A9138A5" w:rsidR="00ED52C9" w:rsidRDefault="00ED52C9" w:rsidP="00C454AC">
      <w:pPr>
        <w:jc w:val="both"/>
        <w:rPr>
          <w:lang w:val="it-IT"/>
        </w:rPr>
      </w:pPr>
      <w:r>
        <w:rPr>
          <w:lang w:val="it-IT"/>
        </w:rPr>
        <w:lastRenderedPageBreak/>
        <w:t xml:space="preserve">La teoria dell’efficienza del mercato è l’applicazione del teorema del “profitto zero” di un’economia perfettamente competitiva. </w:t>
      </w:r>
      <w:r w:rsidR="00EA4B92">
        <w:rPr>
          <w:lang w:val="it-IT"/>
        </w:rPr>
        <w:t>Infatti,</w:t>
      </w:r>
      <w:r>
        <w:rPr>
          <w:lang w:val="it-IT"/>
        </w:rPr>
        <w:t xml:space="preserve"> in un mercato perfettamente competitivo ogni informazione viene scontata prontamente da tutti gli attori del mercato e ciò non dà spazio allo sfruttamento di profitti.</w:t>
      </w:r>
    </w:p>
    <w:p w14:paraId="59050C2F" w14:textId="4CCCCB91"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r w:rsidR="00EA4B92">
        <w:rPr>
          <w:lang w:val="it-IT"/>
        </w:rPr>
        <w:t>Infatti,</w:t>
      </w:r>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walk </w:t>
      </w:r>
    </w:p>
    <w:p w14:paraId="2AF53E2A" w14:textId="3972305E" w:rsidR="00C454AC" w:rsidRDefault="00E92772"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r>
        <w:rPr>
          <w:rFonts w:cstheme="minorHAnsi"/>
          <w:lang w:val="it-IT"/>
        </w:rPr>
        <w:t>Ω</w:t>
      </w:r>
      <w:r>
        <w:rPr>
          <w:vertAlign w:val="subscript"/>
          <w:lang w:val="it-IT"/>
        </w:rPr>
        <w:t>t</w:t>
      </w:r>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r>
        <w:rPr>
          <w:rFonts w:eastAsiaTheme="minorEastAsia"/>
          <w:lang w:val="it-IT"/>
        </w:rPr>
        <w:t>Dunque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03FFB04C" w:rsidR="00C454AC" w:rsidRDefault="00C454AC" w:rsidP="00C454AC">
      <w:pPr>
        <w:pStyle w:val="Heading2"/>
        <w:rPr>
          <w:lang w:val="it-IT"/>
        </w:rPr>
      </w:pPr>
      <w:bookmarkStart w:id="14" w:name="_Toc98239994"/>
      <w:r>
        <w:rPr>
          <w:lang w:val="it-IT"/>
        </w:rPr>
        <w:t>Inefficienze del mercato immobiliare</w:t>
      </w:r>
      <w:bookmarkEnd w:id="14"/>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4"/>
      </w:r>
      <w:r>
        <w:rPr>
          <w:lang w:val="it-IT"/>
        </w:rPr>
        <w:t>:</w:t>
      </w:r>
    </w:p>
    <w:p w14:paraId="6B52A8A3" w14:textId="3A75D4B0" w:rsidR="00103BBF" w:rsidRDefault="00103BBF" w:rsidP="00C454AC">
      <w:pPr>
        <w:pStyle w:val="ListParagraph"/>
        <w:numPr>
          <w:ilvl w:val="0"/>
          <w:numId w:val="18"/>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il gioco la divisione del RE in sottomercati definiti dalla tipologia, location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C454AC">
      <w:pPr>
        <w:pStyle w:val="ListParagraph"/>
        <w:numPr>
          <w:ilvl w:val="0"/>
          <w:numId w:val="18"/>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non possono cambiare abbastanza frequentemente quanto viene richiesto dal mercato efficiente e non riescono a reagire all’emissione di nuove informazioni. </w:t>
      </w:r>
    </w:p>
    <w:p w14:paraId="46FDAA52" w14:textId="195D9040" w:rsidR="006E49CB" w:rsidRDefault="006E49CB" w:rsidP="00C454AC">
      <w:pPr>
        <w:pStyle w:val="ListParagraph"/>
        <w:numPr>
          <w:ilvl w:val="0"/>
          <w:numId w:val="18"/>
        </w:numPr>
        <w:jc w:val="both"/>
        <w:rPr>
          <w:lang w:val="it-IT"/>
        </w:rPr>
      </w:pPr>
      <w:r>
        <w:rPr>
          <w:i/>
          <w:lang w:val="it-IT"/>
        </w:rPr>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w:t>
      </w:r>
      <w:r>
        <w:rPr>
          <w:lang w:val="it-IT"/>
        </w:rPr>
        <w:lastRenderedPageBreak/>
        <w:t xml:space="preserve">differiscano sostanzialmente l’uno dall’altro e quindi questo ha implicazioni in termini di disponibilità delle informazioni. </w:t>
      </w:r>
    </w:p>
    <w:p w14:paraId="3573A990" w14:textId="38349838" w:rsidR="006E49CB" w:rsidRDefault="006E49CB" w:rsidP="00C454AC">
      <w:pPr>
        <w:pStyle w:val="ListParagraph"/>
        <w:numPr>
          <w:ilvl w:val="0"/>
          <w:numId w:val="18"/>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C454AC">
      <w:pPr>
        <w:pStyle w:val="ListParagraph"/>
        <w:numPr>
          <w:ilvl w:val="0"/>
          <w:numId w:val="18"/>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C454AC">
      <w:pPr>
        <w:pStyle w:val="ListParagraph"/>
        <w:numPr>
          <w:ilvl w:val="0"/>
          <w:numId w:val="18"/>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4B9C39B0" w:rsidR="00214029" w:rsidRDefault="00214029" w:rsidP="00C454AC">
      <w:pPr>
        <w:pStyle w:val="ListParagraph"/>
        <w:numPr>
          <w:ilvl w:val="0"/>
          <w:numId w:val="18"/>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435E039C" w14:textId="15F05696" w:rsidR="00D44CB1" w:rsidRPr="00D44CB1" w:rsidRDefault="00267C72" w:rsidP="00D44CB1">
      <w:pPr>
        <w:jc w:val="both"/>
        <w:rPr>
          <w:lang w:val="it-IT"/>
        </w:rPr>
      </w:pPr>
      <w:r>
        <w:rPr>
          <w:lang w:val="it-IT"/>
        </w:rPr>
        <w:t>Baum e Hartzell</w:t>
      </w:r>
      <w:r>
        <w:rPr>
          <w:rStyle w:val="FootnoteReference"/>
          <w:lang w:val="it-IT"/>
        </w:rPr>
        <w:footnoteReference w:id="15"/>
      </w:r>
      <w:r>
        <w:rPr>
          <w:lang w:val="it-IT"/>
        </w:rPr>
        <w:t xml:space="preserve"> utilizzano i dati di rendimento e rischio del mercato Real Estate americano per trovare l’allocazione ottima ipotetica secondo la Modern Portfolio Theory trovando un valore compreso tra il 30% e il 60%. Tuttavia l’allocazione effettiva di capitale tra gli investitori istituzionali nel 2021 sul Real Estate era attorno al 10.7%</w:t>
      </w:r>
      <w:r>
        <w:rPr>
          <w:rStyle w:val="FootnoteReference"/>
          <w:lang w:val="it-IT"/>
        </w:rPr>
        <w:footnoteReference w:id="16"/>
      </w:r>
      <w:r>
        <w:rPr>
          <w:lang w:val="it-IT"/>
        </w:rPr>
        <w:t xml:space="preserve">. La differenza tra il risultato teorico e quello pratico sta proprio nelle inefficienze. Le CMA (Capital Market Assumptions) non riescono a misurare i problemi come l’illiquidità e i costi di transazione. </w:t>
      </w:r>
    </w:p>
    <w:p w14:paraId="64929CD4" w14:textId="5679803E" w:rsidR="0082563B" w:rsidRDefault="003E5CA1" w:rsidP="003E5CA1">
      <w:pPr>
        <w:pStyle w:val="Heading3"/>
        <w:rPr>
          <w:lang w:val="it-IT"/>
        </w:rPr>
      </w:pPr>
      <w:bookmarkStart w:id="15" w:name="_Toc98239995"/>
      <w:r>
        <w:rPr>
          <w:lang w:val="it-IT"/>
        </w:rPr>
        <w:t>Costi di transazione</w:t>
      </w:r>
      <w:bookmarkEnd w:id="15"/>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In uno degli articoli di economia più citati, “The Problem of Social Costs”</w:t>
      </w:r>
      <w:r>
        <w:rPr>
          <w:rStyle w:val="FootnoteReference"/>
          <w:lang w:val="it-IT"/>
        </w:rPr>
        <w:footnoteReference w:id="17"/>
      </w:r>
      <w:r>
        <w:rPr>
          <w:lang w:val="it-IT"/>
        </w:rPr>
        <w:t>, Coase sviluppò un framework per studiare il ruolo dei costi di transazione (ovvero tutti i costi associati ad uno scambio economico). Il teorema di Coase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Coase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t xml:space="preserve">Alti costi di transazione possono influenzare non solo la durata della stessa ma anche </w:t>
      </w:r>
      <w:r w:rsidR="001A6857">
        <w:rPr>
          <w:lang w:val="it-IT"/>
        </w:rPr>
        <w:t>se l’affare avrà mai luogo. Dal punto di vista dell’efficienza del mercato, gli immobili in vendita che non riescono a trovare un acquirente possono essere sintomo del fallimento di una corretta asset allocation del mercato.</w:t>
      </w:r>
      <w:r w:rsidR="001A6857">
        <w:rPr>
          <w:rStyle w:val="FootnoteReference"/>
          <w:lang w:val="it-IT"/>
        </w:rPr>
        <w:footnoteReference w:id="18"/>
      </w:r>
    </w:p>
    <w:p w14:paraId="41078E98" w14:textId="02324B3E" w:rsidR="001A6857" w:rsidRDefault="001A6857" w:rsidP="003E5CA1">
      <w:pPr>
        <w:rPr>
          <w:lang w:val="it-IT"/>
        </w:rPr>
      </w:pPr>
      <w:r>
        <w:rPr>
          <w:lang w:val="it-IT"/>
        </w:rPr>
        <w:lastRenderedPageBreak/>
        <w:t>A sostegno di ciò Brastow, Springer e Waller hanno dimostrato che gli agenti immobiliari specializzati in certe location geografiche sono capaci di aumentare la probabilità di vendita del 3.3%.</w:t>
      </w:r>
      <w:r>
        <w:rPr>
          <w:rStyle w:val="FootnoteReference"/>
          <w:lang w:val="it-IT"/>
        </w:rPr>
        <w:footnoteReference w:id="19"/>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Secondo Cooter e Ulen</w:t>
      </w:r>
      <w:r>
        <w:rPr>
          <w:rStyle w:val="FootnoteReference"/>
          <w:lang w:val="it-IT"/>
        </w:rPr>
        <w:footnoteReference w:id="20"/>
      </w:r>
      <w:r>
        <w:rPr>
          <w:lang w:val="it-IT"/>
        </w:rPr>
        <w:t xml:space="preserve"> i costi di transazione vengono generalmente suddivisi in tre categorie:</w:t>
      </w:r>
    </w:p>
    <w:p w14:paraId="0D087742" w14:textId="30E63CC9" w:rsidR="008300FB" w:rsidRDefault="008300FB" w:rsidP="008300FB">
      <w:pPr>
        <w:pStyle w:val="ListParagraph"/>
        <w:numPr>
          <w:ilvl w:val="0"/>
          <w:numId w:val="19"/>
        </w:numPr>
        <w:rPr>
          <w:lang w:val="it-IT"/>
        </w:rPr>
      </w:pPr>
      <w:r>
        <w:rPr>
          <w:lang w:val="it-IT"/>
        </w:rPr>
        <w:t>Costi di ricerca</w:t>
      </w:r>
    </w:p>
    <w:p w14:paraId="0BB6B8CC" w14:textId="29749617" w:rsidR="008300FB" w:rsidRDefault="008300FB" w:rsidP="008300FB">
      <w:pPr>
        <w:pStyle w:val="ListParagraph"/>
        <w:numPr>
          <w:ilvl w:val="0"/>
          <w:numId w:val="19"/>
        </w:numPr>
        <w:rPr>
          <w:lang w:val="it-IT"/>
        </w:rPr>
      </w:pPr>
      <w:r>
        <w:rPr>
          <w:lang w:val="it-IT"/>
        </w:rPr>
        <w:t xml:space="preserve">Costi di contrattazione </w:t>
      </w:r>
    </w:p>
    <w:p w14:paraId="78AECB64" w14:textId="55A5DE98" w:rsidR="008300FB" w:rsidRDefault="008300FB" w:rsidP="008300FB">
      <w:pPr>
        <w:pStyle w:val="ListParagraph"/>
        <w:numPr>
          <w:ilvl w:val="0"/>
          <w:numId w:val="19"/>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5D153A76" w14:textId="2263987B" w:rsidR="00A83EDA" w:rsidRPr="00D60A39" w:rsidRDefault="00A83EDA" w:rsidP="00D60A39">
      <w:pPr>
        <w:jc w:val="both"/>
        <w:rPr>
          <w:lang w:val="it-IT"/>
        </w:rPr>
      </w:pPr>
      <w:r>
        <w:rPr>
          <w:lang w:val="it-IT"/>
        </w:rPr>
        <w:t>Secondo Crowston e Wigand</w:t>
      </w:r>
      <w:r>
        <w:rPr>
          <w:rStyle w:val="FootnoteReference"/>
          <w:lang w:val="it-IT"/>
        </w:rPr>
        <w:footnoteReference w:id="21"/>
      </w:r>
      <w:r>
        <w:rPr>
          <w:lang w:val="it-IT"/>
        </w:rPr>
        <w:t xml:space="preserve"> il processo di transazione nel RE si compone di cinque fasi distinte: listing, ricerca, valutazione, negoziazione ed esecuzione.</w:t>
      </w:r>
    </w:p>
    <w:p w14:paraId="084C90E0" w14:textId="4D245108" w:rsidR="000A173D" w:rsidRDefault="000A173D" w:rsidP="00011F9E">
      <w:pPr>
        <w:jc w:val="both"/>
        <w:rPr>
          <w:lang w:val="it-IT"/>
        </w:rPr>
      </w:pPr>
      <w:r>
        <w:rPr>
          <w:lang w:val="it-IT"/>
        </w:rPr>
        <w:t>Seguendo il modello creato da Bian, Waller e Wentland</w:t>
      </w:r>
      <w:r>
        <w:rPr>
          <w:rStyle w:val="FootnoteReference"/>
          <w:lang w:val="it-IT"/>
        </w:rPr>
        <w:footnoteReference w:id="22"/>
      </w:r>
      <w:r>
        <w:rPr>
          <w:lang w:val="it-IT"/>
        </w:rPr>
        <w:t xml:space="preserve"> è possibile teorizzare come i costi di transazione impattino sul mercato immobiliare. </w:t>
      </w:r>
    </w:p>
    <w:p w14:paraId="4292F06C" w14:textId="2CAFB93D" w:rsidR="00071BFD" w:rsidRDefault="000A173D" w:rsidP="00011F9E">
      <w:pPr>
        <w:jc w:val="both"/>
        <w:rPr>
          <w:rFonts w:eastAsiaTheme="minorEastAsia"/>
          <w:lang w:val="it-IT"/>
        </w:rPr>
      </w:pPr>
      <w:r w:rsidRPr="000A173D">
        <w:rPr>
          <w:lang w:val="it-IT"/>
        </w:rPr>
        <w:t>Seguendo Rutherford, Springer e Yavas</w:t>
      </w:r>
      <w:r>
        <w:rPr>
          <w:rStyle w:val="FootnoteReference"/>
        </w:rPr>
        <w:footnoteReference w:id="23"/>
      </w:r>
      <w:r w:rsidRPr="000A173D">
        <w:rPr>
          <w:lang w:val="it-IT"/>
        </w:rPr>
        <w:t xml:space="preserve"> si ipotizza la seguente struttura di contrattazione</w:t>
      </w:r>
      <w:r>
        <w:rPr>
          <w:lang w:val="it-IT"/>
        </w:rPr>
        <w:t xml:space="preserve">: il prezzo richiesto dal venditore visto dai potenziali acquirenti come un offerta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bar>
              <m:barPr>
                <m:ctrlPr>
                  <w:rPr>
                    <w:rFonts w:ascii="Cambria Math" w:eastAsiaTheme="minorEastAsia" w:hAnsi="Cambria Math"/>
                    <w:i/>
                    <w:lang w:val="it-IT"/>
                  </w:rPr>
                </m:ctrlPr>
              </m:barPr>
              <m:e>
                <m:r>
                  <w:rPr>
                    <w:rFonts w:ascii="Cambria Math" w:eastAsiaTheme="minorEastAsia" w:hAnsi="Cambria Math"/>
                    <w:lang w:val="it-IT"/>
                  </w:rPr>
                  <m:t>p</m:t>
                </m:r>
              </m:e>
            </m:bar>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r w:rsidR="00CE0B8C" w:rsidRPr="00CE0B8C">
        <w:rPr>
          <w:rFonts w:ascii="Cambria Math" w:eastAsiaTheme="minorEastAsia" w:hAnsi="Cambria Math"/>
          <w:i/>
          <w:lang w:val="it-IT"/>
        </w:rPr>
        <w:t>f</w:t>
      </w:r>
      <w:r w:rsidR="00CE0B8C">
        <w:rPr>
          <w:rFonts w:eastAsiaTheme="minorEastAsia"/>
          <w:lang w:val="it-IT"/>
        </w:rPr>
        <w:t xml:space="preserve">  è una funzione continua. </w:t>
      </w:r>
    </w:p>
    <w:p w14:paraId="2F9407E8" w14:textId="5A6DD50B" w:rsidR="005C48F7" w:rsidRDefault="005C48F7" w:rsidP="00011F9E">
      <w:pPr>
        <w:jc w:val="both"/>
        <w:rPr>
          <w:rFonts w:eastAsiaTheme="minorEastAsia"/>
          <w:lang w:val="it-IT"/>
        </w:rPr>
      </w:pPr>
      <w:r>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t>Equazione (1)</w:t>
      </w:r>
    </w:p>
    <w:p w14:paraId="779B0784" w14:textId="01F5798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w:t>
      </w:r>
      <w:r w:rsidR="00071BFD">
        <w:rPr>
          <w:rFonts w:eastAsiaTheme="minorEastAsia"/>
          <w:lang w:val="it-IT"/>
        </w:rPr>
        <w:t>rappresenta</w:t>
      </w:r>
      <w:r>
        <w:rPr>
          <w:rFonts w:eastAsiaTheme="minorEastAsia"/>
          <w:lang w:val="it-IT"/>
        </w:rPr>
        <w:t xml:space="preserve">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w:t>
      </w:r>
      <w:r w:rsidR="00FA6A68">
        <w:rPr>
          <w:rFonts w:eastAsiaTheme="minorEastAsia"/>
          <w:lang w:val="it-IT"/>
        </w:rPr>
        <w:lastRenderedPageBreak/>
        <w:t xml:space="preserve">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r w:rsidRPr="00D34BEA">
        <w:rPr>
          <w:rFonts w:eastAsiaTheme="minorEastAsia"/>
          <w:lang w:val="it-IT"/>
        </w:rPr>
        <w:t>cosicchè</w:t>
      </w:r>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per massimizzare il payoff. Dunque il problema di ottimizzazione dell’agente è:</w:t>
      </w:r>
    </w:p>
    <w:p w14:paraId="6C34E9A4" w14:textId="2EDEEE0B" w:rsidR="00011F9E" w:rsidRPr="00011F9E" w:rsidRDefault="00E92772"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E92772"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E92772"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lastRenderedPageBreak/>
        <w:t>Equazione (4)</w:t>
      </w:r>
    </w:p>
    <w:p w14:paraId="58A6C6D0" w14:textId="35DAE63C" w:rsidR="002A0EA3" w:rsidRDefault="002A0EA3" w:rsidP="002A0EA3">
      <w:pPr>
        <w:jc w:val="both"/>
        <w:rPr>
          <w:rFonts w:eastAsiaTheme="minorEastAsia"/>
          <w:lang w:val="it-IT"/>
        </w:rPr>
      </w:pPr>
      <w:r>
        <w:rPr>
          <w:rFonts w:eastAsiaTheme="minorEastAsia"/>
          <w:lang w:val="it-IT"/>
        </w:rPr>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sidR="00FD4C1F">
        <w:rPr>
          <w:rFonts w:eastAsiaTheme="minorEastAsia"/>
          <w:lang w:val="it-IT"/>
        </w:rPr>
        <w:t xml:space="preserve"> allora</w:t>
      </w:r>
      <w:r>
        <w:rPr>
          <w:rFonts w:eastAsiaTheme="minorEastAsia"/>
          <w:lang w:val="it-IT"/>
        </w:rPr>
        <w:t xml:space="preserve"> il numeratore </w:t>
      </w:r>
      <w:r w:rsidR="00FD4C1F">
        <w:rPr>
          <w:rFonts w:eastAsiaTheme="minorEastAsia"/>
          <w:lang w:val="it-IT"/>
        </w:rPr>
        <w:t>è</w:t>
      </w:r>
      <w:r>
        <w:rPr>
          <w:rFonts w:eastAsiaTheme="minorEastAsia"/>
          <w:lang w:val="it-IT"/>
        </w:rPr>
        <w:t xml:space="preserve">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7A8201CF" w:rsidR="0033143C" w:rsidRDefault="0033143C" w:rsidP="0033143C">
      <w:pPr>
        <w:jc w:val="both"/>
        <w:rPr>
          <w:rFonts w:eastAsiaTheme="minorEastAsia"/>
          <w:lang w:val="it-IT"/>
        </w:rPr>
      </w:pPr>
      <w:r>
        <w:rPr>
          <w:rFonts w:eastAsiaTheme="minorEastAsia"/>
          <w:lang w:val="it-IT"/>
        </w:rPr>
        <w:t>Il primo termine rappresenta la probabilità di dual agency. Il secondo termine rappresenta la probabilità che l’acquirente venga identificato da un broker, e questa probabilità è esogena. Il modello quindi implica che a</w:t>
      </w:r>
      <w:r w:rsidR="00630CA0">
        <w:rPr>
          <w:rFonts w:eastAsiaTheme="minorEastAsia"/>
          <w:lang w:val="it-IT"/>
        </w:rPr>
        <w:t>lti costi di transazione impatti</w:t>
      </w:r>
      <w:r>
        <w:rPr>
          <w:rFonts w:eastAsiaTheme="minorEastAsia"/>
          <w:lang w:val="it-IT"/>
        </w:rPr>
        <w:t xml:space="preserve">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37669D24" w:rsidR="006A1193" w:rsidRDefault="006A1193" w:rsidP="006A1193">
      <w:pPr>
        <w:pStyle w:val="Heading3"/>
        <w:rPr>
          <w:rFonts w:eastAsiaTheme="minorEastAsia"/>
          <w:lang w:val="it-IT"/>
        </w:rPr>
      </w:pPr>
      <w:bookmarkStart w:id="16" w:name="_Toc98239996"/>
      <w:r>
        <w:rPr>
          <w:rFonts w:eastAsiaTheme="minorEastAsia"/>
          <w:lang w:val="it-IT"/>
        </w:rPr>
        <w:t>Regolamentazione</w:t>
      </w:r>
      <w:bookmarkEnd w:id="16"/>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D3215A2" w14:textId="43A17080" w:rsidR="00F84D81" w:rsidRDefault="004B5605" w:rsidP="00B31650">
      <w:pPr>
        <w:rPr>
          <w:lang w:val="it-IT"/>
        </w:rPr>
      </w:pPr>
      <w:r>
        <w:rPr>
          <w:lang w:val="it-IT"/>
        </w:rPr>
        <w:t>Dal momento che, al 31.12.2019, vi sono 479,574 imprese di costruzioni in Italia</w:t>
      </w:r>
      <w:r>
        <w:rPr>
          <w:rStyle w:val="FootnoteReference"/>
          <w:lang w:val="it-IT"/>
        </w:rPr>
        <w:footnoteReference w:id="24"/>
      </w:r>
      <w:r w:rsidR="003077F6">
        <w:rPr>
          <w:lang w:val="it-IT"/>
        </w:rPr>
        <w:t xml:space="preserve"> </w:t>
      </w:r>
      <w:r w:rsidR="006238D9">
        <w:rPr>
          <w:lang w:val="it-IT"/>
        </w:rPr>
        <w:t xml:space="preserve">con un fatturato medio di €344mila </w:t>
      </w:r>
      <w:r w:rsidR="00630CA0" w:rsidRPr="00630CA0">
        <w:rPr>
          <w:lang w:val="it-IT"/>
        </w:rPr>
        <w:t xml:space="preserve">e al 31.12.2022 invece 3,759,710 imprese di costruzione in America </w:t>
      </w:r>
      <w:r w:rsidR="006238D9">
        <w:rPr>
          <w:lang w:val="it-IT"/>
        </w:rPr>
        <w:t>con un fatturato medio di $625mila</w:t>
      </w:r>
      <w:r w:rsidR="006238D9">
        <w:rPr>
          <w:rStyle w:val="FootnoteReference"/>
          <w:lang w:val="it-IT"/>
        </w:rPr>
        <w:footnoteReference w:id="25"/>
      </w:r>
      <w:r w:rsidR="006238D9">
        <w:rPr>
          <w:lang w:val="it-IT"/>
        </w:rPr>
        <w:t xml:space="preserve"> </w:t>
      </w:r>
      <w:r w:rsidR="003077F6">
        <w:rPr>
          <w:lang w:val="it-IT"/>
        </w:rPr>
        <w:t>si assume l’offerta del mercato come non monopolistica e non caratterizz</w:t>
      </w:r>
      <w:r w:rsidR="00F84D81">
        <w:rPr>
          <w:lang w:val="it-IT"/>
        </w:rPr>
        <w:t>ata da player di grandi entità.</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lastRenderedPageBreak/>
        <w:t>Secondo William Fischel</w:t>
      </w:r>
      <w:r>
        <w:rPr>
          <w:rStyle w:val="FootnoteReference"/>
          <w:rFonts w:eastAsiaTheme="minorEastAsia"/>
          <w:lang w:val="it-IT"/>
        </w:rPr>
        <w:footnoteReference w:id="26"/>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Homevoter Hypothesis” </w:t>
      </w:r>
      <w:r w:rsidR="00316BAC">
        <w:rPr>
          <w:rFonts w:eastAsiaTheme="minorEastAsia"/>
          <w:lang w:val="it-IT"/>
        </w:rPr>
        <w:t xml:space="preserve">sostiene che i proprietari di immobili hanno un grande incentivo nell’accordarsi per fermare gli sviluppi immobiliari sfavorevoli per il valore della loro prima casa, dal momento che è il loro investimento principale. L’idea di Fischel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r>
        <w:rPr>
          <w:rFonts w:eastAsiaTheme="minorEastAsia"/>
          <w:lang w:val="it-IT"/>
        </w:rPr>
        <w:t>Ortalo-Magne e Prat</w:t>
      </w:r>
      <w:r>
        <w:rPr>
          <w:rStyle w:val="FootnoteReference"/>
          <w:rFonts w:eastAsiaTheme="minorEastAsia"/>
          <w:lang w:val="it-IT"/>
        </w:rPr>
        <w:footnoteReference w:id="27"/>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preferenze si traducono in regolamentazioni. Per fare ciò si avvalgono di un </w:t>
      </w:r>
      <w:r>
        <w:rPr>
          <w:rFonts w:eastAsiaTheme="minorEastAsia"/>
          <w:i/>
          <w:lang w:val="it-IT"/>
        </w:rPr>
        <w:t>modello di scelta della location</w:t>
      </w:r>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166C056" w14:textId="2AA07BD3" w:rsidR="00ED548A" w:rsidRDefault="00206473" w:rsidP="005702A7">
      <w:pPr>
        <w:jc w:val="both"/>
        <w:rPr>
          <w:rFonts w:eastAsiaTheme="minorEastAsia"/>
          <w:lang w:val="it-IT"/>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041E8F">
        <w:rPr>
          <w:rFonts w:eastAsiaTheme="minorEastAsia"/>
          <w:lang w:val="it-IT"/>
        </w:rPr>
        <w:t>Vi è un premio fisso tra i</w:t>
      </w:r>
      <w:r w:rsidR="005702A7" w:rsidRPr="00041E8F">
        <w:rPr>
          <w:rFonts w:eastAsiaTheme="minorEastAsia"/>
          <w:lang w:val="it-IT"/>
        </w:rPr>
        <w:t xml:space="preserve"> rendimenti </w:t>
      </w:r>
      <w:r w:rsidR="00041E8F">
        <w:rPr>
          <w:rFonts w:eastAsiaTheme="minorEastAsia"/>
          <w:lang w:val="it-IT"/>
        </w:rPr>
        <w:t>dati da</w:t>
      </w:r>
      <w:r w:rsidR="005702A7" w:rsidRPr="00041E8F">
        <w:rPr>
          <w:rFonts w:eastAsiaTheme="minorEastAsia"/>
          <w:lang w:val="it-IT"/>
        </w:rPr>
        <w:t xml:space="preserve">ll’investire in </w:t>
      </w:r>
      <w:r w:rsidR="00041E8F" w:rsidRPr="00041E8F">
        <w:rPr>
          <w:rFonts w:eastAsiaTheme="minorEastAsia"/>
          <w:lang w:val="it-IT"/>
        </w:rPr>
        <w:t xml:space="preserve">immobili con finalità di alloggio e immobili messi a reddito, che </w:t>
      </w:r>
      <w:r w:rsidR="00041E8F">
        <w:rPr>
          <w:rFonts w:eastAsiaTheme="minorEastAsia"/>
          <w:lang w:val="it-IT"/>
        </w:rPr>
        <w:t xml:space="preserve">ha lo scopo di riflettere una serie di fattori tra cui il beneficio non pecuniario della proprietà e il suo trattamento fiscale favorevole, il costo di gestire un immobile messo a reddito e il rischio morale nel mercato degli affitti. Il beneficio dato dalla proprietà di un alloggio finisce con la morte dell’individuo. Quindi il tradeoff che un individuo deve affrontare è quello di scegliere tra il premio della proprietà e il rischio prezzo associato con la stessa. I permessi per le nuove costruzioni vengono dati dalla maggioranza di voto dei residenti della città. I costruttori devono pagare una commissione per ogni nuovo permesso di costruzione accordato. Le commissioni vengono divise egualmente fra i residenti. Queste commissioni rappresentano quindi il beneficio economico per la comunità nello sviluppo immobiliare della propria città. </w:t>
      </w:r>
    </w:p>
    <w:p w14:paraId="69BB22D8" w14:textId="3D7B0D95" w:rsidR="00041E8F" w:rsidRDefault="00041E8F" w:rsidP="005702A7">
      <w:pPr>
        <w:jc w:val="both"/>
        <w:rPr>
          <w:rFonts w:eastAsiaTheme="minorEastAsia"/>
          <w:lang w:val="it-IT"/>
        </w:rPr>
      </w:pPr>
      <w:r>
        <w:rPr>
          <w:rFonts w:eastAsiaTheme="minorEastAsia"/>
          <w:lang w:val="it-IT"/>
        </w:rPr>
        <w:t>Non solo i residenti ricevono dell</w:t>
      </w:r>
      <w:r w:rsidR="003426EC">
        <w:rPr>
          <w:rFonts w:eastAsiaTheme="minorEastAsia"/>
          <w:lang w:val="it-IT"/>
        </w:rPr>
        <w:t xml:space="preserve">e quote di tutte le commissioni </w:t>
      </w:r>
      <w:r>
        <w:rPr>
          <w:rFonts w:eastAsiaTheme="minorEastAsia"/>
          <w:lang w:val="it-IT"/>
        </w:rPr>
        <w:t xml:space="preserve">pagate, ma beneficiano anche dalle nuove costruzioni poiché aumenta l’offerta che riduce i costi degli affitti che i residenti pagano o a terzi o a sé stessi nel caso vivessero in un immobile di cui sono proprietari. Di converso un aumento dell’offerta comporta una discesa dei prezzi degli immobili che si traduce in una riduzione dei consumi. Nel modello, non vengono iniziate nuove costruzioni se il beneficio netto per il residente votante mediano è negativo (ovvero se il beneficio di dover pagare affitti minori e la quota parte della commissione sono minori della perdita dei consumi dovuti alla discesa dei prezzi degli immobili). </w:t>
      </w:r>
      <w:r w:rsidR="007D7A5C">
        <w:rPr>
          <w:rFonts w:eastAsiaTheme="minorEastAsia"/>
          <w:lang w:val="it-IT"/>
        </w:rPr>
        <w:t xml:space="preserve">Usando questo modello, </w:t>
      </w:r>
      <w:r w:rsidR="007D7A5C" w:rsidRPr="007D7A5C">
        <w:rPr>
          <w:rFonts w:eastAsiaTheme="minorEastAsia"/>
          <w:lang w:val="it-IT"/>
        </w:rPr>
        <w:t xml:space="preserve">Ortalo-Magne </w:t>
      </w:r>
      <w:r w:rsidR="007D7A5C">
        <w:rPr>
          <w:rFonts w:eastAsiaTheme="minorEastAsia"/>
          <w:lang w:val="it-IT"/>
        </w:rPr>
        <w:t>e</w:t>
      </w:r>
      <w:r w:rsidR="007D7A5C" w:rsidRPr="007D7A5C">
        <w:rPr>
          <w:rFonts w:eastAsiaTheme="minorEastAsia"/>
          <w:lang w:val="it-IT"/>
        </w:rPr>
        <w:t xml:space="preserve"> Prat</w:t>
      </w:r>
      <w:r w:rsidR="007D7A5C">
        <w:rPr>
          <w:rFonts w:eastAsiaTheme="minorEastAsia"/>
          <w:lang w:val="it-IT"/>
        </w:rPr>
        <w:t xml:space="preserve"> dimostrano che i sussidi alla proprietà di immobili rendono il mercato RE meno conveniente. Ipotizzando non vi siano limiti nelle nuove costruzioni, il sussidio non avrebbe alcun effetto sulla convenienza poiché sarebbe perfettamente compensato da un innalzamento dei prezzi. Tuttavia il sussidio porta il cittadino medio a </w:t>
      </w:r>
      <w:r w:rsidR="007D7A5C">
        <w:rPr>
          <w:rFonts w:eastAsiaTheme="minorEastAsia"/>
          <w:lang w:val="it-IT"/>
        </w:rPr>
        <w:lastRenderedPageBreak/>
        <w:t>detenere più immobili, aumentando così l’opposizione allo sviluppo urbano. È quindi il limite alle nuove costruzioni che destabilizza il mercato e lo rende impraticabile per il cittadino medio.</w:t>
      </w:r>
    </w:p>
    <w:p w14:paraId="2D743581" w14:textId="68625CFF" w:rsidR="007D7A5C" w:rsidRPr="00041E8F" w:rsidRDefault="007D7A5C" w:rsidP="005702A7">
      <w:pPr>
        <w:jc w:val="both"/>
        <w:rPr>
          <w:rFonts w:eastAsiaTheme="minorEastAsia"/>
          <w:lang w:val="it-IT"/>
        </w:rPr>
      </w:pPr>
      <w:r>
        <w:rPr>
          <w:rFonts w:eastAsiaTheme="minorEastAsia"/>
          <w:lang w:val="it-IT"/>
        </w:rPr>
        <w:t xml:space="preserve">Di contrasto un aumento della commissione sulle nuove costruzioni incentiva allo sviluppo urbano portando ad un ingrandimento delle dimensioni della città. L’espansione della città riduce gli affitti. Fischel dimostra che più i proprietari di immobili ricevono dei benefici dalle nuove costruzioni, meno è probabile che si opporranno allo sviluppo. </w:t>
      </w:r>
    </w:p>
    <w:p w14:paraId="00C5C794" w14:textId="3578B6C8" w:rsidR="007D5C79" w:rsidRDefault="007D5C79" w:rsidP="002A0EA3">
      <w:pPr>
        <w:jc w:val="both"/>
        <w:rPr>
          <w:rFonts w:eastAsiaTheme="minorEastAsia"/>
          <w:lang w:val="it-IT"/>
        </w:rPr>
      </w:pPr>
      <w:r w:rsidRPr="007D5C79">
        <w:rPr>
          <w:rFonts w:eastAsiaTheme="minorEastAsia"/>
          <w:highlight w:val="yellow"/>
          <w:lang w:val="it-IT"/>
        </w:rPr>
        <w:t xml:space="preserve">Mettere qui il modello </w:t>
      </w:r>
      <w:r w:rsidR="003426EC">
        <w:rPr>
          <w:rFonts w:eastAsiaTheme="minorEastAsia"/>
          <w:highlight w:val="yellow"/>
          <w:lang w:val="it-IT"/>
        </w:rPr>
        <w:t>matematico</w:t>
      </w:r>
      <w:r w:rsidRPr="007D5C79">
        <w:rPr>
          <w:rFonts w:eastAsiaTheme="minorEastAsia"/>
          <w:highlight w:val="yellow"/>
          <w:lang w:val="it-IT"/>
        </w:rPr>
        <w:t>?</w:t>
      </w:r>
    </w:p>
    <w:p w14:paraId="3DFBC252" w14:textId="200B7547" w:rsidR="001D0011" w:rsidRPr="00F96097" w:rsidRDefault="001D0011" w:rsidP="001D0011">
      <w:pPr>
        <w:pStyle w:val="Heading3"/>
        <w:rPr>
          <w:rFonts w:eastAsiaTheme="minorEastAsia"/>
          <w:lang w:val="it-IT"/>
        </w:rPr>
      </w:pPr>
      <w:bookmarkStart w:id="17" w:name="_Toc98239997"/>
      <w:r w:rsidRPr="00F96097">
        <w:rPr>
          <w:rFonts w:eastAsiaTheme="minorEastAsia"/>
          <w:lang w:val="it-IT"/>
        </w:rPr>
        <w:t>Liquidità</w:t>
      </w:r>
      <w:r w:rsidR="00D56AA9">
        <w:rPr>
          <w:rStyle w:val="FootnoteReference"/>
          <w:rFonts w:eastAsiaTheme="minorEastAsia"/>
        </w:rPr>
        <w:footnoteReference w:id="28"/>
      </w:r>
      <w:bookmarkEnd w:id="17"/>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optimal stopping rule dei venditori; </w:t>
      </w:r>
      <w:r w:rsidR="00F924F6">
        <w:rPr>
          <w:lang w:val="it-IT"/>
        </w:rPr>
        <w:t xml:space="preserve">quindi l’illiquidità nel mercato RE non può essere misurata con l’impatto dei flussi degli ordini sui prezzi. </w:t>
      </w:r>
    </w:p>
    <w:p w14:paraId="3B693E3E" w14:textId="5B8F52C8"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w:t>
      </w:r>
      <w:r w:rsidR="003426EC">
        <w:rPr>
          <w:lang w:val="it-IT"/>
        </w:rPr>
        <w:t>respinge</w:t>
      </w:r>
      <w:r>
        <w:rPr>
          <w:lang w:val="it-IT"/>
        </w:rPr>
        <w:t>, una gran parte del capitale che circola nei mercati.</w:t>
      </w:r>
    </w:p>
    <w:p w14:paraId="53AF3CEF" w14:textId="05D43E03" w:rsidR="00673158" w:rsidRDefault="00673158" w:rsidP="00673158">
      <w:pPr>
        <w:jc w:val="center"/>
        <w:rPr>
          <w:lang w:val="it-IT"/>
        </w:rPr>
      </w:pPr>
      <w:r>
        <w:rPr>
          <w:noProof/>
        </w:rPr>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5BA1C7" w14:textId="411160F0" w:rsidR="00673158" w:rsidRPr="00673158" w:rsidRDefault="00673158" w:rsidP="00673158">
      <w:pPr>
        <w:jc w:val="center"/>
      </w:pPr>
      <w:r w:rsidRPr="00673158">
        <w:t xml:space="preserve">Figura 11: The median number of days property listings spend on the market in </w:t>
      </w:r>
      <w:r>
        <w:t>USA</w:t>
      </w:r>
      <w:r w:rsidRPr="00673158">
        <w:t xml:space="preserve"> </w:t>
      </w:r>
      <w:r>
        <w:t>observed monthly</w:t>
      </w:r>
      <w:r>
        <w:rPr>
          <w:rStyle w:val="FootnoteReference"/>
        </w:rPr>
        <w:footnoteReference w:id="29"/>
      </w:r>
    </w:p>
    <w:p w14:paraId="7676597D" w14:textId="62B9695D" w:rsidR="00764C29" w:rsidRDefault="00F96097" w:rsidP="00764C29">
      <w:pPr>
        <w:jc w:val="both"/>
        <w:rPr>
          <w:lang w:val="it-IT"/>
        </w:rPr>
      </w:pPr>
      <w:r>
        <w:rPr>
          <w:lang w:val="it-IT"/>
        </w:rPr>
        <w:t xml:space="preserve">L’idea di fondo è che il mercato immobiliare sia composto da beni eterogenei che vengono scambiati su mercati decentralizzati e che le transazioni su questo mercato </w:t>
      </w:r>
      <w:r w:rsidR="00FD4C1F">
        <w:rPr>
          <w:lang w:val="it-IT"/>
        </w:rPr>
        <w:t>siano</w:t>
      </w:r>
      <w:r>
        <w:rPr>
          <w:lang w:val="it-IT"/>
        </w:rPr>
        <w:t xml:space="preserve"> spesso caratterizzate da ricerche costose e commissioni alte a livello assoluto. La tesi è che l’aspetto più importante della illiquidità del mercato </w:t>
      </w:r>
      <w:r>
        <w:rPr>
          <w:lang w:val="it-IT"/>
        </w:rPr>
        <w:lastRenderedPageBreak/>
        <w:t xml:space="preserve">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18" w:name="_Hlk97804545"/>
    <w:p w14:paraId="73B530E5" w14:textId="3C22F0C9" w:rsidR="00764C29" w:rsidRPr="00764C29" w:rsidRDefault="00E92772"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18"/>
    </w:p>
    <w:p w14:paraId="19D6127F" w14:textId="04478741" w:rsidR="00764C29" w:rsidRPr="00764C29" w:rsidRDefault="00E92772"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r>
        <w:rPr>
          <w:rFonts w:eastAsiaTheme="minorEastAsia"/>
          <w:lang w:val="it-IT"/>
        </w:rPr>
        <w:t>Infatti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che però non tengono conto dell’incertezza del marketing period.</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4478D2">
      <w:pPr>
        <w:pStyle w:val="ListParagraph"/>
        <w:numPr>
          <w:ilvl w:val="0"/>
          <w:numId w:val="21"/>
        </w:numPr>
        <w:rPr>
          <w:lang w:val="it-IT"/>
        </w:rPr>
      </w:pPr>
      <w:r>
        <w:rPr>
          <w:lang w:val="it-IT"/>
        </w:rPr>
        <w:t>Il venditore accetta l’offerta poiché il prezzo offerto è maggiore o uguale del prezzo minimo accettabile (</w:t>
      </w:r>
      <w:r w:rsidRPr="004478D2">
        <w:rPr>
          <w:lang w:val="it-IT"/>
        </w:rPr>
        <w:t>MAP – Minimum Acceptable Price)</w:t>
      </w:r>
      <w:r>
        <w:rPr>
          <w:lang w:val="it-IT"/>
        </w:rPr>
        <w:t>;</w:t>
      </w:r>
    </w:p>
    <w:p w14:paraId="7748B391" w14:textId="2DA0C7BD" w:rsidR="004478D2" w:rsidRDefault="004478D2" w:rsidP="004478D2">
      <w:pPr>
        <w:pStyle w:val="ListParagraph"/>
        <w:numPr>
          <w:ilvl w:val="0"/>
          <w:numId w:val="21"/>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t>Figura 12</w:t>
      </w:r>
    </w:p>
    <w:p w14:paraId="42B46D7C" w14:textId="39D72768" w:rsidR="001D4D9C" w:rsidRPr="004478D2" w:rsidRDefault="001D4D9C" w:rsidP="001D4D9C">
      <w:pPr>
        <w:pStyle w:val="Heading4"/>
        <w:rPr>
          <w:lang w:val="it-IT"/>
        </w:rPr>
      </w:pPr>
      <w:r>
        <w:rPr>
          <w:lang w:val="it-IT"/>
        </w:rPr>
        <w:lastRenderedPageBreak/>
        <w:t>Liquidity Bias</w:t>
      </w:r>
    </w:p>
    <w:p w14:paraId="4F29E7AC" w14:textId="1FDBE57D" w:rsidR="007B0DD3" w:rsidRDefault="007B0DD3" w:rsidP="00764C29">
      <w:pPr>
        <w:jc w:val="both"/>
        <w:rPr>
          <w:rFonts w:eastAsiaTheme="minorEastAsia"/>
          <w:lang w:val="it-IT"/>
        </w:rPr>
      </w:pPr>
      <w:r>
        <w:rPr>
          <w:rFonts w:eastAsiaTheme="minorEastAsia"/>
          <w:lang w:val="it-IT"/>
        </w:rPr>
        <w:t xml:space="preserve">L’incertezza del marketing period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9"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9"/>
      <w:r>
        <w:rPr>
          <w:rFonts w:eastAsiaTheme="minorEastAsia"/>
          <w:lang w:val="it-IT"/>
        </w:rPr>
        <w:t>. Per semplicità, si assuma che questi asset fossero stati comprati al tempo 0</w:t>
      </w:r>
      <w:r w:rsidR="000372C9">
        <w:rPr>
          <w:rFonts w:eastAsiaTheme="minorEastAsia"/>
          <w:lang w:val="it-IT"/>
        </w:rPr>
        <w:t xml:space="preserve"> con un prezzo di €1</w:t>
      </w:r>
      <w:r w:rsidR="00FD4C1F">
        <w:rPr>
          <w:rFonts w:eastAsiaTheme="minorEastAsia"/>
          <w:lang w:val="it-IT"/>
        </w:rPr>
        <w:t xml:space="preserve"> ciascuno</w:t>
      </w:r>
      <w:r w:rsidR="000372C9">
        <w:rPr>
          <w:rFonts w:eastAsiaTheme="minorEastAsia"/>
          <w:lang w:val="it-IT"/>
        </w:rPr>
        <w:t xml:space="preserve">.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E92772"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il tempo in cui questi asset verranno venduti non è conosciuto. È facile capire quindi come nel momento in cui il proprietario di un immobile vende sul mercato il proprio bene esso debba affrontare due tipologie di rischi: il rischio di prezzo e il rischio del markeitng period</w:t>
      </w:r>
      <w:r w:rsidR="00597DDA">
        <w:rPr>
          <w:rFonts w:eastAsiaTheme="minorEastAsia"/>
          <w:lang w:val="it-IT"/>
        </w:rPr>
        <w:t xml:space="preserve"> (</w:t>
      </w:r>
      <w:r w:rsidR="00597DDA" w:rsidRPr="00597DDA">
        <w:rPr>
          <w:rFonts w:eastAsiaTheme="minorEastAsia"/>
          <w:b/>
          <w:bCs/>
          <w:lang w:val="it-IT"/>
        </w:rPr>
        <w:t>liquidity bias</w:t>
      </w:r>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r>
        <w:rPr>
          <w:rFonts w:eastAsiaTheme="minorEastAsia"/>
          <w:lang w:val="it-IT"/>
        </w:rPr>
        <w:t>Valuation Bias</w:t>
      </w:r>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il prezzo effettivo, ovvero il prezzo a cui un venditore potrebbe scambiare in quel momento. Tuttavia, nel mercato immobiliare, come detto nel paragrafo precedente, vi è incertezza riguardo la durata del marketing period. Da qui nascono quindi due importanti differenze fra le due asset class:</w:t>
      </w:r>
    </w:p>
    <w:p w14:paraId="6BC11345" w14:textId="77777777" w:rsidR="00B51B01" w:rsidRDefault="00F71BE3" w:rsidP="00F71BE3">
      <w:pPr>
        <w:pStyle w:val="ListParagraph"/>
        <w:numPr>
          <w:ilvl w:val="0"/>
          <w:numId w:val="22"/>
        </w:numPr>
        <w:rPr>
          <w:lang w:val="it-IT"/>
        </w:rPr>
      </w:pPr>
      <w:r>
        <w:rPr>
          <w:lang w:val="it-IT"/>
        </w:rPr>
        <w:t>In ogni periodo, solo una piccola porzione di immobili viene effettivamente venduta e quindi tolta dal mercato. I transaction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F71BE3">
      <w:pPr>
        <w:pStyle w:val="ListParagraph"/>
        <w:numPr>
          <w:ilvl w:val="0"/>
          <w:numId w:val="22"/>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transaction price 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lastRenderedPageBreak/>
        <w:t xml:space="preserve">Il time lag è importante poiché incide molto sull’apprezzamento degli immobili. Un invesitore che ha bisogno di liquidare la posizione immediatamente sarà disposto a far scendere il MAP, e quindi il transaction price, solo per non dover aspettare, non per un cambiamento nella valutazioen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18"/>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t xml:space="preserve">La Figura 13 illustra la relazione tra la distribuzione dei prezzi offerti (bidding prices) e dei prezzi andati a buon fine e trasformati in transazioni (transaction prices). </w:t>
      </w:r>
    </w:p>
    <w:p w14:paraId="353D6EF6" w14:textId="2E6B9018"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bidding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w:t>
      </w:r>
      <w:r w:rsidR="003426EC">
        <w:rPr>
          <w:rFonts w:eastAsiaTheme="minorEastAsia"/>
          <w:lang w:val="it-IT"/>
        </w:rPr>
        <w:t>ossibile massimo bidding price.</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transaction price è un bidding price sopra il MAP. </w:t>
      </w:r>
      <w:r w:rsidR="00863CBB">
        <w:rPr>
          <w:rFonts w:eastAsiaTheme="minorEastAsia"/>
          <w:lang w:val="it-IT"/>
        </w:rPr>
        <w:t xml:space="preserve">Dunque, il transaction price atteso </w:t>
      </w:r>
      <w:r w:rsidR="00372654">
        <w:rPr>
          <w:rFonts w:eastAsiaTheme="minorEastAsia"/>
          <w:lang w:val="it-IT"/>
        </w:rPr>
        <w:t>molto probabilmente è più alto del bidding price atteso lungo la linea temporale. Il secondo è che l’investitore che subisce uno shock di liquidità e deve vendere il suo immobile in tempo breve verosimilmente si aspetta di ricevere un prezzo dalla distribuzione dei bidding price che non quella dei transaction price. In altre parole vi potrebbe essere un bias se il suo rischio e rendimento vengono stimati dai transaction price. Questo bias viene chiamato “</w:t>
      </w:r>
      <w:r w:rsidR="00372654" w:rsidRPr="00597DDA">
        <w:rPr>
          <w:rFonts w:eastAsiaTheme="minorEastAsia"/>
          <w:b/>
          <w:bCs/>
          <w:lang w:val="it-IT"/>
        </w:rPr>
        <w:t>valuation bias</w:t>
      </w:r>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51FFACB3" w:rsidR="00CF702A" w:rsidRDefault="00CF702A" w:rsidP="00081B99">
      <w:pPr>
        <w:jc w:val="both"/>
        <w:rPr>
          <w:rFonts w:eastAsiaTheme="minorEastAsia"/>
          <w:lang w:val="it-IT"/>
        </w:rPr>
      </w:pPr>
      <w:r>
        <w:rPr>
          <w:lang w:val="it-IT"/>
        </w:rPr>
        <w:t xml:space="preserve">È possibile </w:t>
      </w:r>
      <w:r w:rsidR="00597DDA">
        <w:rPr>
          <w:lang w:val="it-IT"/>
        </w:rPr>
        <w:t xml:space="preserve">capire meglio la relazione fra il liquidity bias e il valuation bias in Figura 14. Con la presenza del rischio di marketing period (il marketing period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w:t>
      </w:r>
      <w:r w:rsidR="00597DDA">
        <w:rPr>
          <w:rFonts w:eastAsiaTheme="minorEastAsia"/>
          <w:lang w:val="it-IT"/>
        </w:rPr>
        <w:lastRenderedPageBreak/>
        <w:t xml:space="preserve">investitori immobiliari devono affrontare sia il rischio legato ai transaction price sia quello legato al marketing period. </w:t>
      </w:r>
      <w:r w:rsidR="00526958">
        <w:rPr>
          <w:rFonts w:eastAsiaTheme="minorEastAsia"/>
          <w:lang w:val="it-IT"/>
        </w:rPr>
        <w:t xml:space="preserve">Il liquidity risk è dato dal fatto che i prezzi immobiliari in ogni istante non riescono a tenere conto anche del rischio di marketing period, mentre il valuation bias entra in gioco nel momento in cui i transaction price vengono applicati agli investitori che vendono velocemente. </w:t>
      </w:r>
    </w:p>
    <w:p w14:paraId="58912305" w14:textId="60C2B409" w:rsidR="00FD4C1F" w:rsidRDefault="00FD4C1F" w:rsidP="00081B99">
      <w:pPr>
        <w:jc w:val="both"/>
        <w:rPr>
          <w:rFonts w:eastAsiaTheme="minorEastAsia"/>
          <w:lang w:val="it-IT"/>
        </w:rPr>
      </w:pPr>
      <w:r w:rsidRPr="00FD4C1F">
        <w:rPr>
          <w:rFonts w:eastAsiaTheme="minorEastAsia"/>
          <w:highlight w:val="yellow"/>
          <w:lang w:val="it-IT"/>
        </w:rPr>
        <w:t xml:space="preserve">Modello </w:t>
      </w:r>
      <w:r w:rsidR="001D03D6">
        <w:rPr>
          <w:rFonts w:eastAsiaTheme="minorEastAsia"/>
          <w:highlight w:val="yellow"/>
          <w:lang w:val="it-IT"/>
        </w:rPr>
        <w:t>matematico</w:t>
      </w:r>
      <w:r w:rsidRPr="00FD4C1F">
        <w:rPr>
          <w:rFonts w:eastAsiaTheme="minorEastAsia"/>
          <w:highlight w:val="yellow"/>
          <w:lang w:val="it-IT"/>
        </w:rPr>
        <w:t>?</w:t>
      </w:r>
    </w:p>
    <w:p w14:paraId="100831D6" w14:textId="00289D5D" w:rsidR="00FD4C1F" w:rsidRDefault="00FD4C1F" w:rsidP="00081B99">
      <w:pPr>
        <w:jc w:val="both"/>
        <w:rPr>
          <w:lang w:val="it-IT"/>
        </w:rPr>
      </w:pPr>
      <w:r>
        <w:rPr>
          <w:lang w:val="it-IT"/>
        </w:rPr>
        <w:t xml:space="preserve">Lo studio di Z. Lin si conclude quindi dimostrando che il rischio ex-ante è sostanzialmente maggiore di quello calcolato </w:t>
      </w:r>
      <w:r w:rsidR="003426EC">
        <w:rPr>
          <w:lang w:val="it-IT"/>
        </w:rPr>
        <w:t>con le tecniche attuali</w:t>
      </w:r>
      <w:r>
        <w:rPr>
          <w:lang w:val="it-IT"/>
        </w:rPr>
        <w:t xml:space="preserve"> ex-post. Nel caso del mercato USA il rischio per investitori di breve termine nel mercato RE può essere fino a 4 volte più alto rispetto a quello ricavato con le valutazioni attuali. Inoltre, si conclude che i rendimenti ex-ante sono minori di quelli ex-post. </w:t>
      </w:r>
    </w:p>
    <w:p w14:paraId="22780AF3" w14:textId="23D9D983" w:rsidR="00FD4C1F" w:rsidRPr="00764C29" w:rsidRDefault="00FD4C1F" w:rsidP="00081B99">
      <w:pPr>
        <w:jc w:val="both"/>
        <w:rPr>
          <w:lang w:val="it-IT"/>
        </w:rPr>
      </w:pPr>
      <w:r>
        <w:rPr>
          <w:lang w:val="it-IT"/>
        </w:rPr>
        <w:t>È quindi importante notare che togliendo il rischio di liquidità e i transaction costs si avrebbero rendimen</w:t>
      </w:r>
      <w:r w:rsidR="003426EC">
        <w:rPr>
          <w:lang w:val="it-IT"/>
        </w:rPr>
        <w:t>ti più alti e rischi più bassi.</w:t>
      </w:r>
    </w:p>
    <w:p w14:paraId="452F1D2A" w14:textId="020249C1" w:rsidR="00355894" w:rsidRDefault="00355894" w:rsidP="00355894">
      <w:pPr>
        <w:pStyle w:val="Heading2"/>
        <w:rPr>
          <w:rFonts w:eastAsiaTheme="minorEastAsia"/>
          <w:lang w:val="it-IT"/>
        </w:rPr>
      </w:pPr>
      <w:bookmarkStart w:id="20" w:name="_Toc98239998"/>
      <w:r>
        <w:rPr>
          <w:rFonts w:eastAsiaTheme="minorEastAsia"/>
          <w:lang w:val="it-IT"/>
        </w:rPr>
        <w:t>Perché è importante che il mercato sia efficiente?</w:t>
      </w:r>
      <w:bookmarkEnd w:id="20"/>
      <w:r>
        <w:rPr>
          <w:rFonts w:eastAsiaTheme="minorEastAsia"/>
          <w:lang w:val="it-IT"/>
        </w:rPr>
        <w:t xml:space="preserve"> </w:t>
      </w:r>
    </w:p>
    <w:p w14:paraId="7F3A980C" w14:textId="77777777" w:rsidR="00A83EDA" w:rsidRPr="00A83EDA" w:rsidRDefault="00A83EDA" w:rsidP="00A83EDA">
      <w:pPr>
        <w:rPr>
          <w:lang w:val="it-IT"/>
        </w:rPr>
      </w:pPr>
    </w:p>
    <w:p w14:paraId="43B41A36" w14:textId="4407CEF3" w:rsidR="0033143C" w:rsidRDefault="00355894" w:rsidP="002A0EA3">
      <w:pPr>
        <w:jc w:val="both"/>
        <w:rPr>
          <w:rFonts w:eastAsiaTheme="minorEastAsia"/>
          <w:lang w:val="it-IT"/>
        </w:rPr>
      </w:pPr>
      <w:r>
        <w:rPr>
          <w:rFonts w:eastAsiaTheme="minorEastAsia"/>
          <w:lang w:val="it-IT"/>
        </w:rPr>
        <w:t>Seguendo la t</w:t>
      </w:r>
      <w:r w:rsidR="00A83EDA">
        <w:rPr>
          <w:rFonts w:eastAsiaTheme="minorEastAsia"/>
          <w:lang w:val="it-IT"/>
        </w:rPr>
        <w:t xml:space="preserve">eoria economica </w:t>
      </w:r>
      <w:r>
        <w:rPr>
          <w:rFonts w:eastAsiaTheme="minorEastAsia"/>
          <w:lang w:val="it-IT"/>
        </w:rPr>
        <w:t xml:space="preserve">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8BBBB64" w14:textId="6A14DBD3" w:rsidR="00355894" w:rsidRDefault="00D5470C" w:rsidP="002A0EA3">
      <w:pPr>
        <w:jc w:val="both"/>
        <w:rPr>
          <w:rFonts w:eastAsiaTheme="minorEastAsia"/>
          <w:lang w:val="it-IT"/>
        </w:rPr>
      </w:pPr>
      <w:r>
        <w:rPr>
          <w:rFonts w:eastAsiaTheme="minorEastAsia"/>
          <w:lang w:val="it-IT"/>
        </w:rPr>
        <w:t>Gli affitti e i prezzi del mercato immobiliare vengono determinati attraverso l’interazione della curva di domanda e offert</w:t>
      </w:r>
      <w:r w:rsidR="00A83EDA">
        <w:rPr>
          <w:rFonts w:eastAsiaTheme="minorEastAsia"/>
          <w:lang w:val="it-IT"/>
        </w:rPr>
        <w:t xml:space="preserve">a, come in ogni altro mercato. </w:t>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noProof/>
        </w:rPr>
        <mc:AlternateContent>
          <mc:Choice Requires="wpg">
            <w:drawing>
              <wp:inline distT="0" distB="0" distL="0" distR="0" wp14:anchorId="7A26870E" wp14:editId="59D777EF">
                <wp:extent cx="1966595" cy="1896110"/>
                <wp:effectExtent l="57150" t="38100" r="0" b="66040"/>
                <wp:docPr id="11" name="Group 15"/>
                <wp:cNvGraphicFramePr/>
                <a:graphic xmlns:a="http://schemas.openxmlformats.org/drawingml/2006/main">
                  <a:graphicData uri="http://schemas.microsoft.com/office/word/2010/wordprocessingGroup">
                    <wpg:wgp>
                      <wpg:cNvGrpSpPr/>
                      <wpg:grpSpPr>
                        <a:xfrm>
                          <a:off x="0" y="0"/>
                          <a:ext cx="1966595" cy="1896110"/>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A26870E" id="Group 15" o:spid="_x0000_s1026" style="width:154.85pt;height:149.3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">
                <v:shapetype id="_x0000_t32" coordsize="21600,21600" o:spt="32" o:oned="t" path="m,l21600,21600e" filled="f">
                  <v:path arrowok="t" fillok="f" o:connecttype="none"/>
                  <o:lock v:ext="edit" shapetype="t"/>
                </v:shapetype>
                <v:shape id="Straight Arrow Connector 12" o:spid="_x0000_s1027"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8"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29"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0"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type id="_x0000_t202" coordsize="21600,21600" o:spt="202" path="m,l,21600r21600,l21600,xe">
                  <v:stroke joinstyle="miter"/>
                  <v:path gradientshapeok="t" o:connecttype="rect"/>
                </v:shapetype>
                <v:shape id="TextBox 13" o:spid="_x0000_s1031"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2"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noProof/>
        </w:rPr>
        <w:lastRenderedPageBreak/>
        <mc:AlternateContent>
          <mc:Choice Requires="wpg">
            <w:drawing>
              <wp:inline distT="0" distB="0" distL="0" distR="0" wp14:anchorId="4EE1FDF5" wp14:editId="61E49A80">
                <wp:extent cx="1857388" cy="1701420"/>
                <wp:effectExtent l="0" t="0" r="0" b="0"/>
                <wp:docPr id="36" name="Group 41"/>
                <wp:cNvGraphicFramePr/>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pn</w:t>
                              </w:r>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qn</w:t>
                              </w:r>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3"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">
                <v:group id="Group 37" o:spid="_x0000_s1034"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5"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6"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7"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8"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39"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0"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1"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2"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3"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4"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5"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6"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7"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8"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49"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pn</w:t>
                        </w:r>
                      </w:p>
                    </w:txbxContent>
                  </v:textbox>
                </v:shape>
                <v:shape id="TextBox 37" o:spid="_x0000_s1050"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1"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qn</w:t>
                        </w:r>
                      </w:p>
                    </w:txbxContent>
                  </v:textbox>
                </v:shape>
                <v:shape id="TextBox 40" o:spid="_x0000_s1052"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r>
        <w:rPr>
          <w:rFonts w:eastAsiaTheme="minorEastAsia"/>
          <w:lang w:val="it-IT"/>
        </w:rPr>
        <w:t xml:space="preserve">Infatti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quadrilateri di diversa dimensione, quello senza imposta maggiore rispetto al caso con presenza di costi di transazione. </w:t>
      </w:r>
    </w:p>
    <w:p w14:paraId="4B5B3416" w14:textId="561C0E69" w:rsidR="00D1428D" w:rsidRDefault="00D1428D" w:rsidP="002A0EA3">
      <w:pPr>
        <w:jc w:val="both"/>
        <w:rPr>
          <w:rFonts w:eastAsiaTheme="minorEastAsia"/>
          <w:lang w:val="it-IT"/>
        </w:rPr>
      </w:pPr>
      <w:r>
        <w:rPr>
          <w:rFonts w:eastAsiaTheme="minorEastAsia"/>
          <w:lang w:val="it-IT"/>
        </w:rPr>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a raggiungere l’equilibrio ottimo</w:t>
      </w:r>
      <w:r w:rsidR="003426EC">
        <w:rPr>
          <w:rFonts w:eastAsiaTheme="minorEastAsia"/>
          <w:lang w:val="it-IT"/>
        </w:rPr>
        <w:t xml:space="preserve">. </w:t>
      </w:r>
    </w:p>
    <w:p w14:paraId="10E9CA66" w14:textId="4971A492" w:rsidR="0033143C" w:rsidRPr="00764C29" w:rsidRDefault="00E87C4D" w:rsidP="002A0EA3">
      <w:pPr>
        <w:jc w:val="both"/>
        <w:rPr>
          <w:rFonts w:eastAsiaTheme="minorEastAsia"/>
          <w:lang w:val="it-IT"/>
        </w:rPr>
      </w:pPr>
      <w:r>
        <w:rPr>
          <w:rFonts w:eastAsiaTheme="minorEastAsia"/>
          <w:lang w:val="it-IT"/>
        </w:rPr>
        <w:t>È facile quindi intuire che efficientare il mercato immobiliare darebbe dei benefici collettivi, sia in termini di stabilizzazione sia in termini di miglioramento paretiano n</w:t>
      </w:r>
      <w:r w:rsidR="006776FE">
        <w:rPr>
          <w:rFonts w:eastAsiaTheme="minorEastAsia"/>
          <w:lang w:val="it-IT"/>
        </w:rPr>
        <w:t xml:space="preserve">ell’allocazione delle risorse. </w:t>
      </w:r>
    </w:p>
    <w:p w14:paraId="7E4748A1" w14:textId="017A601F" w:rsidR="00214029" w:rsidRPr="00F96097" w:rsidRDefault="001B6483" w:rsidP="001B6483">
      <w:pPr>
        <w:pStyle w:val="Heading1"/>
      </w:pPr>
      <w:bookmarkStart w:id="21" w:name="_Toc98239999"/>
      <w:r w:rsidRPr="00F96097">
        <w:t>Capitolo 3</w:t>
      </w:r>
      <w:bookmarkEnd w:id="21"/>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Ya Cai,</w:t>
      </w:r>
      <w:r w:rsidRPr="001B6483">
        <w:t xml:space="preserve"> and Chengli Zheng</w:t>
      </w:r>
    </w:p>
    <w:p w14:paraId="43A3FDD4" w14:textId="4BC656F9" w:rsidR="001B6483" w:rsidRDefault="00E92772" w:rsidP="001B6483">
      <w:hyperlink r:id="rId20"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5288312C" w:rsidR="00BF1C60" w:rsidRPr="00E55E9D" w:rsidRDefault="006776FE" w:rsidP="006776FE">
      <w:pPr>
        <w:pStyle w:val="Heading1"/>
        <w:rPr>
          <w:lang w:val="it-IT"/>
        </w:rPr>
      </w:pPr>
      <w:bookmarkStart w:id="22" w:name="_Toc98240000"/>
      <w:r w:rsidRPr="00E55E9D">
        <w:rPr>
          <w:lang w:val="it-IT"/>
        </w:rPr>
        <w:t>Capitolo 4</w:t>
      </w:r>
      <w:bookmarkEnd w:id="22"/>
    </w:p>
    <w:p w14:paraId="65208410" w14:textId="71556D9A" w:rsidR="006776FE" w:rsidRDefault="006776FE" w:rsidP="006776FE">
      <w:pPr>
        <w:rPr>
          <w:lang w:val="it-IT"/>
        </w:rPr>
      </w:pPr>
    </w:p>
    <w:p w14:paraId="2D35AC43" w14:textId="6A06B4DF" w:rsidR="00512A8C" w:rsidRDefault="006776FE" w:rsidP="006776FE">
      <w:pPr>
        <w:rPr>
          <w:lang w:val="it-IT"/>
        </w:rPr>
      </w:pPr>
      <w:r w:rsidRPr="006776FE">
        <w:rPr>
          <w:lang w:val="it-IT"/>
        </w:rPr>
        <w:t xml:space="preserve">Dai capitoli 1 e 2 si è mostrato come il mercato immobiliare sia inefficiente e come, eliminando le cause di inefficienza, si possa raggiungere un livello di benessere superiore per il mercato, gli attori coinvolti e l’economia tutta. </w:t>
      </w:r>
    </w:p>
    <w:p w14:paraId="1E55BD75" w14:textId="172E0865" w:rsidR="006F52D1" w:rsidRDefault="006F52D1" w:rsidP="006776FE">
      <w:pPr>
        <w:rPr>
          <w:lang w:val="it-IT"/>
        </w:rPr>
      </w:pPr>
      <w:r w:rsidRPr="006F52D1">
        <w:rPr>
          <w:highlight w:val="yellow"/>
          <w:lang w:val="it-IT"/>
        </w:rPr>
        <w:t>Perché si parla di pooling? Perché obbiettivo dei token è essere una alternativa ai REIT che fanno pooling</w:t>
      </w:r>
    </w:p>
    <w:p w14:paraId="0DA85FD7" w14:textId="6ADA4FD3" w:rsidR="006F52D1" w:rsidRPr="006F52D1" w:rsidRDefault="00B0265A" w:rsidP="001E6BA2">
      <w:pPr>
        <w:jc w:val="both"/>
        <w:rPr>
          <w:lang w:val="it-IT"/>
        </w:rPr>
      </w:pPr>
      <w:r w:rsidRPr="00B0265A">
        <w:rPr>
          <w:lang w:val="it-IT"/>
        </w:rPr>
        <w:t>Nella finanza moderna il “pooling” è il fondamento del risk managment.</w:t>
      </w:r>
      <w:r w:rsidR="006F52D1">
        <w:rPr>
          <w:lang w:val="it-IT"/>
        </w:rPr>
        <w:t xml:space="preserve"> Uno degli scopi della finanza strutturata, e dei suoi strumenti, è lo spostamento del rischio tra istituzioni finanziarie e settori. Attraverso il pooling si riesce a reingegnerizzare il profilo di rischio degli asset e trasformare “</w:t>
      </w:r>
      <w:r w:rsidR="006F52D1" w:rsidRPr="006F52D1">
        <w:rPr>
          <w:lang w:val="it-IT"/>
        </w:rPr>
        <w:t>a pool of assets i</w:t>
      </w:r>
      <w:r w:rsidR="006F52D1">
        <w:rPr>
          <w:lang w:val="it-IT"/>
        </w:rPr>
        <w:t xml:space="preserve">nto one or more securities that </w:t>
      </w:r>
      <w:r w:rsidR="006F52D1" w:rsidRPr="006F52D1">
        <w:rPr>
          <w:lang w:val="it-IT"/>
        </w:rPr>
        <w:t>are referred to as asset-backed securities</w:t>
      </w:r>
      <w:r w:rsidR="006F52D1">
        <w:rPr>
          <w:lang w:val="it-IT"/>
        </w:rPr>
        <w:t>”</w:t>
      </w:r>
      <w:r w:rsidR="006F52D1">
        <w:rPr>
          <w:rStyle w:val="FootnoteReference"/>
          <w:lang w:val="it-IT"/>
        </w:rPr>
        <w:footnoteReference w:id="30"/>
      </w:r>
    </w:p>
    <w:p w14:paraId="2B2365DA" w14:textId="0CC14795" w:rsidR="00B0265A" w:rsidRDefault="006F52D1" w:rsidP="001E6BA2">
      <w:pPr>
        <w:jc w:val="both"/>
        <w:rPr>
          <w:lang w:val="it-IT"/>
        </w:rPr>
      </w:pPr>
      <w:r>
        <w:rPr>
          <w:lang w:val="it-IT"/>
        </w:rPr>
        <w:t xml:space="preserve">Concettualmente il pooling è utile poiché riesce a spostare l’attenzione dalle idiosincrasie dei singoli asset, che nel caso degli immobili commerciali non sono troppo ben comprese. Infatti il pooling non è solo una tecnica finanziaria ma anche un modo di non pensare subconsciamente al singolo asset. </w:t>
      </w:r>
    </w:p>
    <w:p w14:paraId="6DE3D36D" w14:textId="303FCDC9" w:rsidR="006F52D1" w:rsidRPr="006F52D1" w:rsidRDefault="006F52D1" w:rsidP="001E6BA2">
      <w:pPr>
        <w:jc w:val="both"/>
        <w:rPr>
          <w:lang w:val="it-IT"/>
        </w:rPr>
      </w:pPr>
      <w:r>
        <w:rPr>
          <w:lang w:val="it-IT"/>
        </w:rPr>
        <w:lastRenderedPageBreak/>
        <w:t>Il processo di S</w:t>
      </w:r>
      <w:r w:rsidRPr="006F52D1">
        <w:rPr>
          <w:lang w:val="it-IT"/>
        </w:rPr>
        <w:t>ecuritisation</w:t>
      </w:r>
      <w:r>
        <w:rPr>
          <w:lang w:val="it-IT"/>
        </w:rPr>
        <w:t xml:space="preserve"> può sembrare come una magia </w:t>
      </w:r>
      <w:r w:rsidR="009215B8">
        <w:rPr>
          <w:lang w:val="it-IT"/>
        </w:rPr>
        <w:t xml:space="preserve">utile a </w:t>
      </w:r>
      <w:r>
        <w:rPr>
          <w:lang w:val="it-IT"/>
        </w:rPr>
        <w:t xml:space="preserve">fare scomparire il rischio specifico di un edificio tra la distribuzione dei rendimenti globale. La </w:t>
      </w:r>
      <w:r w:rsidRPr="006F52D1">
        <w:rPr>
          <w:lang w:val="it-IT"/>
        </w:rPr>
        <w:t>Securitisation</w:t>
      </w:r>
      <w:r>
        <w:rPr>
          <w:lang w:val="it-IT"/>
        </w:rPr>
        <w:t xml:space="preserve"> crea l’illusione che non sia necessario capire il rischio dei singoli asset. </w:t>
      </w:r>
    </w:p>
    <w:p w14:paraId="1580422A" w14:textId="7E05CE66" w:rsidR="00B0265A" w:rsidRDefault="006F52D1" w:rsidP="001E6BA2">
      <w:pPr>
        <w:jc w:val="both"/>
        <w:rPr>
          <w:lang w:val="it-IT"/>
        </w:rPr>
      </w:pPr>
      <w:r>
        <w:rPr>
          <w:lang w:val="it-IT"/>
        </w:rPr>
        <w:t xml:space="preserve">Nel “Graaskamp’s legacy” di </w:t>
      </w:r>
      <w:r w:rsidRPr="006F52D1">
        <w:rPr>
          <w:lang w:val="it-IT"/>
        </w:rPr>
        <w:t xml:space="preserve">Miles, Eppli </w:t>
      </w:r>
      <w:r>
        <w:rPr>
          <w:lang w:val="it-IT"/>
        </w:rPr>
        <w:t>e</w:t>
      </w:r>
      <w:r w:rsidRPr="006F52D1">
        <w:rPr>
          <w:lang w:val="it-IT"/>
        </w:rPr>
        <w:t xml:space="preserve"> Kummerow</w:t>
      </w:r>
      <w:r w:rsidR="001E6BA2">
        <w:rPr>
          <w:rStyle w:val="FootnoteReference"/>
          <w:lang w:val="it-IT"/>
        </w:rPr>
        <w:footnoteReference w:id="31"/>
      </w:r>
      <w:r>
        <w:rPr>
          <w:lang w:val="it-IT"/>
        </w:rPr>
        <w:t xml:space="preserve"> si puntualizza:</w:t>
      </w:r>
    </w:p>
    <w:p w14:paraId="7372B00A" w14:textId="76C2A00C" w:rsidR="001E6BA2" w:rsidRDefault="001E6BA2" w:rsidP="001E6BA2">
      <w:pPr>
        <w:jc w:val="both"/>
      </w:pPr>
      <w:r w:rsidRPr="001E6BA2">
        <w:t>“Conduit and REIT investors properly view re</w:t>
      </w:r>
      <w:r>
        <w:t xml:space="preserve">al estate from a portfolio risk </w:t>
      </w:r>
      <w:r w:rsidRPr="001E6BA2">
        <w:t>perspective. The risks inherent in any one property ca</w:t>
      </w:r>
      <w:r>
        <w:t xml:space="preserve">n be reduced via diversification </w:t>
      </w:r>
      <w:r w:rsidRPr="001E6BA2">
        <w:t>through the pooling of assets</w:t>
      </w:r>
      <w:r>
        <w:t xml:space="preserve">. We think that Graaskamp would </w:t>
      </w:r>
      <w:r w:rsidRPr="001E6BA2">
        <w:t>take a different view; emphasizing micro market</w:t>
      </w:r>
      <w:r>
        <w:t xml:space="preserve"> analysis […] and would suggest that the pool of </w:t>
      </w:r>
      <w:r w:rsidRPr="001E6BA2">
        <w:t>assets is in the end onl</w:t>
      </w:r>
      <w:r>
        <w:t xml:space="preserve">y as good as the cash flows from </w:t>
      </w:r>
      <w:r w:rsidRPr="001E6BA2">
        <w:t>individual properties.</w:t>
      </w:r>
      <w:r>
        <w:t>”</w:t>
      </w:r>
    </w:p>
    <w:p w14:paraId="2382D6AF" w14:textId="28033812" w:rsidR="001E6BA2" w:rsidRDefault="001E6BA2" w:rsidP="001E6BA2">
      <w:pPr>
        <w:jc w:val="both"/>
        <w:rPr>
          <w:lang w:val="it-IT"/>
        </w:rPr>
      </w:pPr>
      <w:r w:rsidRPr="001E6BA2">
        <w:rPr>
          <w:lang w:val="it-IT"/>
        </w:rPr>
        <w:t xml:space="preserve">L’estrema eterogeneità del Real Estate si è dimostrata essere un grande grattacapo </w:t>
      </w:r>
      <w:r>
        <w:rPr>
          <w:lang w:val="it-IT"/>
        </w:rPr>
        <w:t xml:space="preserve">nella necessaria standardizzazione richiesta per creare un mercato liquido di derivati. </w:t>
      </w:r>
    </w:p>
    <w:p w14:paraId="74F38073" w14:textId="45140D20" w:rsidR="00B0265A" w:rsidRDefault="001E6BA2" w:rsidP="00641CCF">
      <w:pPr>
        <w:jc w:val="both"/>
      </w:pPr>
      <w:r w:rsidRPr="001E6BA2">
        <w:t>“The fact is that real estate is resistant t</w:t>
      </w:r>
      <w:r>
        <w:t xml:space="preserve">o abstraction, which ultimately </w:t>
      </w:r>
      <w:r w:rsidRPr="001E6BA2">
        <w:t>tends to fost</w:t>
      </w:r>
      <w:r>
        <w:t>er aggregate thinking even more”.</w:t>
      </w:r>
      <w:r>
        <w:rPr>
          <w:rStyle w:val="FootnoteReference"/>
        </w:rPr>
        <w:footnoteReference w:id="32"/>
      </w:r>
    </w:p>
    <w:p w14:paraId="2D486908" w14:textId="701BF8A9" w:rsidR="00641CCF" w:rsidRPr="001E6BA2" w:rsidRDefault="0037395F" w:rsidP="00641CCF">
      <w:pPr>
        <w:jc w:val="both"/>
      </w:pPr>
      <w:r>
        <w:t>“</w:t>
      </w:r>
      <w:r w:rsidRPr="0037395F">
        <w:t>MPT and EMH seem to have been introduced into real estate to justify the use of particular statistical techniques and portfolio strategies rather than as a consequence of empirical analysis of investment return and risk characteristics. In science, the situation is generally reversed: theories are developed to explain observations.</w:t>
      </w:r>
      <w:r>
        <w:t>”</w:t>
      </w:r>
      <w:r>
        <w:rPr>
          <w:rStyle w:val="FootnoteReference"/>
        </w:rPr>
        <w:footnoteReference w:id="33"/>
      </w:r>
    </w:p>
    <w:p w14:paraId="221BFB2A" w14:textId="5DD7D51A" w:rsidR="00B0265A" w:rsidRPr="0037395F" w:rsidRDefault="0037395F" w:rsidP="006776FE">
      <w:pPr>
        <w:rPr>
          <w:lang w:val="it-IT"/>
        </w:rPr>
      </w:pPr>
      <w:r>
        <w:rPr>
          <w:lang w:val="it-IT"/>
        </w:rPr>
        <w:t>Le inefficienze del mercato immobiliare sottolineate nei capitoli precedenti dimostrano che il Real Estate differisce sostanzialmente dal perfetto mondo del CAPM.</w:t>
      </w:r>
      <w:r>
        <w:rPr>
          <w:rStyle w:val="FootnoteReference"/>
          <w:lang w:val="it-IT"/>
        </w:rPr>
        <w:footnoteReference w:id="34"/>
      </w:r>
    </w:p>
    <w:p w14:paraId="4E8349B2" w14:textId="7BE072DC" w:rsidR="0037395F" w:rsidRPr="0037395F" w:rsidRDefault="0037395F" w:rsidP="006776FE">
      <w:pPr>
        <w:rPr>
          <w:lang w:val="it-IT"/>
        </w:rPr>
      </w:pPr>
      <w:r w:rsidRPr="0037395F">
        <w:rPr>
          <w:lang w:val="it-IT"/>
        </w:rPr>
        <w:t xml:space="preserve">Hartzell, Hekman </w:t>
      </w:r>
      <w:r>
        <w:rPr>
          <w:lang w:val="it-IT"/>
        </w:rPr>
        <w:t>e</w:t>
      </w:r>
      <w:r w:rsidRPr="0037395F">
        <w:rPr>
          <w:lang w:val="it-IT"/>
        </w:rPr>
        <w:t xml:space="preserve"> Miles</w:t>
      </w:r>
      <w:r>
        <w:rPr>
          <w:rStyle w:val="FootnoteReference"/>
          <w:lang w:val="it-IT"/>
        </w:rPr>
        <w:footnoteReference w:id="35"/>
      </w:r>
      <w:r>
        <w:rPr>
          <w:lang w:val="it-IT"/>
        </w:rPr>
        <w:t xml:space="preserve"> asseriscono che il rischio sistemico, come definito nel CAPM, raramente eccede il 20% del rischio totale per un portafoglio di edifici in USA. Allo stesso modo </w:t>
      </w:r>
      <w:r w:rsidRPr="0037395F">
        <w:rPr>
          <w:lang w:val="it-IT"/>
        </w:rPr>
        <w:t xml:space="preserve">Brown </w:t>
      </w:r>
      <w:r>
        <w:rPr>
          <w:lang w:val="it-IT"/>
        </w:rPr>
        <w:t>e</w:t>
      </w:r>
      <w:r w:rsidRPr="0037395F">
        <w:rPr>
          <w:lang w:val="it-IT"/>
        </w:rPr>
        <w:t xml:space="preserve"> Matysiak</w:t>
      </w:r>
      <w:r>
        <w:rPr>
          <w:rStyle w:val="FootnoteReference"/>
          <w:lang w:val="it-IT"/>
        </w:rPr>
        <w:footnoteReference w:id="36"/>
      </w:r>
      <w:r>
        <w:rPr>
          <w:lang w:val="it-IT"/>
        </w:rPr>
        <w:t xml:space="preserve"> identificano che il rischio dei mercato conta per meno del 10% sulla fluttuazione media nei rendimenti totali di un edificio, contro un 30% in media per le azioni quotate. </w:t>
      </w:r>
    </w:p>
    <w:p w14:paraId="7211A34A" w14:textId="02135261" w:rsidR="00B0265A" w:rsidRDefault="005A64A2" w:rsidP="005A64A2">
      <w:pPr>
        <w:pStyle w:val="Heading2"/>
        <w:rPr>
          <w:lang w:val="it-IT"/>
        </w:rPr>
      </w:pPr>
      <w:r>
        <w:rPr>
          <w:lang w:val="it-IT"/>
        </w:rPr>
        <w:t>Modelli di rischio nel RE</w:t>
      </w:r>
    </w:p>
    <w:p w14:paraId="3A4C0B23" w14:textId="48A5DF4B" w:rsidR="005A64A2" w:rsidRDefault="005A64A2" w:rsidP="005A64A2">
      <w:pPr>
        <w:rPr>
          <w:lang w:val="it-IT"/>
        </w:rPr>
      </w:pPr>
      <w:r>
        <w:rPr>
          <w:lang w:val="it-IT"/>
        </w:rPr>
        <w:t xml:space="preserve">I primi studiosi ad aver analizzato quali potessero essere i fattori di rischio nel Real Estate commerciale furono gli economisti urbani. Le loro ricerche individuano questi fattori e ricostruiscono i processi con cui li stessi influenzano i valori immobiliari. </w:t>
      </w:r>
    </w:p>
    <w:p w14:paraId="1E740A0E" w14:textId="6B052870" w:rsidR="005A64A2" w:rsidRDefault="005A64A2" w:rsidP="005A64A2">
      <w:pPr>
        <w:rPr>
          <w:lang w:val="it-IT"/>
        </w:rPr>
      </w:pPr>
      <w:r>
        <w:rPr>
          <w:lang w:val="it-IT"/>
        </w:rPr>
        <w:t>Dalle loro ricerche emerge:</w:t>
      </w:r>
    </w:p>
    <w:p w14:paraId="3FED52EA" w14:textId="522CC0E0" w:rsidR="005A64A2" w:rsidRDefault="005A64A2" w:rsidP="005A64A2">
      <w:pPr>
        <w:pStyle w:val="ListParagraph"/>
        <w:numPr>
          <w:ilvl w:val="0"/>
          <w:numId w:val="24"/>
        </w:numPr>
        <w:rPr>
          <w:lang w:val="it-IT"/>
        </w:rPr>
      </w:pPr>
      <w:r>
        <w:rPr>
          <w:lang w:val="it-IT"/>
        </w:rPr>
        <w:t xml:space="preserve">Un’analisi del terreno su cui poggiano gli edifici è fondamentale per avere un approccio bottom-up. </w:t>
      </w:r>
    </w:p>
    <w:p w14:paraId="19F02B71" w14:textId="471DD30D" w:rsidR="005A64A2" w:rsidRDefault="005A64A2" w:rsidP="005A64A2">
      <w:pPr>
        <w:pStyle w:val="ListParagraph"/>
      </w:pPr>
      <w:r w:rsidRPr="005A64A2">
        <w:t>“Each piece of real property may be a fixed po</w:t>
      </w:r>
      <w:r>
        <w:t xml:space="preserve">int on the earth’s surface, but this fixed point is a </w:t>
      </w:r>
      <w:r w:rsidRPr="005A64A2">
        <w:t>part of a highly dynamic framework. All manner of forces-e</w:t>
      </w:r>
      <w:r>
        <w:t xml:space="preserve">conomic, political, and social; </w:t>
      </w:r>
      <w:r w:rsidRPr="005A64A2">
        <w:t>international, national and local- are operating constantly t</w:t>
      </w:r>
      <w:r>
        <w:t xml:space="preserve">o add to or to detract from the </w:t>
      </w:r>
      <w:r w:rsidRPr="005A64A2">
        <w:t>property’s capacity to</w:t>
      </w:r>
      <w:r>
        <w:t xml:space="preserve"> </w:t>
      </w:r>
      <w:r w:rsidRPr="005A64A2">
        <w:t>produce income at a given si</w:t>
      </w:r>
      <w:r>
        <w:t>te”.</w:t>
      </w:r>
      <w:r>
        <w:rPr>
          <w:rStyle w:val="FootnoteReference"/>
        </w:rPr>
        <w:footnoteReference w:id="37"/>
      </w:r>
    </w:p>
    <w:p w14:paraId="5E3662DA" w14:textId="5A7DDBCC" w:rsidR="005A64A2" w:rsidRDefault="005A64A2" w:rsidP="005A64A2">
      <w:pPr>
        <w:pStyle w:val="ListParagraph"/>
        <w:numPr>
          <w:ilvl w:val="0"/>
          <w:numId w:val="24"/>
        </w:numPr>
        <w:rPr>
          <w:lang w:val="it-IT"/>
        </w:rPr>
      </w:pPr>
      <w:r w:rsidRPr="005A64A2">
        <w:rPr>
          <w:lang w:val="it-IT"/>
        </w:rPr>
        <w:lastRenderedPageBreak/>
        <w:t xml:space="preserve">I fattori che influenzano i valori del </w:t>
      </w:r>
      <w:r>
        <w:rPr>
          <w:lang w:val="it-IT"/>
        </w:rPr>
        <w:t xml:space="preserve">RE non sono statici ma dinamici dal momento che sono la conseguenza di relazioni spaziali tra le unità immobiliari e le attività socio-economiche. Queste relazioni vengono impattate da fattori economici, sociali, politici e tecnologici. </w:t>
      </w:r>
    </w:p>
    <w:p w14:paraId="2965F734" w14:textId="08605538" w:rsidR="005A64A2" w:rsidRDefault="005A64A2" w:rsidP="005A64A2">
      <w:pPr>
        <w:pStyle w:val="ListParagraph"/>
        <w:numPr>
          <w:ilvl w:val="0"/>
          <w:numId w:val="24"/>
        </w:numPr>
        <w:rPr>
          <w:lang w:val="it-IT"/>
        </w:rPr>
      </w:pPr>
      <w:r>
        <w:rPr>
          <w:lang w:val="it-IT"/>
        </w:rPr>
        <w:t xml:space="preserve">I valori immobiliari derivano dalle fondazioni fisiche del RE (dominate dal terreno), fattori di posizione (relazioni tra la location e </w:t>
      </w:r>
      <w:r w:rsidR="0097036E">
        <w:rPr>
          <w:lang w:val="it-IT"/>
        </w:rPr>
        <w:t xml:space="preserve">altri punti del landscape urbano) e la dimensione legale (titoli sugli immobili, contratti, diritti di usufrutto…). </w:t>
      </w:r>
    </w:p>
    <w:p w14:paraId="34FADB50" w14:textId="6361692C" w:rsidR="00B0265A" w:rsidRPr="0097036E" w:rsidRDefault="0097036E" w:rsidP="006776FE">
      <w:pPr>
        <w:pStyle w:val="ListParagraph"/>
        <w:numPr>
          <w:ilvl w:val="0"/>
          <w:numId w:val="24"/>
        </w:numPr>
        <w:rPr>
          <w:lang w:val="it-IT"/>
        </w:rPr>
      </w:pPr>
      <w:r>
        <w:rPr>
          <w:lang w:val="it-IT"/>
        </w:rPr>
        <w:t>Gli edifici sono solo un mezzo per creare ricavi dai terreni</w:t>
      </w:r>
    </w:p>
    <w:p w14:paraId="54DA7DDF" w14:textId="2E812AB7" w:rsidR="00B0265A" w:rsidRDefault="00770363" w:rsidP="00770363">
      <w:pPr>
        <w:pStyle w:val="Heading2"/>
        <w:rPr>
          <w:lang w:val="it-IT"/>
        </w:rPr>
      </w:pPr>
      <w:r>
        <w:rPr>
          <w:lang w:val="it-IT"/>
        </w:rPr>
        <w:t>Tokenizzazione</w:t>
      </w:r>
    </w:p>
    <w:p w14:paraId="3B24F616" w14:textId="111EE0E0" w:rsidR="00770363" w:rsidRDefault="00770363" w:rsidP="00770363">
      <w:pPr>
        <w:rPr>
          <w:lang w:val="it-IT"/>
        </w:rPr>
      </w:pPr>
    </w:p>
    <w:p w14:paraId="68A5AD51" w14:textId="55AEA374" w:rsidR="00770363" w:rsidRDefault="00770363" w:rsidP="00770363">
      <w:pPr>
        <w:rPr>
          <w:lang w:val="it-IT"/>
        </w:rPr>
      </w:pPr>
      <w:r>
        <w:rPr>
          <w:lang w:val="it-IT"/>
        </w:rPr>
        <w:t>La parola “tokenizzazione” può avere due significati:</w:t>
      </w:r>
    </w:p>
    <w:p w14:paraId="27C18052" w14:textId="35EAA4B6" w:rsidR="00770363" w:rsidRDefault="00770363" w:rsidP="00770363">
      <w:pPr>
        <w:pStyle w:val="ListParagraph"/>
        <w:numPr>
          <w:ilvl w:val="0"/>
          <w:numId w:val="25"/>
        </w:numPr>
        <w:rPr>
          <w:lang w:val="it-IT"/>
        </w:rPr>
      </w:pPr>
      <w:r>
        <w:rPr>
          <w:lang w:val="it-IT"/>
        </w:rPr>
        <w:t xml:space="preserve">La frazionalizzazione dei diritti di proprietà </w:t>
      </w:r>
    </w:p>
    <w:p w14:paraId="05BDA892" w14:textId="56DECCD1" w:rsidR="00770363" w:rsidRDefault="00770363" w:rsidP="00770363">
      <w:pPr>
        <w:pStyle w:val="ListParagraph"/>
        <w:numPr>
          <w:ilvl w:val="0"/>
          <w:numId w:val="25"/>
        </w:numPr>
        <w:rPr>
          <w:lang w:val="it-IT"/>
        </w:rPr>
      </w:pPr>
      <w:r>
        <w:rPr>
          <w:lang w:val="it-IT"/>
        </w:rPr>
        <w:t>La rappresentazione digitale della proprietà dell’asset sottostante</w:t>
      </w:r>
    </w:p>
    <w:p w14:paraId="3C645913" w14:textId="393508E7" w:rsidR="0076067D" w:rsidRDefault="0076067D" w:rsidP="0076067D">
      <w:pPr>
        <w:rPr>
          <w:lang w:val="it-IT"/>
        </w:rPr>
      </w:pPr>
      <w:r>
        <w:rPr>
          <w:lang w:val="it-IT"/>
        </w:rPr>
        <w:t xml:space="preserve">Il concetto di tokenizzazione è nato inizialmente come l’applicazione di dei distributed ledger technology (DLT) ovvero </w:t>
      </w:r>
      <w:r w:rsidRPr="0076067D">
        <w:rPr>
          <w:lang w:val="it-IT"/>
        </w:rPr>
        <w:t>sistemi basati su un registro distribuito, ossia sistemi in cui tutti i nodi di una rete possiedono la medesima copia di un database che può essere letto e modificato in modo indipendente dai singoli nodi.</w:t>
      </w:r>
    </w:p>
    <w:p w14:paraId="18ECF885" w14:textId="20A785E2" w:rsidR="0076067D" w:rsidRDefault="0076067D" w:rsidP="0076067D">
      <w:r w:rsidRPr="0076067D">
        <w:t>Il Financial Stability Board (FSB) nello studio “</w:t>
      </w:r>
      <w:r w:rsidRPr="0076067D">
        <w:rPr>
          <w:i/>
        </w:rPr>
        <w:t>Decentralised Financial Technologies</w:t>
      </w:r>
      <w:r w:rsidRPr="0076067D">
        <w:t>” definisce la tokenizzazione come “the representation of traditional assets – e.g. financial instruments, a basket of collateral or real</w:t>
      </w:r>
      <w:r>
        <w:t xml:space="preserve"> assets – on distributed ledger </w:t>
      </w:r>
      <w:r w:rsidRPr="0076067D">
        <w:t>technology”.</w:t>
      </w:r>
      <w:r w:rsidR="003E0419">
        <w:rPr>
          <w:rStyle w:val="FootnoteReference"/>
        </w:rPr>
        <w:footnoteReference w:id="38"/>
      </w:r>
    </w:p>
    <w:p w14:paraId="55C7F7B5" w14:textId="378569F5" w:rsidR="003E0419" w:rsidRPr="003E0419" w:rsidRDefault="003E0419" w:rsidP="003E0419">
      <w:pPr>
        <w:rPr>
          <w:lang w:val="it-IT"/>
        </w:rPr>
      </w:pPr>
      <w:r w:rsidRPr="003E0419">
        <w:t xml:space="preserve">La tokenizzazione è quindi “the process of moving traditional </w:t>
      </w:r>
      <w:r>
        <w:t>non-digital securities to a digital form using blockchain technology”</w:t>
      </w:r>
      <w:r>
        <w:rPr>
          <w:rStyle w:val="FootnoteReference"/>
        </w:rPr>
        <w:footnoteReference w:id="39"/>
      </w:r>
      <w:r>
        <w:t xml:space="preserve">. </w:t>
      </w:r>
      <w:r w:rsidRPr="003E0419">
        <w:rPr>
          <w:lang w:val="it-IT"/>
        </w:rPr>
        <w:t xml:space="preserve">Facendo ciò è possibile frazionalizzare gli asset in quote di proprietà a piccolo valori. </w:t>
      </w:r>
    </w:p>
    <w:p w14:paraId="0E1F4560" w14:textId="359E6748" w:rsidR="00B0265A" w:rsidRDefault="00770363" w:rsidP="006776FE">
      <w:pPr>
        <w:rPr>
          <w:lang w:val="it-IT"/>
        </w:rPr>
      </w:pPr>
      <w:r>
        <w:rPr>
          <w:lang w:val="it-IT"/>
        </w:rPr>
        <w:t xml:space="preserve">Con la tokenizzazione si vuole portare due importanti sviluppi nel mercato immobiliare. In primo luogo la soddisfazione della domanda per gli asset frazionalizzati. In secondo luogo integrare l’innovativa tecnologia blockhcain con un mercato antico e statico come quello immobiliare. </w:t>
      </w:r>
    </w:p>
    <w:p w14:paraId="0EB9A40B" w14:textId="4E1D58A7" w:rsidR="00770363" w:rsidRDefault="00770363" w:rsidP="006776FE">
      <w:pPr>
        <w:rPr>
          <w:lang w:val="it-IT"/>
        </w:rPr>
      </w:pPr>
      <w:r>
        <w:rPr>
          <w:lang w:val="it-IT"/>
        </w:rPr>
        <w:t xml:space="preserve">Connesso a ciò vi è il costo della frazionalizzazione e il costo della tokenizzazione. In molti mercati la frazionalizzazione del real estate richiede una </w:t>
      </w:r>
      <w:r w:rsidR="0076067D">
        <w:rPr>
          <w:lang w:val="it-IT"/>
        </w:rPr>
        <w:t>struttura</w:t>
      </w:r>
      <w:r>
        <w:rPr>
          <w:lang w:val="it-IT"/>
        </w:rPr>
        <w:t xml:space="preserve"> intermedia dal momento che la proprietà diretta degli immobili non può essere suddivisa oltre un certo numero di quote. Anche nel caso in cui fosse consentito dividere la proprietà di un asset per un numero tendente a infinito, vi è la necessità di avere un accordo per gestire lo stesso. Gli immobili sono entitià fisiche e come tali hanno bisogno di una gestione attiva. Per fare ciò è utile rivolgersi ad entità e strutture già esistenti che si sono dimostrate efficaci nel gestire asset frazionalizzati. Si parla ad esempio dei Trusts, delle SPV o di contratti di partnership dedicati. </w:t>
      </w:r>
    </w:p>
    <w:p w14:paraId="461127C8" w14:textId="143EB925" w:rsidR="00770363" w:rsidRDefault="00770363" w:rsidP="006776FE">
      <w:pPr>
        <w:rPr>
          <w:lang w:val="it-IT"/>
        </w:rPr>
      </w:pPr>
      <w:r>
        <w:rPr>
          <w:lang w:val="it-IT"/>
        </w:rPr>
        <w:t xml:space="preserve">È facile capire come una struttura intermedia sia necessaria e </w:t>
      </w:r>
      <w:r w:rsidR="0076067D">
        <w:rPr>
          <w:lang w:val="it-IT"/>
        </w:rPr>
        <w:t>conveniente</w:t>
      </w:r>
      <w:r>
        <w:rPr>
          <w:lang w:val="it-IT"/>
        </w:rPr>
        <w:t xml:space="preserve">. </w:t>
      </w:r>
      <w:r w:rsidR="00D44CB1">
        <w:rPr>
          <w:lang w:val="it-IT"/>
        </w:rPr>
        <w:t xml:space="preserve">Lo sbocco dove la tokenizzazione avrà più successo è il mondo dei fondi dove esiste già una struttura e vi è già una domanda espressa per la frazionalizzazione. </w:t>
      </w:r>
    </w:p>
    <w:p w14:paraId="1F016CE6" w14:textId="35B39A6A" w:rsidR="00B0265A" w:rsidRDefault="000608A6" w:rsidP="000608A6">
      <w:pPr>
        <w:rPr>
          <w:lang w:val="it-IT"/>
        </w:rPr>
      </w:pPr>
      <w:r>
        <w:rPr>
          <w:lang w:val="it-IT"/>
        </w:rPr>
        <w:t xml:space="preserve">Per creare un mercato finanziario, alla blockchain c’è bisogno di unire degli smart contracts. Questo fatto porta con sé delle challenge, prima di tutte il fatto che gli immobili sono oggetti fisici e, nel linguaggio blockchain, sono detti asset off-chain. La loro fisicità e costante interazione col mondo esterno si pone in stretta contraddizione con la natura digitale della blockchain. Al contrario degli eventi on-chain, gli eventi off-chain (quelli che accadono nel mondo reale) devono essere verificati di persona. La blockchain e gli </w:t>
      </w:r>
      <w:r>
        <w:rPr>
          <w:lang w:val="it-IT"/>
        </w:rPr>
        <w:lastRenderedPageBreak/>
        <w:t xml:space="preserve">smart contracts non sono connessi direttamente con questi eventi off-chain. </w:t>
      </w:r>
      <w:r w:rsidRPr="000608A6">
        <w:t>Si potrebbe connetterli con “</w:t>
      </w:r>
      <w:r>
        <w:t xml:space="preserve">third-party </w:t>
      </w:r>
      <w:r w:rsidRPr="000608A6">
        <w:t>service providers [</w:t>
      </w:r>
      <w:r>
        <w:t>detti</w:t>
      </w:r>
      <w:r w:rsidRPr="000608A6">
        <w:t xml:space="preserve"> oracles] that provide</w:t>
      </w:r>
      <w:r>
        <w:t xml:space="preserve"> information about the external </w:t>
      </w:r>
      <w:r w:rsidRPr="000608A6">
        <w:t>world”</w:t>
      </w:r>
      <w:r>
        <w:rPr>
          <w:rStyle w:val="FootnoteReference"/>
        </w:rPr>
        <w:footnoteReference w:id="40"/>
      </w:r>
      <w:r>
        <w:t xml:space="preserve">. </w:t>
      </w:r>
      <w:r w:rsidRPr="000608A6">
        <w:rPr>
          <w:lang w:val="it-IT"/>
        </w:rPr>
        <w:t xml:space="preserve">Gli eventi che possono impattare sugli immobili nel mondo reale sono molteplici. </w:t>
      </w:r>
      <w:r>
        <w:rPr>
          <w:lang w:val="it-IT"/>
        </w:rPr>
        <w:t xml:space="preserve">Per questo la relazione tra on-chain e off-chain non è né banale né diretta. </w:t>
      </w:r>
    </w:p>
    <w:p w14:paraId="46379578" w14:textId="19F3AD8E" w:rsidR="00173E7E" w:rsidRDefault="00173E7E" w:rsidP="00173E7E">
      <w:pPr>
        <w:pStyle w:val="Heading2"/>
        <w:rPr>
          <w:lang w:val="it-IT"/>
        </w:rPr>
      </w:pPr>
      <w:r w:rsidRPr="00173E7E">
        <w:rPr>
          <w:lang w:val="it-IT"/>
        </w:rPr>
        <w:t>Security tokens versus tokenised securities</w:t>
      </w:r>
    </w:p>
    <w:p w14:paraId="3455EC31" w14:textId="5F52E035" w:rsidR="00173E7E" w:rsidRDefault="00173E7E" w:rsidP="00173E7E">
      <w:pPr>
        <w:rPr>
          <w:lang w:val="it-IT"/>
        </w:rPr>
      </w:pPr>
    </w:p>
    <w:p w14:paraId="09703D74" w14:textId="19FD657B" w:rsidR="00173E7E" w:rsidRDefault="00173E7E" w:rsidP="00173E7E">
      <w:pPr>
        <w:rPr>
          <w:lang w:val="it-IT"/>
        </w:rPr>
      </w:pPr>
      <w:r>
        <w:rPr>
          <w:lang w:val="it-IT"/>
        </w:rPr>
        <w:t>La frazionalizzazione degli asset immobiliari tramite tokenizzazione può avere due forme:</w:t>
      </w:r>
    </w:p>
    <w:p w14:paraId="292AF03C" w14:textId="20F6F76D" w:rsidR="00173E7E" w:rsidRDefault="00173E7E" w:rsidP="00173E7E">
      <w:pPr>
        <w:pStyle w:val="ListParagraph"/>
        <w:numPr>
          <w:ilvl w:val="0"/>
          <w:numId w:val="26"/>
        </w:numPr>
        <w:rPr>
          <w:lang w:val="it-IT"/>
        </w:rPr>
      </w:pPr>
      <w:r>
        <w:rPr>
          <w:lang w:val="it-IT"/>
        </w:rPr>
        <w:t>Frazionamento della proprietà degli stessi asset</w:t>
      </w:r>
    </w:p>
    <w:p w14:paraId="39AE8F8E" w14:textId="5E3C039C" w:rsidR="00173E7E" w:rsidRDefault="00173E7E" w:rsidP="00173E7E">
      <w:pPr>
        <w:pStyle w:val="ListParagraph"/>
        <w:numPr>
          <w:ilvl w:val="0"/>
          <w:numId w:val="26"/>
        </w:numPr>
        <w:rPr>
          <w:lang w:val="it-IT"/>
        </w:rPr>
      </w:pPr>
      <w:r>
        <w:rPr>
          <w:lang w:val="it-IT"/>
        </w:rPr>
        <w:t>Frazionamento delle securities basate sui diritti di proprietà e i redditi derivanti da essa</w:t>
      </w:r>
    </w:p>
    <w:p w14:paraId="3F6365BE" w14:textId="4537B77A" w:rsidR="00173E7E" w:rsidRDefault="00173E7E" w:rsidP="00173E7E">
      <w:pPr>
        <w:rPr>
          <w:lang w:val="it-IT"/>
        </w:rPr>
      </w:pPr>
      <w:r>
        <w:rPr>
          <w:lang w:val="it-IT"/>
        </w:rPr>
        <w:t>È possibile costruire delle securities blockchain-based in due modi: “security tokens” e “</w:t>
      </w:r>
      <w:r w:rsidRPr="00173E7E">
        <w:rPr>
          <w:lang w:val="it-IT"/>
        </w:rPr>
        <w:t>tokenized securities</w:t>
      </w:r>
      <w:r>
        <w:rPr>
          <w:lang w:val="it-IT"/>
        </w:rPr>
        <w:t>”.</w:t>
      </w:r>
    </w:p>
    <w:p w14:paraId="0B80157E" w14:textId="6B3C5AAA" w:rsidR="00173E7E" w:rsidRPr="0020339D" w:rsidRDefault="006F1A84" w:rsidP="006776FE">
      <w:pPr>
        <w:rPr>
          <w:lang w:val="it-IT"/>
        </w:rPr>
      </w:pPr>
      <w:r w:rsidRPr="0020339D">
        <w:rPr>
          <w:lang w:val="it-IT"/>
        </w:rPr>
        <w:t>I security tokens sono delle securities che non esistono fuori dalla blockchain, mentre le tokenized securities sono delle “blockchain-embedded representations of real world securities”.</w:t>
      </w:r>
    </w:p>
    <w:p w14:paraId="7474F898" w14:textId="12EBB7FB" w:rsidR="006F1A84" w:rsidRDefault="006F1A84" w:rsidP="006776FE">
      <w:pPr>
        <w:rPr>
          <w:lang w:val="it-IT"/>
        </w:rPr>
      </w:pPr>
      <w:r>
        <w:rPr>
          <w:noProof/>
        </w:rPr>
        <w:drawing>
          <wp:inline distT="0" distB="0" distL="0" distR="0" wp14:anchorId="416B839C" wp14:editId="559B7CC6">
            <wp:extent cx="4664452" cy="182146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551" b="28050"/>
                    <a:stretch/>
                  </pic:blipFill>
                  <pic:spPr bwMode="auto">
                    <a:xfrm>
                      <a:off x="0" y="0"/>
                      <a:ext cx="4675440" cy="1825759"/>
                    </a:xfrm>
                    <a:prstGeom prst="rect">
                      <a:avLst/>
                    </a:prstGeom>
                    <a:ln>
                      <a:noFill/>
                    </a:ln>
                    <a:extLst>
                      <a:ext uri="{53640926-AAD7-44D8-BBD7-CCE9431645EC}">
                        <a14:shadowObscured xmlns:a14="http://schemas.microsoft.com/office/drawing/2010/main"/>
                      </a:ext>
                    </a:extLst>
                  </pic:spPr>
                </pic:pic>
              </a:graphicData>
            </a:graphic>
          </wp:inline>
        </w:drawing>
      </w:r>
    </w:p>
    <w:p w14:paraId="77FDC630" w14:textId="20CD59AB" w:rsidR="006F1A84" w:rsidRDefault="006F1A84" w:rsidP="006776FE">
      <w:pPr>
        <w:rPr>
          <w:lang w:val="it-IT"/>
        </w:rPr>
      </w:pPr>
      <w:r>
        <w:rPr>
          <w:lang w:val="it-IT"/>
        </w:rPr>
        <w:t>Il valore dei Security Tokens deriva dai cash-flow degli asset on-chain come ogni altra security.</w:t>
      </w:r>
    </w:p>
    <w:p w14:paraId="335B0A27" w14:textId="11DB4C42" w:rsidR="006F1A84" w:rsidRDefault="00AD6FB5" w:rsidP="006776FE">
      <w:pPr>
        <w:rPr>
          <w:lang w:val="it-IT"/>
        </w:rPr>
      </w:pPr>
      <w:r>
        <w:rPr>
          <w:lang w:val="it-IT"/>
        </w:rPr>
        <w:t xml:space="preserve">Al contrario un asset off-chain viene frazionalizzato grazie alla sua tokenizzazione (tokenised security) e quindi il valore del token deriva dal valore del bene sottostante, dai sui cash-flow e dalla struttura dell’entità intermediaria come una SPV o un trust. Mentre gli asset “nativi” costruiti in blockchain possono essere efficientemente scambiati on-chain in un mercato centralizzato, la tokenizzazione di asset reali non può essere completamente on-chain e decentralizzata. Asset fisici avranno sempre bsiogno di processi off-chain dal momento che il registro distribuito non può gestire eventi del mondo reale come le dispute legali. </w:t>
      </w:r>
    </w:p>
    <w:p w14:paraId="364EA055" w14:textId="10D09665" w:rsidR="006F1A84" w:rsidRPr="00AD6FB5" w:rsidRDefault="00AD6FB5" w:rsidP="00AD6FB5">
      <w:r w:rsidRPr="00AD6FB5">
        <w:t xml:space="preserve">In ogni caso ci sarà bisogno </w:t>
      </w:r>
      <w:r>
        <w:t xml:space="preserve">di </w:t>
      </w:r>
      <w:r w:rsidRPr="00AD6FB5">
        <w:t>“trusted parties that are responsible for guaranteeing these claims and […] held legally accountable</w:t>
      </w:r>
      <w:r>
        <w:t xml:space="preserve">”. </w:t>
      </w:r>
      <w:r>
        <w:rPr>
          <w:rStyle w:val="FootnoteReference"/>
        </w:rPr>
        <w:footnoteReference w:id="41"/>
      </w:r>
    </w:p>
    <w:p w14:paraId="4B6072E2" w14:textId="7F24F0C4" w:rsidR="006F1A84" w:rsidRPr="0020339D" w:rsidRDefault="0020339D" w:rsidP="0020339D">
      <w:r w:rsidRPr="0020339D">
        <w:rPr>
          <w:highlight w:val="yellow"/>
        </w:rPr>
        <w:t xml:space="preserve">Stavo leggendo pagina 164 del libro + devo integrare con Tokenisation – The Future of Real Estate investment e Tokenized Securities &amp; </w:t>
      </w:r>
      <w:r w:rsidRPr="0020339D">
        <w:rPr>
          <w:highlight w:val="yellow"/>
        </w:rPr>
        <w:t>Commercial Real Estate</w:t>
      </w:r>
    </w:p>
    <w:p w14:paraId="5C286CD2" w14:textId="15E3AB21" w:rsidR="006F1A84" w:rsidRPr="0020339D" w:rsidRDefault="006F1A84" w:rsidP="006776FE"/>
    <w:p w14:paraId="5A28C79C" w14:textId="697E9578" w:rsidR="006F1A84" w:rsidRPr="0020339D" w:rsidRDefault="006F1A84" w:rsidP="006776FE"/>
    <w:p w14:paraId="383908B7" w14:textId="77777777" w:rsidR="006F1A84" w:rsidRPr="0020339D" w:rsidRDefault="006F1A84" w:rsidP="006776FE"/>
    <w:p w14:paraId="15C68FC0" w14:textId="77777777" w:rsidR="006F1A84" w:rsidRPr="0020339D" w:rsidRDefault="006F1A84" w:rsidP="006776FE"/>
    <w:p w14:paraId="04E8C3FA" w14:textId="77777777" w:rsidR="006F1A84" w:rsidRPr="0020339D" w:rsidRDefault="006F1A84" w:rsidP="006776FE"/>
    <w:p w14:paraId="1CDB6294" w14:textId="77777777" w:rsidR="006F1A84" w:rsidRPr="0020339D" w:rsidRDefault="006F1A84" w:rsidP="006776FE"/>
    <w:p w14:paraId="64C42889" w14:textId="77777777" w:rsidR="006F1A84" w:rsidRPr="0020339D" w:rsidRDefault="006F1A84" w:rsidP="006776FE"/>
    <w:p w14:paraId="7CB5F435" w14:textId="27618F53" w:rsidR="00C71733" w:rsidRDefault="00C71733" w:rsidP="006776FE">
      <w:pPr>
        <w:rPr>
          <w:lang w:val="it-IT"/>
        </w:rPr>
      </w:pPr>
      <w:r w:rsidRPr="00C71733">
        <w:rPr>
          <w:lang w:val="it-IT"/>
        </w:rPr>
        <w:t>Pagina 20 Book innovation in real estate</w:t>
      </w:r>
      <w:r>
        <w:sym w:font="Wingdings" w:char="F0E0"/>
      </w:r>
      <w:r w:rsidRPr="00C71733">
        <w:rPr>
          <w:lang w:val="it-IT"/>
        </w:rPr>
        <w:t>è veramente una cosa buona mettere in un calderone un insieme di immobili e dimenticarsi del loro rischio idiosincratico</w:t>
      </w:r>
      <w:r>
        <w:rPr>
          <w:lang w:val="it-IT"/>
        </w:rPr>
        <w:t>?</w:t>
      </w:r>
    </w:p>
    <w:p w14:paraId="5AC91BF8" w14:textId="4DC0FBD1" w:rsidR="00C71733" w:rsidRDefault="00C71733" w:rsidP="006776FE">
      <w:pPr>
        <w:rPr>
          <w:lang w:val="it-IT"/>
        </w:rPr>
      </w:pPr>
      <w:r>
        <w:rPr>
          <w:lang w:val="it-IT"/>
        </w:rPr>
        <w:t>Pagina 21—&gt; come si fa ad astrarre un immobile in una tradable securities</w:t>
      </w:r>
    </w:p>
    <w:p w14:paraId="7F896759" w14:textId="6C2577A2" w:rsidR="00E55E9D" w:rsidRDefault="00E55E9D" w:rsidP="006776FE">
      <w:pPr>
        <w:rPr>
          <w:lang w:val="it-IT"/>
        </w:rPr>
      </w:pPr>
      <w:r>
        <w:rPr>
          <w:lang w:val="it-IT"/>
        </w:rPr>
        <w:t>Da pagina 28 a pagina 35</w:t>
      </w:r>
      <w:r w:rsidRPr="00E55E9D">
        <w:rPr>
          <w:lang w:val="it-IT"/>
        </w:rPr>
        <w:sym w:font="Wingdings" w:char="F0E0"/>
      </w:r>
      <w:r>
        <w:rPr>
          <w:lang w:val="it-IT"/>
        </w:rPr>
        <w:t xml:space="preserve">non si può usare CAPM in RE perché si comporta diversamente rispetto alle azioni. </w:t>
      </w:r>
    </w:p>
    <w:p w14:paraId="55BCED04" w14:textId="51FD28FE" w:rsidR="00E55E9D" w:rsidRPr="00E94B8C" w:rsidRDefault="00E55E9D" w:rsidP="006776FE">
      <w:pPr>
        <w:rPr>
          <w:b/>
          <w:lang w:val="it-IT"/>
        </w:rPr>
      </w:pPr>
      <w:r w:rsidRPr="00E94B8C">
        <w:rPr>
          <w:lang w:val="it-IT"/>
        </w:rPr>
        <w:t>Pagina 39</w:t>
      </w:r>
      <w:r w:rsidRPr="00E55E9D">
        <w:rPr>
          <w:lang w:val="it-IT"/>
        </w:rPr>
        <w:sym w:font="Wingdings" w:char="F0E0"/>
      </w:r>
      <w:r w:rsidRPr="00E94B8C">
        <w:rPr>
          <w:lang w:val="it-IT"/>
        </w:rPr>
        <w:t>takeaways from urban real estate economics</w:t>
      </w:r>
      <w:r w:rsidR="00E94B8C" w:rsidRPr="00E94B8C">
        <w:rPr>
          <w:lang w:val="it-IT"/>
        </w:rPr>
        <w:t>/</w:t>
      </w:r>
      <w:r w:rsidR="00E94B8C" w:rsidRPr="00E94B8C">
        <w:rPr>
          <w:b/>
          <w:lang w:val="it-IT"/>
        </w:rPr>
        <w:t>Fattori che muovono I valori di RE</w:t>
      </w:r>
    </w:p>
    <w:p w14:paraId="25A838BB" w14:textId="77777777" w:rsidR="00E94B8C" w:rsidRDefault="00E94B8C" w:rsidP="00E94B8C">
      <w:r>
        <w:t>“Each piece of real property may be a fixed point on the earth’s surface, but</w:t>
      </w:r>
    </w:p>
    <w:p w14:paraId="41951382" w14:textId="77777777" w:rsidR="00E94B8C" w:rsidRDefault="00E94B8C" w:rsidP="00E94B8C">
      <w:r>
        <w:t>this fixed point is a part of a highly dynamic framework. All manner of forces-economic, political, and social; international, national and local- are operating constantly to add to or to detract from the property’s capacity to</w:t>
      </w:r>
    </w:p>
    <w:p w14:paraId="4AEA2095" w14:textId="4BAB04AF" w:rsidR="00E55E9D" w:rsidRDefault="00E94B8C" w:rsidP="00E94B8C">
      <w:r>
        <w:t xml:space="preserve">produce income at a given site.” </w:t>
      </w:r>
      <w:r>
        <w:sym w:font="Wingdings" w:char="F0E0"/>
      </w:r>
      <w:r w:rsidRPr="00E94B8C">
        <w:t xml:space="preserve"> </w:t>
      </w:r>
      <w:r>
        <w:t xml:space="preserve">Weimer and Hoyt’s </w:t>
      </w:r>
      <w:r w:rsidRPr="00E94B8C">
        <w:rPr>
          <w:i/>
        </w:rPr>
        <w:t>Real Estate</w:t>
      </w:r>
      <w:r>
        <w:t>, (1966)</w:t>
      </w:r>
    </w:p>
    <w:p w14:paraId="7ADF9D84" w14:textId="6FC37B4A" w:rsidR="00FC676E" w:rsidRDefault="00FC676E" w:rsidP="00E94B8C">
      <w:r>
        <w:t>Pagina 61</w:t>
      </w:r>
      <w:r>
        <w:sym w:font="Wingdings" w:char="F0E0"/>
      </w:r>
      <w:r>
        <w:t xml:space="preserve">Hoeg risk factors </w:t>
      </w:r>
    </w:p>
    <w:p w14:paraId="395DB2FB" w14:textId="5FA03E3B" w:rsidR="00FC676E" w:rsidRDefault="00FC676E" w:rsidP="00E94B8C">
      <w:r>
        <w:t>Pag 62</w:t>
      </w:r>
      <w:r>
        <w:sym w:font="Wingdings" w:char="F0E0"/>
      </w:r>
      <w:r w:rsidRPr="00FC676E">
        <w:t>It should be clear by now that real estate is refractory to abstraction.</w:t>
      </w:r>
    </w:p>
    <w:p w14:paraId="38D92E01" w14:textId="099A9BB6" w:rsidR="00693535" w:rsidRPr="00E51BE0" w:rsidRDefault="00C0626A" w:rsidP="00E94B8C">
      <w:r>
        <w:t>Pag 167</w:t>
      </w:r>
      <w:r>
        <w:sym w:font="Wingdings" w:char="F0E0"/>
      </w:r>
      <w:r>
        <w:t xml:space="preserve">how tokens can benefit liquidity and in general solve RE probems. </w:t>
      </w:r>
      <w:r w:rsidR="00E51BE0" w:rsidRPr="00E51BE0">
        <w:t xml:space="preserve">Integrare con </w:t>
      </w:r>
      <w:hyperlink r:id="rId22" w:history="1">
        <w:r w:rsidR="00E51BE0" w:rsidRPr="00E51BE0">
          <w:rPr>
            <w:rStyle w:val="Hyperlink"/>
          </w:rPr>
          <w:t>https://assets.kpmg/content/dam/kpmg/cn/pdf/en/2020/04/real-estate-tokenization.pdf</w:t>
        </w:r>
      </w:hyperlink>
      <w:r w:rsidR="00E51BE0" w:rsidRPr="00E51BE0">
        <w:t xml:space="preserve"> che dice “by a digital register of members (ROM) on blockchain. New financial products could be distributed to a wider pool of investors at a lower per unit cost, with a fee structure inclusive of an access premium for the previously inaccessible investment opportunity»”</w:t>
      </w:r>
    </w:p>
    <w:p w14:paraId="5A088637" w14:textId="77777777" w:rsidR="002D0AD5" w:rsidRPr="002D0AD5" w:rsidRDefault="0001600F" w:rsidP="002D0AD5">
      <w:pPr>
        <w:rPr>
          <w:lang w:val="it-IT"/>
        </w:rPr>
      </w:pPr>
      <w:r w:rsidRPr="0001600F">
        <w:rPr>
          <w:lang w:val="it-IT"/>
        </w:rPr>
        <w:t>Verificare da RE economics come si prezza un inv immobiliare dato che poi va riflesso nel token</w:t>
      </w:r>
      <w:r w:rsidR="002D0AD5" w:rsidRPr="002D0AD5">
        <w:rPr>
          <w:lang w:val="it-IT"/>
        </w:rPr>
        <w:sym w:font="Wingdings" w:char="F0E0"/>
      </w:r>
      <w:r w:rsidR="002D0AD5">
        <w:rPr>
          <w:lang w:val="it-IT"/>
        </w:rPr>
        <w:t>”</w:t>
      </w:r>
      <w:r w:rsidR="002D0AD5" w:rsidRPr="002D0AD5">
        <w:rPr>
          <w:lang w:val="it-IT"/>
        </w:rPr>
        <w:t>Real estate is a big sector of the economy, and it’s a very interesting operations</w:t>
      </w:r>
    </w:p>
    <w:p w14:paraId="1411D39C" w14:textId="77777777" w:rsidR="002D0AD5" w:rsidRPr="002D0AD5" w:rsidRDefault="002D0AD5" w:rsidP="002D0AD5">
      <w:r w:rsidRPr="002D0AD5">
        <w:t>research problem. It is not exactly like the portfolio selection problem.</w:t>
      </w:r>
    </w:p>
    <w:p w14:paraId="0AEFC32B" w14:textId="77777777" w:rsidR="002D0AD5" w:rsidRPr="002D0AD5" w:rsidRDefault="002D0AD5" w:rsidP="002D0AD5">
      <w:r w:rsidRPr="002D0AD5">
        <w:t>You really have to start from scratch, use whatever methodology the problem</w:t>
      </w:r>
    </w:p>
    <w:p w14:paraId="2B1F04A4" w14:textId="77777777" w:rsidR="002D0AD5" w:rsidRPr="002D0AD5" w:rsidRDefault="002D0AD5" w:rsidP="002D0AD5">
      <w:r w:rsidRPr="002D0AD5">
        <w:t>calls for… What I am saying is you folks ought to develop your own real</w:t>
      </w:r>
    </w:p>
    <w:p w14:paraId="6001CE02" w14:textId="77777777" w:rsidR="002D0AD5" w:rsidRPr="002D0AD5" w:rsidRDefault="002D0AD5" w:rsidP="002D0AD5">
      <w:r w:rsidRPr="002D0AD5">
        <w:t>estate theory which addresses itself very much to the illiquidities of the problem,</w:t>
      </w:r>
    </w:p>
    <w:p w14:paraId="79097BD1" w14:textId="7523572E" w:rsidR="0001600F" w:rsidRPr="006C6049" w:rsidRDefault="002D0AD5" w:rsidP="002D0AD5">
      <w:pPr>
        <w:rPr>
          <w:lang w:val="it-IT"/>
        </w:rPr>
      </w:pPr>
      <w:r w:rsidRPr="002D0AD5">
        <w:t>and you want a theory that is practical.</w:t>
      </w:r>
      <w:r>
        <w:t xml:space="preserve">” </w:t>
      </w:r>
      <w:r w:rsidRPr="006C6049">
        <w:rPr>
          <w:lang w:val="it-IT"/>
        </w:rPr>
        <w:t>Markowitz pag. 18 libro</w:t>
      </w:r>
    </w:p>
    <w:p w14:paraId="4C6F850C" w14:textId="7D3497D5" w:rsidR="00693535" w:rsidRDefault="00E92772" w:rsidP="00E94B8C">
      <w:pPr>
        <w:rPr>
          <w:lang w:val="it-IT"/>
        </w:rPr>
      </w:pPr>
      <w:hyperlink r:id="rId23" w:history="1">
        <w:r w:rsidR="00693535" w:rsidRPr="00693535">
          <w:rPr>
            <w:rStyle w:val="Hyperlink"/>
            <w:lang w:val="it-IT"/>
          </w:rPr>
          <w:t>https://assets.kpmg/content/dam/kpmg/cn/pdf/en/2020/04/real-estate-tokenization.pdf</w:t>
        </w:r>
      </w:hyperlink>
      <w:r w:rsidR="00693535" w:rsidRPr="00693535">
        <w:rPr>
          <w:lang w:val="it-IT"/>
        </w:rPr>
        <w:t xml:space="preserve"> Pag. 13 spiega </w:t>
      </w:r>
      <w:r w:rsidR="0001600F">
        <w:rPr>
          <w:lang w:val="it-IT"/>
        </w:rPr>
        <w:t>perché i REITs sono peggio della Tokenization</w:t>
      </w:r>
    </w:p>
    <w:p w14:paraId="65B1AE7D" w14:textId="1F678FFB" w:rsidR="000B2336" w:rsidRDefault="000B2336" w:rsidP="00E94B8C">
      <w:pPr>
        <w:rPr>
          <w:lang w:val="it-IT"/>
        </w:rPr>
      </w:pPr>
      <w:r>
        <w:rPr>
          <w:lang w:val="it-IT"/>
        </w:rPr>
        <w:t>pag. 163</w:t>
      </w:r>
      <w:r w:rsidRPr="000B2336">
        <w:rPr>
          <w:lang w:val="it-IT"/>
        </w:rPr>
        <w:sym w:font="Wingdings" w:char="F0E0"/>
      </w:r>
      <w:r>
        <w:rPr>
          <w:lang w:val="it-IT"/>
        </w:rPr>
        <w:t xml:space="preserve"> integrare con </w:t>
      </w:r>
      <w:hyperlink r:id="rId24" w:history="1">
        <w:r w:rsidRPr="00B359C8">
          <w:rPr>
            <w:rStyle w:val="Hyperlink"/>
            <w:lang w:val="it-IT"/>
          </w:rPr>
          <w:t>https://mitcre.mit.edu/wp-content/uploads/2019/11/Tokenized-Security-Commercial-Real-Estate2.pdf</w:t>
        </w:r>
      </w:hyperlink>
    </w:p>
    <w:p w14:paraId="72B87D29" w14:textId="5CB7E7C1" w:rsidR="000B2336" w:rsidRPr="00C857C3" w:rsidRDefault="00C857C3" w:rsidP="00E94B8C">
      <w:r w:rsidRPr="00C857C3">
        <w:t>e anche C:\Users\e67495\OneDrive - BNP Paribas\Documents\f\STOs</w:t>
      </w:r>
      <w:r>
        <w:t>\</w:t>
      </w:r>
      <w:r w:rsidRPr="00C857C3">
        <w:t>hbr-case-fluidity-tokenization-of-real-estate-assets-219057-pdf-eng</w:t>
      </w:r>
    </w:p>
    <w:p w14:paraId="729BCEF9" w14:textId="48A69B6E" w:rsidR="00E94B8C" w:rsidRPr="00C857C3" w:rsidRDefault="00E51BE0" w:rsidP="00E94B8C">
      <w:r>
        <w:lastRenderedPageBreak/>
        <w:t>Per BP guardare GOTHA.pdf</w:t>
      </w:r>
    </w:p>
    <w:sectPr w:rsidR="00E94B8C" w:rsidRPr="00C857C3"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7DE66D" w14:textId="77777777" w:rsidR="00E92772" w:rsidRDefault="00E92772" w:rsidP="00A70573">
      <w:pPr>
        <w:spacing w:after="0" w:line="240" w:lineRule="auto"/>
      </w:pPr>
      <w:r>
        <w:separator/>
      </w:r>
    </w:p>
  </w:endnote>
  <w:endnote w:type="continuationSeparator" w:id="0">
    <w:p w14:paraId="18A968CC" w14:textId="77777777" w:rsidR="00E92772" w:rsidRDefault="00E92772"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B6A3FA" w14:textId="77777777" w:rsidR="00E92772" w:rsidRDefault="00E92772" w:rsidP="00A70573">
      <w:pPr>
        <w:spacing w:after="0" w:line="240" w:lineRule="auto"/>
      </w:pPr>
      <w:r>
        <w:separator/>
      </w:r>
    </w:p>
  </w:footnote>
  <w:footnote w:type="continuationSeparator" w:id="0">
    <w:p w14:paraId="71C04CFA" w14:textId="77777777" w:rsidR="00E92772" w:rsidRDefault="00E92772" w:rsidP="00A70573">
      <w:pPr>
        <w:spacing w:after="0" w:line="240" w:lineRule="auto"/>
      </w:pPr>
      <w:r>
        <w:continuationSeparator/>
      </w:r>
    </w:p>
  </w:footnote>
  <w:footnote w:id="1">
    <w:p w14:paraId="3F9CF73B" w14:textId="7C02ED10" w:rsidR="005A64A2" w:rsidRPr="006C6049" w:rsidRDefault="005A64A2" w:rsidP="006C6049">
      <w:pPr>
        <w:pStyle w:val="FootnoteText"/>
      </w:pPr>
      <w:r>
        <w:rPr>
          <w:rStyle w:val="FootnoteReference"/>
        </w:rPr>
        <w:footnoteRef/>
      </w:r>
      <w:r>
        <w:t xml:space="preserve"> </w:t>
      </w:r>
      <w:r w:rsidRPr="006C6049">
        <w:t>Patrick Lecomte</w:t>
      </w:r>
      <w:r>
        <w:t>, New Frontiers in Real Estate Finance - The Rise of Micro Markets</w:t>
      </w:r>
    </w:p>
  </w:footnote>
  <w:footnote w:id="2">
    <w:p w14:paraId="55F0FC49" w14:textId="52869C03" w:rsidR="005A64A2" w:rsidRPr="006C6049" w:rsidRDefault="005A64A2">
      <w:pPr>
        <w:pStyle w:val="FootnoteText"/>
      </w:pPr>
      <w:r>
        <w:rPr>
          <w:rStyle w:val="FootnoteReference"/>
        </w:rPr>
        <w:footnoteRef/>
      </w:r>
      <w:r w:rsidRPr="006C6049">
        <w:t xml:space="preserve"> https://www.treccani.it/vocabolario/immobile/</w:t>
      </w:r>
    </w:p>
  </w:footnote>
  <w:footnote w:id="3">
    <w:p w14:paraId="25BAECB7" w14:textId="14B61D33" w:rsidR="005A64A2" w:rsidRPr="00E13AE8" w:rsidRDefault="005A64A2">
      <w:pPr>
        <w:pStyle w:val="FootnoteText"/>
      </w:pPr>
      <w:r>
        <w:rPr>
          <w:rStyle w:val="FootnoteReference"/>
        </w:rPr>
        <w:footnoteRef/>
      </w:r>
      <w:r>
        <w:t xml:space="preserve"> </w:t>
      </w:r>
      <w:r w:rsidRPr="00E13AE8">
        <w:t>Pirounakis, Nicholas G.. Real Estate Economics : A Point-To-Point Handbook, Taylor &amp; Francis Group, 2013.</w:t>
      </w:r>
    </w:p>
  </w:footnote>
  <w:footnote w:id="4">
    <w:p w14:paraId="0CBD247A" w14:textId="5ADB420D" w:rsidR="005A64A2" w:rsidRPr="000253AF" w:rsidRDefault="005A64A2">
      <w:pPr>
        <w:pStyle w:val="FootnoteText"/>
      </w:pPr>
      <w:r>
        <w:rPr>
          <w:rStyle w:val="FootnoteReference"/>
        </w:rPr>
        <w:footnoteRef/>
      </w:r>
      <w:r>
        <w:t xml:space="preserve"> </w:t>
      </w:r>
      <w:r w:rsidRPr="000253AF">
        <w:t>Mercer. Real Estate as an A</w:t>
      </w:r>
      <w:r>
        <w:t>sset Class, 2019</w:t>
      </w:r>
    </w:p>
  </w:footnote>
  <w:footnote w:id="5">
    <w:p w14:paraId="604106EA" w14:textId="1C5AFF9F" w:rsidR="005A64A2" w:rsidRPr="009A7CA3" w:rsidRDefault="005A64A2"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5A64A2" w:rsidRPr="000D4BE5" w:rsidRDefault="005A64A2">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5A64A2" w:rsidRPr="006046CD" w:rsidRDefault="005A64A2">
      <w:pPr>
        <w:pStyle w:val="FootnoteText"/>
      </w:pPr>
      <w:r>
        <w:rPr>
          <w:rStyle w:val="FootnoteReference"/>
        </w:rPr>
        <w:footnoteRef/>
      </w:r>
      <w:r>
        <w:t xml:space="preserve"> Jeffrey D. Fisher, </w:t>
      </w:r>
      <w:r w:rsidRPr="006046CD">
        <w:t>C. F. Sirmans</w:t>
      </w:r>
      <w:r>
        <w:t xml:space="preserve">. </w:t>
      </w:r>
      <w:r w:rsidRPr="006046CD">
        <w:t>The Role of Commercial Real Estate in a Multi-Asset Portfolio</w:t>
      </w:r>
      <w:r>
        <w:t>, 1994</w:t>
      </w:r>
    </w:p>
  </w:footnote>
  <w:footnote w:id="8">
    <w:p w14:paraId="1884F2D1" w14:textId="77777777" w:rsidR="005A64A2" w:rsidRDefault="005A64A2"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5A64A2" w:rsidRPr="00D60A39" w:rsidRDefault="005A64A2"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5A64A2" w:rsidRDefault="005A64A2"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5A64A2" w:rsidRPr="00D60A39" w:rsidRDefault="005A64A2" w:rsidP="00D60A39">
      <w:pPr>
        <w:pStyle w:val="FootnoteText"/>
      </w:pPr>
      <w:r>
        <w:t>of Households and Nonprofit Organizations - Directly Held Equity Shares at Market V</w:t>
      </w:r>
      <w:r w:rsidRPr="00AD3651">
        <w:t>alue</w:t>
      </w:r>
    </w:p>
  </w:footnote>
  <w:footnote w:id="10">
    <w:p w14:paraId="0EA3385A" w14:textId="06042CE9" w:rsidR="005A64A2" w:rsidRPr="0082563B" w:rsidRDefault="005A64A2"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5A64A2" w:rsidRPr="0082563B" w:rsidRDefault="005A64A2" w:rsidP="0082563B">
      <w:pPr>
        <w:pStyle w:val="FootnoteText"/>
      </w:pPr>
      <w:r>
        <w:rPr>
          <w:rStyle w:val="FootnoteReference"/>
        </w:rPr>
        <w:footnoteRef/>
      </w:r>
      <w:r>
        <w:t xml:space="preserve"> Martin Hoesli &amp; Elias Oikarinen (2021) Does listed real estate behave like direct real estate?</w:t>
      </w:r>
    </w:p>
  </w:footnote>
  <w:footnote w:id="12">
    <w:p w14:paraId="36300D5D" w14:textId="66A3A321" w:rsidR="005A64A2" w:rsidRPr="00510439" w:rsidRDefault="005A64A2">
      <w:pPr>
        <w:pStyle w:val="FootnoteText"/>
      </w:pPr>
      <w:r>
        <w:rPr>
          <w:rStyle w:val="FootnoteReference"/>
        </w:rPr>
        <w:footnoteRef/>
      </w:r>
      <w:r>
        <w:t xml:space="preserve"> </w:t>
      </w:r>
      <w:r w:rsidRPr="00510439">
        <w:t xml:space="preserve">Eugene F. Fama. Efficient Capital Markets: A Review of </w:t>
      </w:r>
      <w:r>
        <w:t>Theory and Empirical Work, Journal of Finance 25, 383-420. 1970</w:t>
      </w:r>
    </w:p>
  </w:footnote>
  <w:footnote w:id="13">
    <w:p w14:paraId="26DEE9D5" w14:textId="1B0D84F9" w:rsidR="005A64A2" w:rsidRPr="00510439" w:rsidRDefault="005A64A2">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4">
    <w:p w14:paraId="09D8539F" w14:textId="6E5A89BF" w:rsidR="005A64A2" w:rsidRPr="006E49CB" w:rsidRDefault="005A64A2" w:rsidP="006E49CB">
      <w:pPr>
        <w:pStyle w:val="FootnoteText"/>
      </w:pPr>
      <w:r>
        <w:rPr>
          <w:rStyle w:val="FootnoteReference"/>
        </w:rPr>
        <w:footnoteRef/>
      </w:r>
      <w:r>
        <w:t xml:space="preserve"> </w:t>
      </w:r>
      <w:r w:rsidRPr="006E49CB">
        <w:t>Shanaka Herath</w:t>
      </w:r>
      <w:r>
        <w:t xml:space="preserve"> e </w:t>
      </w:r>
      <w:r w:rsidRPr="006E49CB">
        <w:t>Gunther Maier</w:t>
      </w:r>
      <w:r>
        <w:t>. Informational efficiency of the real estate market: a meta-analysis. 2015</w:t>
      </w:r>
    </w:p>
  </w:footnote>
  <w:footnote w:id="15">
    <w:p w14:paraId="0E397556" w14:textId="4C23524C" w:rsidR="00267C72" w:rsidRPr="00267C72" w:rsidRDefault="00267C72">
      <w:pPr>
        <w:pStyle w:val="FootnoteText"/>
      </w:pPr>
      <w:r>
        <w:rPr>
          <w:rStyle w:val="FootnoteReference"/>
        </w:rPr>
        <w:footnoteRef/>
      </w:r>
      <w:r>
        <w:t xml:space="preserve"> </w:t>
      </w:r>
      <w:r w:rsidRPr="00267C72">
        <w:t>Baum, A. and Hartzell, D (2012): Global Property Investment – Strategies, Structures, Decisions, Wiley Blackwell</w:t>
      </w:r>
    </w:p>
  </w:footnote>
  <w:footnote w:id="16">
    <w:p w14:paraId="40367290" w14:textId="0C68A4BA" w:rsidR="00267C72" w:rsidRPr="00267C72" w:rsidRDefault="00267C72" w:rsidP="00267C72">
      <w:pPr>
        <w:pStyle w:val="FootnoteText"/>
      </w:pPr>
      <w:r>
        <w:rPr>
          <w:rStyle w:val="FootnoteReference"/>
        </w:rPr>
        <w:footnoteRef/>
      </w:r>
      <w:r>
        <w:t xml:space="preserve"> </w:t>
      </w:r>
      <w:r w:rsidRPr="00267C72">
        <w:t>Cornell University’s Baker Program in Real Estate – Hodes Weill &amp;</w:t>
      </w:r>
      <w:r>
        <w:t xml:space="preserve"> Associates, Institutional Real Estate Allocations Monitor, 2021</w:t>
      </w:r>
    </w:p>
  </w:footnote>
  <w:footnote w:id="17">
    <w:p w14:paraId="5EDFCC66" w14:textId="70CD71C5" w:rsidR="005A64A2" w:rsidRPr="00D518AD" w:rsidRDefault="005A64A2">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8">
    <w:p w14:paraId="5677A6C2" w14:textId="01D83B7E" w:rsidR="005A64A2" w:rsidRPr="001A6857" w:rsidRDefault="005A64A2">
      <w:pPr>
        <w:pStyle w:val="FootnoteText"/>
      </w:pPr>
      <w:r>
        <w:rPr>
          <w:rStyle w:val="FootnoteReference"/>
        </w:rPr>
        <w:footnoteRef/>
      </w:r>
      <w:r>
        <w:t xml:space="preserve"> </w:t>
      </w:r>
      <w:r w:rsidRPr="001A6857">
        <w:t xml:space="preserve">Merlo, Antonio M. and Ortalo-Magne, Francois, Bargaining Over Residential Real Estate: Evidence from England, Third Version (May 11, 2004). </w:t>
      </w:r>
    </w:p>
  </w:footnote>
  <w:footnote w:id="19">
    <w:p w14:paraId="5A53AEE2" w14:textId="7728F5C0" w:rsidR="005A64A2" w:rsidRPr="001A6857" w:rsidRDefault="005A64A2">
      <w:pPr>
        <w:pStyle w:val="FootnoteText"/>
      </w:pPr>
      <w:r>
        <w:rPr>
          <w:rStyle w:val="FootnoteReference"/>
        </w:rPr>
        <w:footnoteRef/>
      </w:r>
      <w:r>
        <w:t xml:space="preserve"> </w:t>
      </w:r>
      <w:r w:rsidRPr="001A6857">
        <w:t>Raymond Brastow,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20">
    <w:p w14:paraId="3A14FE80" w14:textId="09CE8A0A" w:rsidR="005A64A2" w:rsidRPr="008300FB" w:rsidRDefault="005A64A2" w:rsidP="008300FB">
      <w:pPr>
        <w:pStyle w:val="FootnoteText"/>
      </w:pPr>
      <w:r>
        <w:rPr>
          <w:rStyle w:val="FootnoteReference"/>
        </w:rPr>
        <w:footnoteRef/>
      </w:r>
      <w:r>
        <w:t xml:space="preserve"> Cooter, Robert and Ulen, Thomas, "Law and Economics, 6th edition" (2016). Berkeley Law Books</w:t>
      </w:r>
    </w:p>
  </w:footnote>
  <w:footnote w:id="21">
    <w:p w14:paraId="56BF2041" w14:textId="4270C7C5" w:rsidR="005A64A2" w:rsidRPr="00A83EDA" w:rsidRDefault="005A64A2" w:rsidP="00A83EDA">
      <w:pPr>
        <w:pStyle w:val="FootnoteText"/>
      </w:pPr>
      <w:r>
        <w:rPr>
          <w:rStyle w:val="FootnoteReference"/>
        </w:rPr>
        <w:footnoteRef/>
      </w:r>
      <w:r>
        <w:t xml:space="preserve"> Crowston, K. &amp; Wigand, R. Real estate war in cyberspace: An emerging electronic market? International Journal of Electronic </w:t>
      </w:r>
      <w:r w:rsidRPr="00E55E9D">
        <w:t>Markets, 9(1–2), 1–8</w:t>
      </w:r>
    </w:p>
  </w:footnote>
  <w:footnote w:id="22">
    <w:p w14:paraId="711B95F1" w14:textId="1EF3E172" w:rsidR="005A64A2" w:rsidRPr="000A173D" w:rsidRDefault="005A64A2">
      <w:pPr>
        <w:pStyle w:val="FootnoteText"/>
      </w:pPr>
      <w:r>
        <w:rPr>
          <w:rStyle w:val="FootnoteReference"/>
        </w:rPr>
        <w:footnoteRef/>
      </w:r>
      <w:r w:rsidRPr="00E55E9D">
        <w:t xml:space="preserve"> Bian, Xun, et al. </w:t>
      </w:r>
      <w:r w:rsidRPr="000A173D">
        <w:t>“The Role of Transaction Costs in Impeding Market Exchange in Real Estate.” Journal of Housing Research, vol. 25, no. 2, American Real E</w:t>
      </w:r>
      <w:r>
        <w:t>state Society, 2016, pp. 115–36</w:t>
      </w:r>
    </w:p>
  </w:footnote>
  <w:footnote w:id="23">
    <w:p w14:paraId="56706781" w14:textId="3AE405A4" w:rsidR="005A64A2" w:rsidRPr="000A173D" w:rsidRDefault="005A64A2">
      <w:pPr>
        <w:pStyle w:val="FootnoteText"/>
      </w:pPr>
      <w:r>
        <w:rPr>
          <w:rStyle w:val="FootnoteReference"/>
        </w:rPr>
        <w:footnoteRef/>
      </w:r>
      <w:r>
        <w:t xml:space="preserve"> </w:t>
      </w:r>
      <w:r w:rsidRPr="000A173D">
        <w:t>Springer, Thomas M. and Rutherford, Ronald C. and Yavas, Abdullah, Conflicts between Principals and Agents: Evidence from Resi</w:t>
      </w:r>
      <w:r>
        <w:t>dential Brokerage</w:t>
      </w:r>
    </w:p>
  </w:footnote>
  <w:footnote w:id="24">
    <w:p w14:paraId="0BE6FC04" w14:textId="253AC4C6" w:rsidR="005A64A2" w:rsidRPr="002933BF" w:rsidRDefault="005A64A2">
      <w:pPr>
        <w:pStyle w:val="FootnoteText"/>
      </w:pPr>
      <w:r>
        <w:rPr>
          <w:rStyle w:val="FootnoteReference"/>
        </w:rPr>
        <w:footnoteRef/>
      </w:r>
      <w:r>
        <w:t xml:space="preserve"> </w:t>
      </w:r>
      <w:r w:rsidRPr="002933BF">
        <w:t>Registro imprese attive – ISTAT (2019)</w:t>
      </w:r>
    </w:p>
  </w:footnote>
  <w:footnote w:id="25">
    <w:p w14:paraId="0982882B" w14:textId="63BA0B83" w:rsidR="005A64A2" w:rsidRPr="006238D9" w:rsidRDefault="005A64A2">
      <w:pPr>
        <w:pStyle w:val="FootnoteText"/>
      </w:pPr>
      <w:r>
        <w:rPr>
          <w:rStyle w:val="FootnoteReference"/>
        </w:rPr>
        <w:footnoteRef/>
      </w:r>
      <w:r>
        <w:t xml:space="preserve"> </w:t>
      </w:r>
      <w:r w:rsidRPr="006238D9">
        <w:t>United States Census Bureau - SUSB annual</w:t>
      </w:r>
    </w:p>
  </w:footnote>
  <w:footnote w:id="26">
    <w:p w14:paraId="24ECAC94" w14:textId="5136D5A5" w:rsidR="005A64A2" w:rsidRPr="002933BF" w:rsidRDefault="005A64A2">
      <w:pPr>
        <w:pStyle w:val="FootnoteText"/>
      </w:pPr>
      <w:r>
        <w:rPr>
          <w:rStyle w:val="FootnoteReference"/>
        </w:rPr>
        <w:footnoteRef/>
      </w:r>
      <w:r>
        <w:t xml:space="preserve"> </w:t>
      </w:r>
      <w:r w:rsidRPr="002933BF">
        <w:t>The Homevoter Hypothesis: How Home Values Influence Local Government Taxation, School Finance, and Land-Use Policies, by W. Fischel</w:t>
      </w:r>
    </w:p>
  </w:footnote>
  <w:footnote w:id="27">
    <w:p w14:paraId="50565DCB" w14:textId="7F37964F" w:rsidR="005A64A2" w:rsidRPr="00C31689" w:rsidRDefault="005A64A2">
      <w:pPr>
        <w:pStyle w:val="FootnoteText"/>
      </w:pPr>
      <w:r>
        <w:rPr>
          <w:rStyle w:val="FootnoteReference"/>
        </w:rPr>
        <w:footnoteRef/>
      </w:r>
      <w:r w:rsidRPr="00C31689">
        <w:rPr>
          <w:lang w:val="fr-FR"/>
        </w:rPr>
        <w:t xml:space="preserve"> Ortalo-Magné, François, and Andrea Prat. </w:t>
      </w:r>
      <w:r w:rsidRPr="00C31689">
        <w:t>“On the Political Economy of Urban Growth: Homeownership versus Affordability.” American Economic Journal: Microeconomics, vol. 6, no. 1, American Economic Association, 2014, pp. 154–81</w:t>
      </w:r>
    </w:p>
  </w:footnote>
  <w:footnote w:id="28">
    <w:p w14:paraId="0D2D6EA5" w14:textId="14714C24" w:rsidR="005A64A2" w:rsidRPr="00D56AA9" w:rsidRDefault="005A64A2">
      <w:pPr>
        <w:pStyle w:val="FootnoteText"/>
      </w:pPr>
      <w:r>
        <w:rPr>
          <w:rStyle w:val="FootnoteReference"/>
        </w:rPr>
        <w:footnoteRef/>
      </w:r>
      <w:r>
        <w:t xml:space="preserve"> </w:t>
      </w:r>
      <w:r w:rsidRPr="00D56AA9">
        <w:t>Zhenguo Lin &amp; Kerry D. Vandell, 2006. "Illiquidity and Pricing Biases in the Real Estate Market," Working Paper 8577, USC Lusk Center for Real Estate.</w:t>
      </w:r>
    </w:p>
  </w:footnote>
  <w:footnote w:id="29">
    <w:p w14:paraId="52C0AC9B" w14:textId="51BE8541" w:rsidR="005A64A2" w:rsidRPr="00673158" w:rsidRDefault="005A64A2">
      <w:pPr>
        <w:pStyle w:val="FootnoteText"/>
      </w:pPr>
      <w:r>
        <w:rPr>
          <w:rStyle w:val="FootnoteReference"/>
        </w:rPr>
        <w:footnoteRef/>
      </w:r>
      <w:r>
        <w:t xml:space="preserve"> </w:t>
      </w:r>
      <w:r w:rsidRPr="00673158">
        <w:t>Realtor.com, Housing Inventory: Median Days on Market in the United States</w:t>
      </w:r>
    </w:p>
  </w:footnote>
  <w:footnote w:id="30">
    <w:p w14:paraId="54353083" w14:textId="2DBD9ED0" w:rsidR="005A64A2" w:rsidRPr="006F52D1" w:rsidRDefault="005A64A2">
      <w:pPr>
        <w:pStyle w:val="FootnoteText"/>
      </w:pPr>
      <w:r>
        <w:rPr>
          <w:rStyle w:val="FootnoteReference"/>
        </w:rPr>
        <w:footnoteRef/>
      </w:r>
      <w:r>
        <w:t xml:space="preserve"> </w:t>
      </w:r>
      <w:r w:rsidRPr="006F52D1">
        <w:t>Fender I., and Mitchell J. (2005) Structured finance Comp</w:t>
      </w:r>
      <w:r>
        <w:t xml:space="preserve">lexity, risk and the use of ratings, BIS Quarterly Review, </w:t>
      </w:r>
      <w:r w:rsidRPr="006F52D1">
        <w:t>June, pp. 67–79.</w:t>
      </w:r>
    </w:p>
  </w:footnote>
  <w:footnote w:id="31">
    <w:p w14:paraId="3FCC2C72" w14:textId="7E06CBF3" w:rsidR="005A64A2" w:rsidRPr="001E6BA2" w:rsidRDefault="005A64A2" w:rsidP="001E6BA2">
      <w:pPr>
        <w:pStyle w:val="FootnoteText"/>
      </w:pPr>
      <w:r>
        <w:rPr>
          <w:rStyle w:val="FootnoteReference"/>
        </w:rPr>
        <w:footnoteRef/>
      </w:r>
      <w:r>
        <w:t xml:space="preserve"> Miles M., Eppli M., and Kummerow M. (1998) The Graaskamp legacy, Real Estate Finance,  15:1, pp. 84–91.</w:t>
      </w:r>
    </w:p>
  </w:footnote>
  <w:footnote w:id="32">
    <w:p w14:paraId="5F05EA63" w14:textId="3AC83244" w:rsidR="005A64A2" w:rsidRPr="005A64A2" w:rsidRDefault="005A64A2">
      <w:pPr>
        <w:pStyle w:val="FootnoteText"/>
      </w:pPr>
      <w:r>
        <w:rPr>
          <w:rStyle w:val="FootnoteReference"/>
        </w:rPr>
        <w:footnoteRef/>
      </w:r>
      <w:r>
        <w:t xml:space="preserve"> </w:t>
      </w:r>
      <w:r w:rsidRPr="005A64A2">
        <w:t>Vedi nota 1.</w:t>
      </w:r>
    </w:p>
  </w:footnote>
  <w:footnote w:id="33">
    <w:p w14:paraId="7C1F4CA6" w14:textId="42534D7D" w:rsidR="005A64A2" w:rsidRPr="0037395F" w:rsidRDefault="005A64A2" w:rsidP="0037395F">
      <w:pPr>
        <w:pStyle w:val="FootnoteText"/>
      </w:pPr>
      <w:r>
        <w:rPr>
          <w:rStyle w:val="FootnoteReference"/>
        </w:rPr>
        <w:footnoteRef/>
      </w:r>
      <w:r>
        <w:t xml:space="preserve"> Young, M. S., and Graff, R. A. (1996) Systematic behavior in real estate investment risk:  Performance persistence in NCREIF returns, Journal of Real Estate Research, 12:3, pp. 369–381.</w:t>
      </w:r>
    </w:p>
  </w:footnote>
  <w:footnote w:id="34">
    <w:p w14:paraId="3C172155" w14:textId="1813FA00" w:rsidR="005A64A2" w:rsidRPr="0037395F" w:rsidRDefault="005A64A2">
      <w:pPr>
        <w:pStyle w:val="FootnoteText"/>
      </w:pPr>
      <w:r>
        <w:rPr>
          <w:rStyle w:val="FootnoteReference"/>
        </w:rPr>
        <w:footnoteRef/>
      </w:r>
      <w:r>
        <w:t xml:space="preserve"> </w:t>
      </w:r>
      <w:r w:rsidRPr="0037395F">
        <w:t>Clapp J., Goldberg M., and Myers D. (1994) Crisis in methodology: Paradigms vs. pract</w:t>
      </w:r>
      <w:r>
        <w:t xml:space="preserve">ice in real estate research, in </w:t>
      </w:r>
      <w:r w:rsidRPr="0037395F">
        <w:t>Appraisal, Market Analysis, and Public Policy in Real Estate: Essays in Honor of Jam</w:t>
      </w:r>
      <w:r>
        <w:t xml:space="preserve">es Graaskamp (DeLisle J. and Sa </w:t>
      </w:r>
      <w:r w:rsidRPr="0037395F">
        <w:t>Aadu J., eds), Boston: Kluwer Academic Publishers, pp. 107–132.</w:t>
      </w:r>
    </w:p>
  </w:footnote>
  <w:footnote w:id="35">
    <w:p w14:paraId="10681370" w14:textId="670377F2" w:rsidR="005A64A2" w:rsidRPr="0037395F" w:rsidRDefault="005A64A2" w:rsidP="0037395F">
      <w:pPr>
        <w:pStyle w:val="FootnoteText"/>
      </w:pPr>
      <w:r>
        <w:rPr>
          <w:rStyle w:val="FootnoteReference"/>
        </w:rPr>
        <w:footnoteRef/>
      </w:r>
      <w:r>
        <w:t xml:space="preserve"> Hartzell D., Hekman J., and Miles M. (1986) Diversifcation categories in investment real estate, Journal of the American Real Estate and Urban Economics Association, 14:2, pp. 230–254</w:t>
      </w:r>
    </w:p>
  </w:footnote>
  <w:footnote w:id="36">
    <w:p w14:paraId="23B7882E" w14:textId="1BC1B578" w:rsidR="005A64A2" w:rsidRPr="0037395F" w:rsidRDefault="005A64A2">
      <w:pPr>
        <w:pStyle w:val="FootnoteText"/>
      </w:pPr>
      <w:r>
        <w:rPr>
          <w:rStyle w:val="FootnoteReference"/>
        </w:rPr>
        <w:footnoteRef/>
      </w:r>
      <w:r>
        <w:t xml:space="preserve"> </w:t>
      </w:r>
      <w:r w:rsidRPr="0037395F">
        <w:t>Brown G., and Matysiak G. (2000) Real Estate Investment, London: Financial Times/Prentice Hall, 708 p.</w:t>
      </w:r>
    </w:p>
  </w:footnote>
  <w:footnote w:id="37">
    <w:p w14:paraId="615F17E7" w14:textId="352AD443" w:rsidR="005A64A2" w:rsidRPr="005A64A2" w:rsidRDefault="005A64A2" w:rsidP="005A64A2">
      <w:pPr>
        <w:pStyle w:val="FootnoteText"/>
      </w:pPr>
      <w:r>
        <w:rPr>
          <w:rStyle w:val="FootnoteReference"/>
        </w:rPr>
        <w:footnoteRef/>
      </w:r>
      <w:r>
        <w:t xml:space="preserve"> Weimer A., and Hoyt H. (1966) Real Estate, 5th edition, New York: The Ronald Press Company</w:t>
      </w:r>
    </w:p>
  </w:footnote>
  <w:footnote w:id="38">
    <w:p w14:paraId="0E4F184F" w14:textId="77777777" w:rsidR="003E0419" w:rsidRDefault="003E0419" w:rsidP="003E0419">
      <w:pPr>
        <w:pStyle w:val="FootnoteText"/>
      </w:pPr>
      <w:r>
        <w:rPr>
          <w:rStyle w:val="FootnoteReference"/>
        </w:rPr>
        <w:footnoteRef/>
      </w:r>
      <w:r>
        <w:t xml:space="preserve"> Financial Stability Board (2019) Decentralised Financial Technologies, Report on fnancial</w:t>
      </w:r>
    </w:p>
    <w:p w14:paraId="3D8AE2D3" w14:textId="0B644494" w:rsidR="003E0419" w:rsidRPr="003E0419" w:rsidRDefault="003E0419" w:rsidP="003E0419">
      <w:pPr>
        <w:pStyle w:val="FootnoteText"/>
      </w:pPr>
      <w:r>
        <w:t>stability, regulatory and governance implications.</w:t>
      </w:r>
    </w:p>
  </w:footnote>
  <w:footnote w:id="39">
    <w:p w14:paraId="2BEBAF6C" w14:textId="16CFCE58" w:rsidR="003E0419" w:rsidRPr="003E0419" w:rsidRDefault="003E0419" w:rsidP="003E0419">
      <w:pPr>
        <w:pStyle w:val="FootnoteText"/>
      </w:pPr>
      <w:r>
        <w:rPr>
          <w:rStyle w:val="FootnoteReference"/>
        </w:rPr>
        <w:footnoteRef/>
      </w:r>
      <w:r>
        <w:t xml:space="preserve"> Pang P., Tang H.F., Lam J., Chan J., Hobler N., Kan K.K., Jeong H., and Lau R. (2020) Real Estate Tokenisation: Hong Kong, Singapore, Report by Liquefy, Sidley Austin, KPMG, and Colliers International.</w:t>
      </w:r>
    </w:p>
  </w:footnote>
  <w:footnote w:id="40">
    <w:p w14:paraId="1079DA0B" w14:textId="404925A2" w:rsidR="000608A6" w:rsidRPr="000608A6" w:rsidRDefault="000608A6" w:rsidP="000608A6">
      <w:pPr>
        <w:pStyle w:val="FootnoteText"/>
      </w:pPr>
      <w:r>
        <w:rPr>
          <w:rStyle w:val="FootnoteReference"/>
        </w:rPr>
        <w:footnoteRef/>
      </w:r>
      <w:r>
        <w:t xml:space="preserve"> Mik E. (2019) Chapter 9: Blockchains: A technology for decentralized marketplaces,  in The Cambridge Handbook of Smart Contracts, Blockchain</w:t>
      </w:r>
      <w:bookmarkStart w:id="23" w:name="_GoBack"/>
      <w:bookmarkEnd w:id="23"/>
      <w:r>
        <w:t xml:space="preserve"> Technology and Digital  Platforms (DiMatteo L., Cannarsa M. and Poncibo C., eds), Cambridge: Cambridge University Press, pp. 160–182.</w:t>
      </w:r>
    </w:p>
  </w:footnote>
  <w:footnote w:id="41">
    <w:p w14:paraId="2D264EB3" w14:textId="4AEEBF8A" w:rsidR="00AD6FB5" w:rsidRPr="00AD6FB5" w:rsidRDefault="00AD6FB5" w:rsidP="00AD6FB5">
      <w:pPr>
        <w:pStyle w:val="FootnoteText"/>
      </w:pPr>
      <w:r>
        <w:rPr>
          <w:rStyle w:val="FootnoteReference"/>
        </w:rPr>
        <w:footnoteRef/>
      </w:r>
      <w:r>
        <w:t xml:space="preserve"> Hileman G., and Rauchs M. (2017) Global blockchain benchmarking study, Cambridge Centre for Alternative Finance, University of Cambridge Judge Business School.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A6EE0"/>
    <w:multiLevelType w:val="hybridMultilevel"/>
    <w:tmpl w:val="ACB88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922B6F"/>
    <w:multiLevelType w:val="hybridMultilevel"/>
    <w:tmpl w:val="5B2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37E0A"/>
    <w:multiLevelType w:val="hybridMultilevel"/>
    <w:tmpl w:val="3232F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8410E"/>
    <w:multiLevelType w:val="hybridMultilevel"/>
    <w:tmpl w:val="D7B00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F7165F"/>
    <w:multiLevelType w:val="hybridMultilevel"/>
    <w:tmpl w:val="02721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33BD5"/>
    <w:multiLevelType w:val="hybridMultilevel"/>
    <w:tmpl w:val="2572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158D3"/>
    <w:multiLevelType w:val="hybridMultilevel"/>
    <w:tmpl w:val="CE9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A3FF5"/>
    <w:multiLevelType w:val="hybridMultilevel"/>
    <w:tmpl w:val="AFA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43CAC"/>
    <w:multiLevelType w:val="hybridMultilevel"/>
    <w:tmpl w:val="909C5B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0389B"/>
    <w:multiLevelType w:val="hybridMultilevel"/>
    <w:tmpl w:val="A6F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06368"/>
    <w:multiLevelType w:val="hybridMultilevel"/>
    <w:tmpl w:val="A5F4F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4E41A8"/>
    <w:multiLevelType w:val="hybridMultilevel"/>
    <w:tmpl w:val="1EDE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560D40"/>
    <w:multiLevelType w:val="hybridMultilevel"/>
    <w:tmpl w:val="CE90E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93170F"/>
    <w:multiLevelType w:val="hybridMultilevel"/>
    <w:tmpl w:val="A0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33313"/>
    <w:multiLevelType w:val="hybridMultilevel"/>
    <w:tmpl w:val="4B94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25"/>
  </w:num>
  <w:num w:numId="4">
    <w:abstractNumId w:val="23"/>
  </w:num>
  <w:num w:numId="5">
    <w:abstractNumId w:val="16"/>
  </w:num>
  <w:num w:numId="6">
    <w:abstractNumId w:val="7"/>
  </w:num>
  <w:num w:numId="7">
    <w:abstractNumId w:val="12"/>
  </w:num>
  <w:num w:numId="8">
    <w:abstractNumId w:val="14"/>
  </w:num>
  <w:num w:numId="9">
    <w:abstractNumId w:val="10"/>
  </w:num>
  <w:num w:numId="10">
    <w:abstractNumId w:val="20"/>
  </w:num>
  <w:num w:numId="11">
    <w:abstractNumId w:val="22"/>
  </w:num>
  <w:num w:numId="12">
    <w:abstractNumId w:val="3"/>
  </w:num>
  <w:num w:numId="13">
    <w:abstractNumId w:val="24"/>
  </w:num>
  <w:num w:numId="14">
    <w:abstractNumId w:val="13"/>
  </w:num>
  <w:num w:numId="15">
    <w:abstractNumId w:val="1"/>
  </w:num>
  <w:num w:numId="16">
    <w:abstractNumId w:val="8"/>
  </w:num>
  <w:num w:numId="17">
    <w:abstractNumId w:val="15"/>
  </w:num>
  <w:num w:numId="18">
    <w:abstractNumId w:val="17"/>
  </w:num>
  <w:num w:numId="19">
    <w:abstractNumId w:val="4"/>
  </w:num>
  <w:num w:numId="20">
    <w:abstractNumId w:val="9"/>
  </w:num>
  <w:num w:numId="21">
    <w:abstractNumId w:val="6"/>
  </w:num>
  <w:num w:numId="22">
    <w:abstractNumId w:val="5"/>
  </w:num>
  <w:num w:numId="23">
    <w:abstractNumId w:val="18"/>
  </w:num>
  <w:num w:numId="24">
    <w:abstractNumId w:val="2"/>
  </w:num>
  <w:num w:numId="25">
    <w:abstractNumId w:val="1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3CA"/>
    <w:rsid w:val="00007004"/>
    <w:rsid w:val="00011F9E"/>
    <w:rsid w:val="0001600F"/>
    <w:rsid w:val="00023F20"/>
    <w:rsid w:val="000253AF"/>
    <w:rsid w:val="000372C9"/>
    <w:rsid w:val="00041E8F"/>
    <w:rsid w:val="00043580"/>
    <w:rsid w:val="000608A6"/>
    <w:rsid w:val="00071BFD"/>
    <w:rsid w:val="00081B99"/>
    <w:rsid w:val="00086211"/>
    <w:rsid w:val="00094F9B"/>
    <w:rsid w:val="000A173D"/>
    <w:rsid w:val="000B2336"/>
    <w:rsid w:val="000B3239"/>
    <w:rsid w:val="000C34E7"/>
    <w:rsid w:val="000D4BE5"/>
    <w:rsid w:val="000E378B"/>
    <w:rsid w:val="00100B10"/>
    <w:rsid w:val="00103BBF"/>
    <w:rsid w:val="00107458"/>
    <w:rsid w:val="0012791B"/>
    <w:rsid w:val="00127FFE"/>
    <w:rsid w:val="00132293"/>
    <w:rsid w:val="00143729"/>
    <w:rsid w:val="001601BC"/>
    <w:rsid w:val="00173E7E"/>
    <w:rsid w:val="00181AE6"/>
    <w:rsid w:val="001A2E45"/>
    <w:rsid w:val="001A6857"/>
    <w:rsid w:val="001B6483"/>
    <w:rsid w:val="001C47B1"/>
    <w:rsid w:val="001D0011"/>
    <w:rsid w:val="001D03D6"/>
    <w:rsid w:val="001D4D9C"/>
    <w:rsid w:val="001E6BA2"/>
    <w:rsid w:val="001F1A0E"/>
    <w:rsid w:val="0020339D"/>
    <w:rsid w:val="00206473"/>
    <w:rsid w:val="00214029"/>
    <w:rsid w:val="00232A5D"/>
    <w:rsid w:val="00252DAE"/>
    <w:rsid w:val="00267C72"/>
    <w:rsid w:val="00280945"/>
    <w:rsid w:val="00282F77"/>
    <w:rsid w:val="002933BF"/>
    <w:rsid w:val="0029512C"/>
    <w:rsid w:val="002A0EA3"/>
    <w:rsid w:val="002D0AD5"/>
    <w:rsid w:val="002E0EA3"/>
    <w:rsid w:val="002E66E1"/>
    <w:rsid w:val="00305636"/>
    <w:rsid w:val="003077F6"/>
    <w:rsid w:val="00316BAC"/>
    <w:rsid w:val="0033143C"/>
    <w:rsid w:val="00335A62"/>
    <w:rsid w:val="003426EC"/>
    <w:rsid w:val="00355894"/>
    <w:rsid w:val="0037092F"/>
    <w:rsid w:val="00372654"/>
    <w:rsid w:val="0037395F"/>
    <w:rsid w:val="00387CE7"/>
    <w:rsid w:val="003D44DF"/>
    <w:rsid w:val="003D7FE2"/>
    <w:rsid w:val="003E0419"/>
    <w:rsid w:val="003E296D"/>
    <w:rsid w:val="003E5CA1"/>
    <w:rsid w:val="0040094F"/>
    <w:rsid w:val="00420145"/>
    <w:rsid w:val="00444963"/>
    <w:rsid w:val="00444DC6"/>
    <w:rsid w:val="004478D2"/>
    <w:rsid w:val="00453A55"/>
    <w:rsid w:val="00464853"/>
    <w:rsid w:val="004B4DD1"/>
    <w:rsid w:val="004B5605"/>
    <w:rsid w:val="004F221E"/>
    <w:rsid w:val="00510439"/>
    <w:rsid w:val="00512A8C"/>
    <w:rsid w:val="00526958"/>
    <w:rsid w:val="00550720"/>
    <w:rsid w:val="00552707"/>
    <w:rsid w:val="005531A5"/>
    <w:rsid w:val="00553834"/>
    <w:rsid w:val="005702A7"/>
    <w:rsid w:val="00596936"/>
    <w:rsid w:val="00597DDA"/>
    <w:rsid w:val="005A64A2"/>
    <w:rsid w:val="005B24D0"/>
    <w:rsid w:val="005C48F7"/>
    <w:rsid w:val="005D4E1D"/>
    <w:rsid w:val="005E3F3F"/>
    <w:rsid w:val="005F1AB1"/>
    <w:rsid w:val="006046CD"/>
    <w:rsid w:val="006238D9"/>
    <w:rsid w:val="00630CA0"/>
    <w:rsid w:val="00641CCF"/>
    <w:rsid w:val="00653D7F"/>
    <w:rsid w:val="006542E6"/>
    <w:rsid w:val="00661F2B"/>
    <w:rsid w:val="00673158"/>
    <w:rsid w:val="0067343B"/>
    <w:rsid w:val="006771CC"/>
    <w:rsid w:val="006776FE"/>
    <w:rsid w:val="006859DF"/>
    <w:rsid w:val="00693535"/>
    <w:rsid w:val="00696B8D"/>
    <w:rsid w:val="006A1193"/>
    <w:rsid w:val="006B583F"/>
    <w:rsid w:val="006B5996"/>
    <w:rsid w:val="006C6049"/>
    <w:rsid w:val="006E49CB"/>
    <w:rsid w:val="006F1A84"/>
    <w:rsid w:val="006F52D1"/>
    <w:rsid w:val="00735E6B"/>
    <w:rsid w:val="007517CF"/>
    <w:rsid w:val="0076067D"/>
    <w:rsid w:val="00764C29"/>
    <w:rsid w:val="00770363"/>
    <w:rsid w:val="00780D58"/>
    <w:rsid w:val="00781F9B"/>
    <w:rsid w:val="00793B36"/>
    <w:rsid w:val="007B0DD3"/>
    <w:rsid w:val="007B42BC"/>
    <w:rsid w:val="007D4B42"/>
    <w:rsid w:val="007D5C79"/>
    <w:rsid w:val="007D7A5C"/>
    <w:rsid w:val="007F1D03"/>
    <w:rsid w:val="007F2AA7"/>
    <w:rsid w:val="007F6882"/>
    <w:rsid w:val="00801AE2"/>
    <w:rsid w:val="008040B0"/>
    <w:rsid w:val="00817F2F"/>
    <w:rsid w:val="00824C92"/>
    <w:rsid w:val="0082563B"/>
    <w:rsid w:val="00827A83"/>
    <w:rsid w:val="008300FB"/>
    <w:rsid w:val="00845990"/>
    <w:rsid w:val="00863CBB"/>
    <w:rsid w:val="008715E0"/>
    <w:rsid w:val="00895560"/>
    <w:rsid w:val="008A27B1"/>
    <w:rsid w:val="008A79EA"/>
    <w:rsid w:val="008B72E3"/>
    <w:rsid w:val="008C35C8"/>
    <w:rsid w:val="008C49D8"/>
    <w:rsid w:val="009215B8"/>
    <w:rsid w:val="009230F3"/>
    <w:rsid w:val="00934796"/>
    <w:rsid w:val="00935D0C"/>
    <w:rsid w:val="00940BE4"/>
    <w:rsid w:val="00955BF8"/>
    <w:rsid w:val="009601AF"/>
    <w:rsid w:val="009605CE"/>
    <w:rsid w:val="009617B0"/>
    <w:rsid w:val="0097036E"/>
    <w:rsid w:val="009772CA"/>
    <w:rsid w:val="009A190D"/>
    <w:rsid w:val="009A7CA3"/>
    <w:rsid w:val="009B1538"/>
    <w:rsid w:val="00A0334E"/>
    <w:rsid w:val="00A25361"/>
    <w:rsid w:val="00A4248B"/>
    <w:rsid w:val="00A641D2"/>
    <w:rsid w:val="00A70573"/>
    <w:rsid w:val="00A83EDA"/>
    <w:rsid w:val="00AA6073"/>
    <w:rsid w:val="00AA66D3"/>
    <w:rsid w:val="00AC4065"/>
    <w:rsid w:val="00AC74F5"/>
    <w:rsid w:val="00AD3651"/>
    <w:rsid w:val="00AD6FB5"/>
    <w:rsid w:val="00AF5EAA"/>
    <w:rsid w:val="00AF709F"/>
    <w:rsid w:val="00AF7B50"/>
    <w:rsid w:val="00B0265A"/>
    <w:rsid w:val="00B05F01"/>
    <w:rsid w:val="00B31650"/>
    <w:rsid w:val="00B336D4"/>
    <w:rsid w:val="00B43F8A"/>
    <w:rsid w:val="00B46BBA"/>
    <w:rsid w:val="00B47EF9"/>
    <w:rsid w:val="00B51B01"/>
    <w:rsid w:val="00B52DAB"/>
    <w:rsid w:val="00B57B02"/>
    <w:rsid w:val="00B614EB"/>
    <w:rsid w:val="00B76ED4"/>
    <w:rsid w:val="00B80503"/>
    <w:rsid w:val="00B83766"/>
    <w:rsid w:val="00B91794"/>
    <w:rsid w:val="00BB13AC"/>
    <w:rsid w:val="00BC0DC6"/>
    <w:rsid w:val="00BD5548"/>
    <w:rsid w:val="00BE26DD"/>
    <w:rsid w:val="00BF1C60"/>
    <w:rsid w:val="00BF34C1"/>
    <w:rsid w:val="00C002DC"/>
    <w:rsid w:val="00C0626A"/>
    <w:rsid w:val="00C13DB9"/>
    <w:rsid w:val="00C27160"/>
    <w:rsid w:val="00C31689"/>
    <w:rsid w:val="00C33848"/>
    <w:rsid w:val="00C454AC"/>
    <w:rsid w:val="00C475AA"/>
    <w:rsid w:val="00C60284"/>
    <w:rsid w:val="00C71733"/>
    <w:rsid w:val="00C857C3"/>
    <w:rsid w:val="00C87B38"/>
    <w:rsid w:val="00C87BF5"/>
    <w:rsid w:val="00C92D96"/>
    <w:rsid w:val="00CA3EA6"/>
    <w:rsid w:val="00CC63CA"/>
    <w:rsid w:val="00CE0B8C"/>
    <w:rsid w:val="00CF52BE"/>
    <w:rsid w:val="00CF5367"/>
    <w:rsid w:val="00CF702A"/>
    <w:rsid w:val="00D1428D"/>
    <w:rsid w:val="00D257FD"/>
    <w:rsid w:val="00D34BEA"/>
    <w:rsid w:val="00D44CB1"/>
    <w:rsid w:val="00D518AD"/>
    <w:rsid w:val="00D5470C"/>
    <w:rsid w:val="00D561EE"/>
    <w:rsid w:val="00D56AA9"/>
    <w:rsid w:val="00D60A39"/>
    <w:rsid w:val="00D623DD"/>
    <w:rsid w:val="00D72DE4"/>
    <w:rsid w:val="00D801D8"/>
    <w:rsid w:val="00D80F5F"/>
    <w:rsid w:val="00DA1C46"/>
    <w:rsid w:val="00DB1F00"/>
    <w:rsid w:val="00DC5E46"/>
    <w:rsid w:val="00DD26D7"/>
    <w:rsid w:val="00DE5663"/>
    <w:rsid w:val="00DF3D24"/>
    <w:rsid w:val="00DF6560"/>
    <w:rsid w:val="00E13AE8"/>
    <w:rsid w:val="00E323EB"/>
    <w:rsid w:val="00E40497"/>
    <w:rsid w:val="00E42BF2"/>
    <w:rsid w:val="00E449C2"/>
    <w:rsid w:val="00E45A27"/>
    <w:rsid w:val="00E51BE0"/>
    <w:rsid w:val="00E55E9D"/>
    <w:rsid w:val="00E77A72"/>
    <w:rsid w:val="00E80635"/>
    <w:rsid w:val="00E81731"/>
    <w:rsid w:val="00E87C4D"/>
    <w:rsid w:val="00E92772"/>
    <w:rsid w:val="00E93E61"/>
    <w:rsid w:val="00E94B8C"/>
    <w:rsid w:val="00EA4B92"/>
    <w:rsid w:val="00EC12F8"/>
    <w:rsid w:val="00ED376D"/>
    <w:rsid w:val="00ED52C9"/>
    <w:rsid w:val="00ED548A"/>
    <w:rsid w:val="00EE2DEA"/>
    <w:rsid w:val="00EF3551"/>
    <w:rsid w:val="00EF6AA0"/>
    <w:rsid w:val="00EF6DEC"/>
    <w:rsid w:val="00F119F7"/>
    <w:rsid w:val="00F31B60"/>
    <w:rsid w:val="00F337EF"/>
    <w:rsid w:val="00F43032"/>
    <w:rsid w:val="00F51F4A"/>
    <w:rsid w:val="00F65127"/>
    <w:rsid w:val="00F708E8"/>
    <w:rsid w:val="00F71BE3"/>
    <w:rsid w:val="00F74FD6"/>
    <w:rsid w:val="00F8392B"/>
    <w:rsid w:val="00F84D81"/>
    <w:rsid w:val="00F86195"/>
    <w:rsid w:val="00F924F6"/>
    <w:rsid w:val="00F96097"/>
    <w:rsid w:val="00FA6A68"/>
    <w:rsid w:val="00FC47D7"/>
    <w:rsid w:val="00FC676E"/>
    <w:rsid w:val="00FD4C1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5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42E6"/>
    <w:rPr>
      <w:rFonts w:eastAsiaTheme="minorEastAsia"/>
      <w:color w:val="5A5A5A" w:themeColor="text1" w:themeTint="A5"/>
      <w:spacing w:val="15"/>
    </w:rPr>
  </w:style>
  <w:style w:type="paragraph" w:styleId="TOCHeading">
    <w:name w:val="TOC Heading"/>
    <w:basedOn w:val="Heading1"/>
    <w:next w:val="Normal"/>
    <w:uiPriority w:val="39"/>
    <w:unhideWhenUsed/>
    <w:qFormat/>
    <w:rsid w:val="006542E6"/>
    <w:pPr>
      <w:outlineLvl w:val="9"/>
    </w:pPr>
  </w:style>
  <w:style w:type="paragraph" w:styleId="TOC1">
    <w:name w:val="toc 1"/>
    <w:basedOn w:val="Normal"/>
    <w:next w:val="Normal"/>
    <w:autoRedefine/>
    <w:uiPriority w:val="39"/>
    <w:unhideWhenUsed/>
    <w:rsid w:val="006542E6"/>
    <w:pPr>
      <w:spacing w:after="100"/>
    </w:pPr>
  </w:style>
  <w:style w:type="paragraph" w:styleId="TOC2">
    <w:name w:val="toc 2"/>
    <w:basedOn w:val="Normal"/>
    <w:next w:val="Normal"/>
    <w:autoRedefine/>
    <w:uiPriority w:val="39"/>
    <w:unhideWhenUsed/>
    <w:rsid w:val="006542E6"/>
    <w:pPr>
      <w:spacing w:after="100"/>
      <w:ind w:left="220"/>
    </w:pPr>
  </w:style>
  <w:style w:type="paragraph" w:styleId="TOC3">
    <w:name w:val="toc 3"/>
    <w:basedOn w:val="Normal"/>
    <w:next w:val="Normal"/>
    <w:autoRedefine/>
    <w:uiPriority w:val="39"/>
    <w:unhideWhenUsed/>
    <w:rsid w:val="006542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tech.com/blog/permutation-entro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mitcre.mit.edu/wp-content/uploads/2019/11/Tokenized-Security-Commercial-Real-Estate2.pdf" TargetMode="Externa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assets.kpmg/content/dam/kpmg/cn/pdf/en/2020/04/real-estate-tokenization.pdf"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yperlink" Target="https://assets.kpmg/content/dam/kpmg/cn/pdf/en/2020/04/real-estate-tokenization.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accent1"/>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6D0E-41D0-BED4-3A51563F7F9B}"/>
            </c:ext>
          </c:extLst>
        </c:ser>
        <c:ser>
          <c:idx val="1"/>
          <c:order val="1"/>
          <c:tx>
            <c:strRef>
              <c:f>GOTH!$C$1</c:f>
              <c:strCache>
                <c:ptCount val="1"/>
                <c:pt idx="0">
                  <c:v>NAREIT</c:v>
                </c:pt>
              </c:strCache>
            </c:strRef>
          </c:tx>
          <c:spPr>
            <a:ln w="28575" cap="rnd">
              <a:solidFill>
                <a:schemeClr val="accent2"/>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6D0E-41D0-BED4-3A51563F7F9B}"/>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8304"/>
        <c:crosses val="autoZero"/>
        <c:auto val="1"/>
        <c:lblOffset val="100"/>
        <c:baseTimeUnit val="months"/>
      </c:dateAx>
      <c:valAx>
        <c:axId val="18077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DB65768-5AA3-44C0-A8E8-3E418DF02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26</Pages>
  <Words>9328</Words>
  <Characters>53170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40</cp:revision>
  <dcterms:created xsi:type="dcterms:W3CDTF">2022-03-13T14:55:00Z</dcterms:created>
  <dcterms:modified xsi:type="dcterms:W3CDTF">2022-03-18T16:52:00Z</dcterms:modified>
</cp:coreProperties>
</file>