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16A586" w14:textId="7D2E645C" w:rsidR="006542E6" w:rsidRDefault="006542E6" w:rsidP="006542E6">
      <w:pPr>
        <w:pStyle w:val="Title"/>
        <w:rPr>
          <w:lang w:val="it-IT"/>
        </w:rPr>
      </w:pPr>
      <w:r w:rsidRPr="006542E6">
        <w:rPr>
          <w:lang w:val="it-IT"/>
        </w:rPr>
        <w:t>Il mercato immobiliare: nuove opportunità economiche ancora inesplorate – Modelli e applicazioni pratiche</w:t>
      </w:r>
    </w:p>
    <w:sdt>
      <w:sdtPr>
        <w:rPr>
          <w:rFonts w:asciiTheme="minorHAnsi" w:eastAsiaTheme="minorHAnsi" w:hAnsiTheme="minorHAnsi" w:cstheme="minorBidi"/>
          <w:color w:val="auto"/>
          <w:sz w:val="22"/>
          <w:szCs w:val="22"/>
        </w:rPr>
        <w:id w:val="347990915"/>
        <w:docPartObj>
          <w:docPartGallery w:val="Table of Contents"/>
          <w:docPartUnique/>
        </w:docPartObj>
      </w:sdtPr>
      <w:sdtEndPr>
        <w:rPr>
          <w:b/>
          <w:bCs/>
          <w:noProof/>
        </w:rPr>
      </w:sdtEndPr>
      <w:sdtContent>
        <w:p w14:paraId="2639D39A" w14:textId="555AE69C" w:rsidR="006542E6" w:rsidRDefault="006542E6">
          <w:pPr>
            <w:pStyle w:val="TOCHeading"/>
          </w:pPr>
          <w:r>
            <w:t>Indice</w:t>
          </w:r>
        </w:p>
        <w:p w14:paraId="2DAD0743" w14:textId="137235B0" w:rsidR="0049318B" w:rsidRDefault="006542E6">
          <w:pPr>
            <w:pStyle w:val="TOC1"/>
            <w:tabs>
              <w:tab w:val="right" w:leader="dot" w:pos="9628"/>
            </w:tabs>
            <w:rPr>
              <w:rFonts w:eastAsiaTheme="minorEastAsia"/>
              <w:noProof/>
            </w:rPr>
          </w:pPr>
          <w:r>
            <w:fldChar w:fldCharType="begin"/>
          </w:r>
          <w:r>
            <w:instrText xml:space="preserve"> TOC \o "1-3" \h \z \u </w:instrText>
          </w:r>
          <w:r>
            <w:fldChar w:fldCharType="separate"/>
          </w:r>
          <w:hyperlink w:anchor="_Toc100246220" w:history="1">
            <w:r w:rsidR="0049318B" w:rsidRPr="00336533">
              <w:rPr>
                <w:rStyle w:val="Hyperlink"/>
                <w:noProof/>
              </w:rPr>
              <w:t>Capitolo 1</w:t>
            </w:r>
            <w:r w:rsidR="0049318B">
              <w:rPr>
                <w:noProof/>
                <w:webHidden/>
              </w:rPr>
              <w:tab/>
            </w:r>
            <w:r w:rsidR="0049318B">
              <w:rPr>
                <w:noProof/>
                <w:webHidden/>
              </w:rPr>
              <w:fldChar w:fldCharType="begin"/>
            </w:r>
            <w:r w:rsidR="0049318B">
              <w:rPr>
                <w:noProof/>
                <w:webHidden/>
              </w:rPr>
              <w:instrText xml:space="preserve"> PAGEREF _Toc100246220 \h </w:instrText>
            </w:r>
            <w:r w:rsidR="0049318B">
              <w:rPr>
                <w:noProof/>
                <w:webHidden/>
              </w:rPr>
            </w:r>
            <w:r w:rsidR="0049318B">
              <w:rPr>
                <w:noProof/>
                <w:webHidden/>
              </w:rPr>
              <w:fldChar w:fldCharType="separate"/>
            </w:r>
            <w:r w:rsidR="0049318B">
              <w:rPr>
                <w:noProof/>
                <w:webHidden/>
              </w:rPr>
              <w:t>2</w:t>
            </w:r>
            <w:r w:rsidR="0049318B">
              <w:rPr>
                <w:noProof/>
                <w:webHidden/>
              </w:rPr>
              <w:fldChar w:fldCharType="end"/>
            </w:r>
          </w:hyperlink>
        </w:p>
        <w:p w14:paraId="61FC4E35" w14:textId="496BF3AD" w:rsidR="0049318B" w:rsidRDefault="00004AB9">
          <w:pPr>
            <w:pStyle w:val="TOC2"/>
            <w:tabs>
              <w:tab w:val="right" w:leader="dot" w:pos="9628"/>
            </w:tabs>
            <w:rPr>
              <w:rFonts w:eastAsiaTheme="minorEastAsia"/>
              <w:noProof/>
            </w:rPr>
          </w:pPr>
          <w:hyperlink w:anchor="_Toc100246221" w:history="1">
            <w:r w:rsidR="0049318B" w:rsidRPr="00336533">
              <w:rPr>
                <w:rStyle w:val="Hyperlink"/>
                <w:noProof/>
              </w:rPr>
              <w:t>Definizione di Real Estate</w:t>
            </w:r>
            <w:r w:rsidR="0049318B">
              <w:rPr>
                <w:noProof/>
                <w:webHidden/>
              </w:rPr>
              <w:tab/>
            </w:r>
            <w:r w:rsidR="0049318B">
              <w:rPr>
                <w:noProof/>
                <w:webHidden/>
              </w:rPr>
              <w:fldChar w:fldCharType="begin"/>
            </w:r>
            <w:r w:rsidR="0049318B">
              <w:rPr>
                <w:noProof/>
                <w:webHidden/>
              </w:rPr>
              <w:instrText xml:space="preserve"> PAGEREF _Toc100246221 \h </w:instrText>
            </w:r>
            <w:r w:rsidR="0049318B">
              <w:rPr>
                <w:noProof/>
                <w:webHidden/>
              </w:rPr>
            </w:r>
            <w:r w:rsidR="0049318B">
              <w:rPr>
                <w:noProof/>
                <w:webHidden/>
              </w:rPr>
              <w:fldChar w:fldCharType="separate"/>
            </w:r>
            <w:r w:rsidR="0049318B">
              <w:rPr>
                <w:noProof/>
                <w:webHidden/>
              </w:rPr>
              <w:t>2</w:t>
            </w:r>
            <w:r w:rsidR="0049318B">
              <w:rPr>
                <w:noProof/>
                <w:webHidden/>
              </w:rPr>
              <w:fldChar w:fldCharType="end"/>
            </w:r>
          </w:hyperlink>
        </w:p>
        <w:p w14:paraId="2751424A" w14:textId="548C3F52" w:rsidR="0049318B" w:rsidRDefault="00004AB9">
          <w:pPr>
            <w:pStyle w:val="TOC2"/>
            <w:tabs>
              <w:tab w:val="right" w:leader="dot" w:pos="9628"/>
            </w:tabs>
            <w:rPr>
              <w:rFonts w:eastAsiaTheme="minorEastAsia"/>
              <w:noProof/>
            </w:rPr>
          </w:pPr>
          <w:hyperlink w:anchor="_Toc100246222" w:history="1">
            <w:r w:rsidR="0049318B" w:rsidRPr="00336533">
              <w:rPr>
                <w:rStyle w:val="Hyperlink"/>
                <w:noProof/>
                <w:lang w:val="it-IT"/>
              </w:rPr>
              <w:t>Sottomercati immobiliari</w:t>
            </w:r>
            <w:r w:rsidR="0049318B">
              <w:rPr>
                <w:noProof/>
                <w:webHidden/>
              </w:rPr>
              <w:tab/>
            </w:r>
            <w:r w:rsidR="0049318B">
              <w:rPr>
                <w:noProof/>
                <w:webHidden/>
              </w:rPr>
              <w:fldChar w:fldCharType="begin"/>
            </w:r>
            <w:r w:rsidR="0049318B">
              <w:rPr>
                <w:noProof/>
                <w:webHidden/>
              </w:rPr>
              <w:instrText xml:space="preserve"> PAGEREF _Toc100246222 \h </w:instrText>
            </w:r>
            <w:r w:rsidR="0049318B">
              <w:rPr>
                <w:noProof/>
                <w:webHidden/>
              </w:rPr>
            </w:r>
            <w:r w:rsidR="0049318B">
              <w:rPr>
                <w:noProof/>
                <w:webHidden/>
              </w:rPr>
              <w:fldChar w:fldCharType="separate"/>
            </w:r>
            <w:r w:rsidR="0049318B">
              <w:rPr>
                <w:noProof/>
                <w:webHidden/>
              </w:rPr>
              <w:t>2</w:t>
            </w:r>
            <w:r w:rsidR="0049318B">
              <w:rPr>
                <w:noProof/>
                <w:webHidden/>
              </w:rPr>
              <w:fldChar w:fldCharType="end"/>
            </w:r>
          </w:hyperlink>
        </w:p>
        <w:p w14:paraId="7368CE19" w14:textId="4A2B3E93" w:rsidR="0049318B" w:rsidRDefault="00004AB9">
          <w:pPr>
            <w:pStyle w:val="TOC2"/>
            <w:tabs>
              <w:tab w:val="right" w:leader="dot" w:pos="9628"/>
            </w:tabs>
            <w:rPr>
              <w:rFonts w:eastAsiaTheme="minorEastAsia"/>
              <w:noProof/>
            </w:rPr>
          </w:pPr>
          <w:hyperlink w:anchor="_Toc100246223" w:history="1">
            <w:r w:rsidR="0049318B" w:rsidRPr="00336533">
              <w:rPr>
                <w:rStyle w:val="Hyperlink"/>
                <w:noProof/>
                <w:lang w:val="it-IT"/>
              </w:rPr>
              <w:t>Inelasticità dell’offerta</w:t>
            </w:r>
            <w:r w:rsidR="0049318B">
              <w:rPr>
                <w:noProof/>
                <w:webHidden/>
              </w:rPr>
              <w:tab/>
            </w:r>
            <w:r w:rsidR="0049318B">
              <w:rPr>
                <w:noProof/>
                <w:webHidden/>
              </w:rPr>
              <w:fldChar w:fldCharType="begin"/>
            </w:r>
            <w:r w:rsidR="0049318B">
              <w:rPr>
                <w:noProof/>
                <w:webHidden/>
              </w:rPr>
              <w:instrText xml:space="preserve"> PAGEREF _Toc100246223 \h </w:instrText>
            </w:r>
            <w:r w:rsidR="0049318B">
              <w:rPr>
                <w:noProof/>
                <w:webHidden/>
              </w:rPr>
            </w:r>
            <w:r w:rsidR="0049318B">
              <w:rPr>
                <w:noProof/>
                <w:webHidden/>
              </w:rPr>
              <w:fldChar w:fldCharType="separate"/>
            </w:r>
            <w:r w:rsidR="0049318B">
              <w:rPr>
                <w:noProof/>
                <w:webHidden/>
              </w:rPr>
              <w:t>3</w:t>
            </w:r>
            <w:r w:rsidR="0049318B">
              <w:rPr>
                <w:noProof/>
                <w:webHidden/>
              </w:rPr>
              <w:fldChar w:fldCharType="end"/>
            </w:r>
          </w:hyperlink>
        </w:p>
        <w:p w14:paraId="16B77E49" w14:textId="414703F6" w:rsidR="0049318B" w:rsidRDefault="00004AB9">
          <w:pPr>
            <w:pStyle w:val="TOC2"/>
            <w:tabs>
              <w:tab w:val="right" w:leader="dot" w:pos="9628"/>
            </w:tabs>
            <w:rPr>
              <w:rFonts w:eastAsiaTheme="minorEastAsia"/>
              <w:noProof/>
            </w:rPr>
          </w:pPr>
          <w:hyperlink w:anchor="_Toc100246224" w:history="1">
            <w:r w:rsidR="0049318B" w:rsidRPr="00336533">
              <w:rPr>
                <w:rStyle w:val="Hyperlink"/>
                <w:noProof/>
                <w:lang w:val="it-IT"/>
              </w:rPr>
              <w:t>Caratteristiche del mercato immobiliare</w:t>
            </w:r>
            <w:r w:rsidR="0049318B">
              <w:rPr>
                <w:noProof/>
                <w:webHidden/>
              </w:rPr>
              <w:tab/>
            </w:r>
            <w:r w:rsidR="0049318B">
              <w:rPr>
                <w:noProof/>
                <w:webHidden/>
              </w:rPr>
              <w:fldChar w:fldCharType="begin"/>
            </w:r>
            <w:r w:rsidR="0049318B">
              <w:rPr>
                <w:noProof/>
                <w:webHidden/>
              </w:rPr>
              <w:instrText xml:space="preserve"> PAGEREF _Toc100246224 \h </w:instrText>
            </w:r>
            <w:r w:rsidR="0049318B">
              <w:rPr>
                <w:noProof/>
                <w:webHidden/>
              </w:rPr>
            </w:r>
            <w:r w:rsidR="0049318B">
              <w:rPr>
                <w:noProof/>
                <w:webHidden/>
              </w:rPr>
              <w:fldChar w:fldCharType="separate"/>
            </w:r>
            <w:r w:rsidR="0049318B">
              <w:rPr>
                <w:noProof/>
                <w:webHidden/>
              </w:rPr>
              <w:t>4</w:t>
            </w:r>
            <w:r w:rsidR="0049318B">
              <w:rPr>
                <w:noProof/>
                <w:webHidden/>
              </w:rPr>
              <w:fldChar w:fldCharType="end"/>
            </w:r>
          </w:hyperlink>
        </w:p>
        <w:p w14:paraId="18746AE6" w14:textId="16F8D693" w:rsidR="0049318B" w:rsidRDefault="00004AB9">
          <w:pPr>
            <w:pStyle w:val="TOC2"/>
            <w:tabs>
              <w:tab w:val="right" w:leader="dot" w:pos="9628"/>
            </w:tabs>
            <w:rPr>
              <w:rFonts w:eastAsiaTheme="minorEastAsia"/>
              <w:noProof/>
            </w:rPr>
          </w:pPr>
          <w:hyperlink w:anchor="_Toc100246225" w:history="1">
            <w:r w:rsidR="0049318B" w:rsidRPr="00336533">
              <w:rPr>
                <w:rStyle w:val="Hyperlink"/>
                <w:noProof/>
                <w:lang w:val="it-IT"/>
              </w:rPr>
              <w:t>Interazione tra mercato immobiliare ed economia</w:t>
            </w:r>
            <w:r w:rsidR="0049318B">
              <w:rPr>
                <w:noProof/>
                <w:webHidden/>
              </w:rPr>
              <w:tab/>
            </w:r>
            <w:r w:rsidR="0049318B">
              <w:rPr>
                <w:noProof/>
                <w:webHidden/>
              </w:rPr>
              <w:fldChar w:fldCharType="begin"/>
            </w:r>
            <w:r w:rsidR="0049318B">
              <w:rPr>
                <w:noProof/>
                <w:webHidden/>
              </w:rPr>
              <w:instrText xml:space="preserve"> PAGEREF _Toc100246225 \h </w:instrText>
            </w:r>
            <w:r w:rsidR="0049318B">
              <w:rPr>
                <w:noProof/>
                <w:webHidden/>
              </w:rPr>
            </w:r>
            <w:r w:rsidR="0049318B">
              <w:rPr>
                <w:noProof/>
                <w:webHidden/>
              </w:rPr>
              <w:fldChar w:fldCharType="separate"/>
            </w:r>
            <w:r w:rsidR="0049318B">
              <w:rPr>
                <w:noProof/>
                <w:webHidden/>
              </w:rPr>
              <w:t>4</w:t>
            </w:r>
            <w:r w:rsidR="0049318B">
              <w:rPr>
                <w:noProof/>
                <w:webHidden/>
              </w:rPr>
              <w:fldChar w:fldCharType="end"/>
            </w:r>
          </w:hyperlink>
        </w:p>
        <w:p w14:paraId="4535ABC2" w14:textId="51CF6DF3" w:rsidR="0049318B" w:rsidRDefault="00004AB9">
          <w:pPr>
            <w:pStyle w:val="TOC3"/>
            <w:tabs>
              <w:tab w:val="right" w:leader="dot" w:pos="9628"/>
            </w:tabs>
            <w:rPr>
              <w:rFonts w:eastAsiaTheme="minorEastAsia"/>
              <w:noProof/>
            </w:rPr>
          </w:pPr>
          <w:hyperlink w:anchor="_Toc100246226" w:history="1">
            <w:r w:rsidR="0049318B" w:rsidRPr="00336533">
              <w:rPr>
                <w:rStyle w:val="Hyperlink"/>
                <w:noProof/>
                <w:lang w:val="it-IT"/>
              </w:rPr>
              <w:t>RE è demand-driven</w:t>
            </w:r>
            <w:r w:rsidR="0049318B">
              <w:rPr>
                <w:noProof/>
                <w:webHidden/>
              </w:rPr>
              <w:tab/>
            </w:r>
            <w:r w:rsidR="0049318B">
              <w:rPr>
                <w:noProof/>
                <w:webHidden/>
              </w:rPr>
              <w:fldChar w:fldCharType="begin"/>
            </w:r>
            <w:r w:rsidR="0049318B">
              <w:rPr>
                <w:noProof/>
                <w:webHidden/>
              </w:rPr>
              <w:instrText xml:space="preserve"> PAGEREF _Toc100246226 \h </w:instrText>
            </w:r>
            <w:r w:rsidR="0049318B">
              <w:rPr>
                <w:noProof/>
                <w:webHidden/>
              </w:rPr>
            </w:r>
            <w:r w:rsidR="0049318B">
              <w:rPr>
                <w:noProof/>
                <w:webHidden/>
              </w:rPr>
              <w:fldChar w:fldCharType="separate"/>
            </w:r>
            <w:r w:rsidR="0049318B">
              <w:rPr>
                <w:noProof/>
                <w:webHidden/>
              </w:rPr>
              <w:t>5</w:t>
            </w:r>
            <w:r w:rsidR="0049318B">
              <w:rPr>
                <w:noProof/>
                <w:webHidden/>
              </w:rPr>
              <w:fldChar w:fldCharType="end"/>
            </w:r>
          </w:hyperlink>
        </w:p>
        <w:p w14:paraId="370AFFC7" w14:textId="23B5A4B7" w:rsidR="0049318B" w:rsidRDefault="00004AB9">
          <w:pPr>
            <w:pStyle w:val="TOC2"/>
            <w:tabs>
              <w:tab w:val="right" w:leader="dot" w:pos="9628"/>
            </w:tabs>
            <w:rPr>
              <w:rFonts w:eastAsiaTheme="minorEastAsia"/>
              <w:noProof/>
            </w:rPr>
          </w:pPr>
          <w:hyperlink w:anchor="_Toc100246227" w:history="1">
            <w:r w:rsidR="0049318B" w:rsidRPr="00336533">
              <w:rPr>
                <w:rStyle w:val="Hyperlink"/>
                <w:noProof/>
                <w:lang w:val="it-IT"/>
              </w:rPr>
              <w:t xml:space="preserve">La crescita del RE negli anni </w:t>
            </w:r>
            <w:r w:rsidR="0049318B" w:rsidRPr="00336533">
              <w:rPr>
                <w:rStyle w:val="Hyperlink"/>
                <w:noProof/>
                <w:lang w:val="it-IT"/>
              </w:rPr>
              <w:sym w:font="Wingdings" w:char="F0E0"/>
            </w:r>
            <w:r w:rsidR="0049318B" w:rsidRPr="00336533">
              <w:rPr>
                <w:rStyle w:val="Hyperlink"/>
                <w:noProof/>
                <w:lang w:val="it-IT"/>
              </w:rPr>
              <w:t xml:space="preserve"> </w:t>
            </w:r>
            <w:r w:rsidR="0049318B" w:rsidRPr="00336533">
              <w:rPr>
                <w:rStyle w:val="Hyperlink"/>
                <w:noProof/>
                <w:highlight w:val="yellow"/>
                <w:lang w:val="it-IT"/>
              </w:rPr>
              <w:t>riscrivere in base a https://kth.diva-portal.org/smash/get/diva2:1576728/FULLTEXT01.pdf</w:t>
            </w:r>
            <w:r w:rsidR="0049318B">
              <w:rPr>
                <w:noProof/>
                <w:webHidden/>
              </w:rPr>
              <w:tab/>
            </w:r>
            <w:r w:rsidR="0049318B">
              <w:rPr>
                <w:noProof/>
                <w:webHidden/>
              </w:rPr>
              <w:fldChar w:fldCharType="begin"/>
            </w:r>
            <w:r w:rsidR="0049318B">
              <w:rPr>
                <w:noProof/>
                <w:webHidden/>
              </w:rPr>
              <w:instrText xml:space="preserve"> PAGEREF _Toc100246227 \h </w:instrText>
            </w:r>
            <w:r w:rsidR="0049318B">
              <w:rPr>
                <w:noProof/>
                <w:webHidden/>
              </w:rPr>
            </w:r>
            <w:r w:rsidR="0049318B">
              <w:rPr>
                <w:noProof/>
                <w:webHidden/>
              </w:rPr>
              <w:fldChar w:fldCharType="separate"/>
            </w:r>
            <w:r w:rsidR="0049318B">
              <w:rPr>
                <w:noProof/>
                <w:webHidden/>
              </w:rPr>
              <w:t>7</w:t>
            </w:r>
            <w:r w:rsidR="0049318B">
              <w:rPr>
                <w:noProof/>
                <w:webHidden/>
              </w:rPr>
              <w:fldChar w:fldCharType="end"/>
            </w:r>
          </w:hyperlink>
        </w:p>
        <w:p w14:paraId="3C034804" w14:textId="29B8F21A" w:rsidR="0049318B" w:rsidRDefault="00004AB9">
          <w:pPr>
            <w:pStyle w:val="TOC2"/>
            <w:tabs>
              <w:tab w:val="right" w:leader="dot" w:pos="9628"/>
            </w:tabs>
            <w:rPr>
              <w:rFonts w:eastAsiaTheme="minorEastAsia"/>
              <w:noProof/>
            </w:rPr>
          </w:pPr>
          <w:hyperlink w:anchor="_Toc100246228" w:history="1">
            <w:r w:rsidR="0049318B" w:rsidRPr="00336533">
              <w:rPr>
                <w:rStyle w:val="Hyperlink"/>
                <w:noProof/>
                <w:lang w:val="it-IT"/>
              </w:rPr>
              <w:t>Regolamentazione fondi di investimento immobiliare</w:t>
            </w:r>
            <w:r w:rsidR="0049318B">
              <w:rPr>
                <w:noProof/>
                <w:webHidden/>
              </w:rPr>
              <w:tab/>
            </w:r>
            <w:r w:rsidR="0049318B">
              <w:rPr>
                <w:noProof/>
                <w:webHidden/>
              </w:rPr>
              <w:fldChar w:fldCharType="begin"/>
            </w:r>
            <w:r w:rsidR="0049318B">
              <w:rPr>
                <w:noProof/>
                <w:webHidden/>
              </w:rPr>
              <w:instrText xml:space="preserve"> PAGEREF _Toc100246228 \h </w:instrText>
            </w:r>
            <w:r w:rsidR="0049318B">
              <w:rPr>
                <w:noProof/>
                <w:webHidden/>
              </w:rPr>
            </w:r>
            <w:r w:rsidR="0049318B">
              <w:rPr>
                <w:noProof/>
                <w:webHidden/>
              </w:rPr>
              <w:fldChar w:fldCharType="separate"/>
            </w:r>
            <w:r w:rsidR="0049318B">
              <w:rPr>
                <w:noProof/>
                <w:webHidden/>
              </w:rPr>
              <w:t>8</w:t>
            </w:r>
            <w:r w:rsidR="0049318B">
              <w:rPr>
                <w:noProof/>
                <w:webHidden/>
              </w:rPr>
              <w:fldChar w:fldCharType="end"/>
            </w:r>
          </w:hyperlink>
        </w:p>
        <w:p w14:paraId="64EE894F" w14:textId="241EB074" w:rsidR="0049318B" w:rsidRDefault="00004AB9">
          <w:pPr>
            <w:pStyle w:val="TOC3"/>
            <w:tabs>
              <w:tab w:val="right" w:leader="dot" w:pos="9628"/>
            </w:tabs>
            <w:rPr>
              <w:rFonts w:eastAsiaTheme="minorEastAsia"/>
              <w:noProof/>
            </w:rPr>
          </w:pPr>
          <w:hyperlink w:anchor="_Toc100246229" w:history="1">
            <w:r w:rsidR="0049318B" w:rsidRPr="00336533">
              <w:rPr>
                <w:rStyle w:val="Hyperlink"/>
                <w:noProof/>
                <w:lang w:val="it-IT"/>
              </w:rPr>
              <w:t>Gli OICR</w:t>
            </w:r>
            <w:r w:rsidR="0049318B">
              <w:rPr>
                <w:noProof/>
                <w:webHidden/>
              </w:rPr>
              <w:tab/>
            </w:r>
            <w:r w:rsidR="0049318B">
              <w:rPr>
                <w:noProof/>
                <w:webHidden/>
              </w:rPr>
              <w:fldChar w:fldCharType="begin"/>
            </w:r>
            <w:r w:rsidR="0049318B">
              <w:rPr>
                <w:noProof/>
                <w:webHidden/>
              </w:rPr>
              <w:instrText xml:space="preserve"> PAGEREF _Toc100246229 \h </w:instrText>
            </w:r>
            <w:r w:rsidR="0049318B">
              <w:rPr>
                <w:noProof/>
                <w:webHidden/>
              </w:rPr>
            </w:r>
            <w:r w:rsidR="0049318B">
              <w:rPr>
                <w:noProof/>
                <w:webHidden/>
              </w:rPr>
              <w:fldChar w:fldCharType="separate"/>
            </w:r>
            <w:r w:rsidR="0049318B">
              <w:rPr>
                <w:noProof/>
                <w:webHidden/>
              </w:rPr>
              <w:t>8</w:t>
            </w:r>
            <w:r w:rsidR="0049318B">
              <w:rPr>
                <w:noProof/>
                <w:webHidden/>
              </w:rPr>
              <w:fldChar w:fldCharType="end"/>
            </w:r>
          </w:hyperlink>
        </w:p>
        <w:p w14:paraId="2E167CF5" w14:textId="785AE21B" w:rsidR="0049318B" w:rsidRDefault="00004AB9">
          <w:pPr>
            <w:pStyle w:val="TOC3"/>
            <w:tabs>
              <w:tab w:val="right" w:leader="dot" w:pos="9628"/>
            </w:tabs>
            <w:rPr>
              <w:rFonts w:eastAsiaTheme="minorEastAsia"/>
              <w:noProof/>
            </w:rPr>
          </w:pPr>
          <w:hyperlink w:anchor="_Toc100246230" w:history="1">
            <w:r w:rsidR="0049318B" w:rsidRPr="00336533">
              <w:rPr>
                <w:rStyle w:val="Hyperlink"/>
                <w:noProof/>
                <w:lang w:val="it-IT"/>
              </w:rPr>
              <w:t>Caratteri generali</w:t>
            </w:r>
            <w:r w:rsidR="0049318B">
              <w:rPr>
                <w:noProof/>
                <w:webHidden/>
              </w:rPr>
              <w:tab/>
            </w:r>
            <w:r w:rsidR="0049318B">
              <w:rPr>
                <w:noProof/>
                <w:webHidden/>
              </w:rPr>
              <w:fldChar w:fldCharType="begin"/>
            </w:r>
            <w:r w:rsidR="0049318B">
              <w:rPr>
                <w:noProof/>
                <w:webHidden/>
              </w:rPr>
              <w:instrText xml:space="preserve"> PAGEREF _Toc100246230 \h </w:instrText>
            </w:r>
            <w:r w:rsidR="0049318B">
              <w:rPr>
                <w:noProof/>
                <w:webHidden/>
              </w:rPr>
            </w:r>
            <w:r w:rsidR="0049318B">
              <w:rPr>
                <w:noProof/>
                <w:webHidden/>
              </w:rPr>
              <w:fldChar w:fldCharType="separate"/>
            </w:r>
            <w:r w:rsidR="0049318B">
              <w:rPr>
                <w:noProof/>
                <w:webHidden/>
              </w:rPr>
              <w:t>9</w:t>
            </w:r>
            <w:r w:rsidR="0049318B">
              <w:rPr>
                <w:noProof/>
                <w:webHidden/>
              </w:rPr>
              <w:fldChar w:fldCharType="end"/>
            </w:r>
          </w:hyperlink>
        </w:p>
        <w:p w14:paraId="2FC49401" w14:textId="3C1A6D70" w:rsidR="0049318B" w:rsidRDefault="00004AB9">
          <w:pPr>
            <w:pStyle w:val="TOC1"/>
            <w:tabs>
              <w:tab w:val="right" w:leader="dot" w:pos="9628"/>
            </w:tabs>
            <w:rPr>
              <w:rFonts w:eastAsiaTheme="minorEastAsia"/>
              <w:noProof/>
            </w:rPr>
          </w:pPr>
          <w:hyperlink w:anchor="_Toc100246231" w:history="1">
            <w:r w:rsidR="0049318B" w:rsidRPr="00336533">
              <w:rPr>
                <w:rStyle w:val="Hyperlink"/>
                <w:noProof/>
                <w:lang w:val="it-IT"/>
              </w:rPr>
              <w:t>Capitolo 2</w:t>
            </w:r>
            <w:r w:rsidR="0049318B">
              <w:rPr>
                <w:noProof/>
                <w:webHidden/>
              </w:rPr>
              <w:tab/>
            </w:r>
            <w:r w:rsidR="0049318B">
              <w:rPr>
                <w:noProof/>
                <w:webHidden/>
              </w:rPr>
              <w:fldChar w:fldCharType="begin"/>
            </w:r>
            <w:r w:rsidR="0049318B">
              <w:rPr>
                <w:noProof/>
                <w:webHidden/>
              </w:rPr>
              <w:instrText xml:space="preserve"> PAGEREF _Toc100246231 \h </w:instrText>
            </w:r>
            <w:r w:rsidR="0049318B">
              <w:rPr>
                <w:noProof/>
                <w:webHidden/>
              </w:rPr>
            </w:r>
            <w:r w:rsidR="0049318B">
              <w:rPr>
                <w:noProof/>
                <w:webHidden/>
              </w:rPr>
              <w:fldChar w:fldCharType="separate"/>
            </w:r>
            <w:r w:rsidR="0049318B">
              <w:rPr>
                <w:noProof/>
                <w:webHidden/>
              </w:rPr>
              <w:t>10</w:t>
            </w:r>
            <w:r w:rsidR="0049318B">
              <w:rPr>
                <w:noProof/>
                <w:webHidden/>
              </w:rPr>
              <w:fldChar w:fldCharType="end"/>
            </w:r>
          </w:hyperlink>
        </w:p>
        <w:p w14:paraId="236EAB67" w14:textId="3983DFFF" w:rsidR="0049318B" w:rsidRDefault="00004AB9">
          <w:pPr>
            <w:pStyle w:val="TOC2"/>
            <w:tabs>
              <w:tab w:val="right" w:leader="dot" w:pos="9628"/>
            </w:tabs>
            <w:rPr>
              <w:rFonts w:eastAsiaTheme="minorEastAsia"/>
              <w:noProof/>
            </w:rPr>
          </w:pPr>
          <w:hyperlink w:anchor="_Toc100246232" w:history="1">
            <w:r w:rsidR="0049318B" w:rsidRPr="00336533">
              <w:rPr>
                <w:rStyle w:val="Hyperlink"/>
                <w:noProof/>
                <w:lang w:val="it-IT"/>
              </w:rPr>
              <w:t>Efficienza del mercato immobiliare</w:t>
            </w:r>
            <w:r w:rsidR="0049318B">
              <w:rPr>
                <w:noProof/>
                <w:webHidden/>
              </w:rPr>
              <w:tab/>
            </w:r>
            <w:r w:rsidR="0049318B">
              <w:rPr>
                <w:noProof/>
                <w:webHidden/>
              </w:rPr>
              <w:fldChar w:fldCharType="begin"/>
            </w:r>
            <w:r w:rsidR="0049318B">
              <w:rPr>
                <w:noProof/>
                <w:webHidden/>
              </w:rPr>
              <w:instrText xml:space="preserve"> PAGEREF _Toc100246232 \h </w:instrText>
            </w:r>
            <w:r w:rsidR="0049318B">
              <w:rPr>
                <w:noProof/>
                <w:webHidden/>
              </w:rPr>
            </w:r>
            <w:r w:rsidR="0049318B">
              <w:rPr>
                <w:noProof/>
                <w:webHidden/>
              </w:rPr>
              <w:fldChar w:fldCharType="separate"/>
            </w:r>
            <w:r w:rsidR="0049318B">
              <w:rPr>
                <w:noProof/>
                <w:webHidden/>
              </w:rPr>
              <w:t>10</w:t>
            </w:r>
            <w:r w:rsidR="0049318B">
              <w:rPr>
                <w:noProof/>
                <w:webHidden/>
              </w:rPr>
              <w:fldChar w:fldCharType="end"/>
            </w:r>
          </w:hyperlink>
        </w:p>
        <w:p w14:paraId="67B25B5E" w14:textId="24EACCB6" w:rsidR="0049318B" w:rsidRDefault="00004AB9">
          <w:pPr>
            <w:pStyle w:val="TOC2"/>
            <w:tabs>
              <w:tab w:val="right" w:leader="dot" w:pos="9628"/>
            </w:tabs>
            <w:rPr>
              <w:rFonts w:eastAsiaTheme="minorEastAsia"/>
              <w:noProof/>
            </w:rPr>
          </w:pPr>
          <w:hyperlink w:anchor="_Toc100246233" w:history="1">
            <w:r w:rsidR="0049318B" w:rsidRPr="00336533">
              <w:rPr>
                <w:rStyle w:val="Hyperlink"/>
                <w:noProof/>
                <w:lang w:val="it-IT"/>
              </w:rPr>
              <w:t>Inefficienze del mercato immobiliare</w:t>
            </w:r>
            <w:r w:rsidR="0049318B">
              <w:rPr>
                <w:noProof/>
                <w:webHidden/>
              </w:rPr>
              <w:tab/>
            </w:r>
            <w:r w:rsidR="0049318B">
              <w:rPr>
                <w:noProof/>
                <w:webHidden/>
              </w:rPr>
              <w:fldChar w:fldCharType="begin"/>
            </w:r>
            <w:r w:rsidR="0049318B">
              <w:rPr>
                <w:noProof/>
                <w:webHidden/>
              </w:rPr>
              <w:instrText xml:space="preserve"> PAGEREF _Toc100246233 \h </w:instrText>
            </w:r>
            <w:r w:rsidR="0049318B">
              <w:rPr>
                <w:noProof/>
                <w:webHidden/>
              </w:rPr>
            </w:r>
            <w:r w:rsidR="0049318B">
              <w:rPr>
                <w:noProof/>
                <w:webHidden/>
              </w:rPr>
              <w:fldChar w:fldCharType="separate"/>
            </w:r>
            <w:r w:rsidR="0049318B">
              <w:rPr>
                <w:noProof/>
                <w:webHidden/>
              </w:rPr>
              <w:t>11</w:t>
            </w:r>
            <w:r w:rsidR="0049318B">
              <w:rPr>
                <w:noProof/>
                <w:webHidden/>
              </w:rPr>
              <w:fldChar w:fldCharType="end"/>
            </w:r>
          </w:hyperlink>
        </w:p>
        <w:p w14:paraId="406813E5" w14:textId="4DA26D91" w:rsidR="0049318B" w:rsidRDefault="00004AB9">
          <w:pPr>
            <w:pStyle w:val="TOC3"/>
            <w:tabs>
              <w:tab w:val="right" w:leader="dot" w:pos="9628"/>
            </w:tabs>
            <w:rPr>
              <w:rFonts w:eastAsiaTheme="minorEastAsia"/>
              <w:noProof/>
            </w:rPr>
          </w:pPr>
          <w:hyperlink w:anchor="_Toc100246234" w:history="1">
            <w:r w:rsidR="0049318B" w:rsidRPr="00336533">
              <w:rPr>
                <w:rStyle w:val="Hyperlink"/>
                <w:noProof/>
                <w:lang w:val="it-IT"/>
              </w:rPr>
              <w:t>Costi di transazione</w:t>
            </w:r>
            <w:r w:rsidR="0049318B">
              <w:rPr>
                <w:noProof/>
                <w:webHidden/>
              </w:rPr>
              <w:tab/>
            </w:r>
            <w:r w:rsidR="0049318B">
              <w:rPr>
                <w:noProof/>
                <w:webHidden/>
              </w:rPr>
              <w:fldChar w:fldCharType="begin"/>
            </w:r>
            <w:r w:rsidR="0049318B">
              <w:rPr>
                <w:noProof/>
                <w:webHidden/>
              </w:rPr>
              <w:instrText xml:space="preserve"> PAGEREF _Toc100246234 \h </w:instrText>
            </w:r>
            <w:r w:rsidR="0049318B">
              <w:rPr>
                <w:noProof/>
                <w:webHidden/>
              </w:rPr>
            </w:r>
            <w:r w:rsidR="0049318B">
              <w:rPr>
                <w:noProof/>
                <w:webHidden/>
              </w:rPr>
              <w:fldChar w:fldCharType="separate"/>
            </w:r>
            <w:r w:rsidR="0049318B">
              <w:rPr>
                <w:noProof/>
                <w:webHidden/>
              </w:rPr>
              <w:t>12</w:t>
            </w:r>
            <w:r w:rsidR="0049318B">
              <w:rPr>
                <w:noProof/>
                <w:webHidden/>
              </w:rPr>
              <w:fldChar w:fldCharType="end"/>
            </w:r>
          </w:hyperlink>
        </w:p>
        <w:p w14:paraId="73CFFD7F" w14:textId="29AD7B70" w:rsidR="0049318B" w:rsidRDefault="00004AB9">
          <w:pPr>
            <w:pStyle w:val="TOC3"/>
            <w:tabs>
              <w:tab w:val="right" w:leader="dot" w:pos="9628"/>
            </w:tabs>
            <w:rPr>
              <w:rFonts w:eastAsiaTheme="minorEastAsia"/>
              <w:noProof/>
            </w:rPr>
          </w:pPr>
          <w:hyperlink w:anchor="_Toc100246235" w:history="1">
            <w:r w:rsidR="0049318B" w:rsidRPr="00336533">
              <w:rPr>
                <w:rStyle w:val="Hyperlink"/>
                <w:noProof/>
                <w:lang w:val="it-IT"/>
              </w:rPr>
              <w:t>Regolamentazione</w:t>
            </w:r>
            <w:r w:rsidR="0049318B">
              <w:rPr>
                <w:noProof/>
                <w:webHidden/>
              </w:rPr>
              <w:tab/>
            </w:r>
            <w:r w:rsidR="0049318B">
              <w:rPr>
                <w:noProof/>
                <w:webHidden/>
              </w:rPr>
              <w:fldChar w:fldCharType="begin"/>
            </w:r>
            <w:r w:rsidR="0049318B">
              <w:rPr>
                <w:noProof/>
                <w:webHidden/>
              </w:rPr>
              <w:instrText xml:space="preserve"> PAGEREF _Toc100246235 \h </w:instrText>
            </w:r>
            <w:r w:rsidR="0049318B">
              <w:rPr>
                <w:noProof/>
                <w:webHidden/>
              </w:rPr>
            </w:r>
            <w:r w:rsidR="0049318B">
              <w:rPr>
                <w:noProof/>
                <w:webHidden/>
              </w:rPr>
              <w:fldChar w:fldCharType="separate"/>
            </w:r>
            <w:r w:rsidR="0049318B">
              <w:rPr>
                <w:noProof/>
                <w:webHidden/>
              </w:rPr>
              <w:t>15</w:t>
            </w:r>
            <w:r w:rsidR="0049318B">
              <w:rPr>
                <w:noProof/>
                <w:webHidden/>
              </w:rPr>
              <w:fldChar w:fldCharType="end"/>
            </w:r>
          </w:hyperlink>
        </w:p>
        <w:p w14:paraId="0D3CF204" w14:textId="7D3A7000" w:rsidR="0049318B" w:rsidRDefault="00004AB9">
          <w:pPr>
            <w:pStyle w:val="TOC3"/>
            <w:tabs>
              <w:tab w:val="right" w:leader="dot" w:pos="9628"/>
            </w:tabs>
            <w:rPr>
              <w:rFonts w:eastAsiaTheme="minorEastAsia"/>
              <w:noProof/>
            </w:rPr>
          </w:pPr>
          <w:hyperlink w:anchor="_Toc100246236" w:history="1">
            <w:r w:rsidR="0049318B" w:rsidRPr="00336533">
              <w:rPr>
                <w:rStyle w:val="Hyperlink"/>
                <w:noProof/>
                <w:lang w:val="it-IT"/>
              </w:rPr>
              <w:t>Liquidità</w:t>
            </w:r>
            <w:r w:rsidR="0049318B">
              <w:rPr>
                <w:noProof/>
                <w:webHidden/>
              </w:rPr>
              <w:tab/>
            </w:r>
            <w:r w:rsidR="0049318B">
              <w:rPr>
                <w:noProof/>
                <w:webHidden/>
              </w:rPr>
              <w:fldChar w:fldCharType="begin"/>
            </w:r>
            <w:r w:rsidR="0049318B">
              <w:rPr>
                <w:noProof/>
                <w:webHidden/>
              </w:rPr>
              <w:instrText xml:space="preserve"> PAGEREF _Toc100246236 \h </w:instrText>
            </w:r>
            <w:r w:rsidR="0049318B">
              <w:rPr>
                <w:noProof/>
                <w:webHidden/>
              </w:rPr>
            </w:r>
            <w:r w:rsidR="0049318B">
              <w:rPr>
                <w:noProof/>
                <w:webHidden/>
              </w:rPr>
              <w:fldChar w:fldCharType="separate"/>
            </w:r>
            <w:r w:rsidR="0049318B">
              <w:rPr>
                <w:noProof/>
                <w:webHidden/>
              </w:rPr>
              <w:t>16</w:t>
            </w:r>
            <w:r w:rsidR="0049318B">
              <w:rPr>
                <w:noProof/>
                <w:webHidden/>
              </w:rPr>
              <w:fldChar w:fldCharType="end"/>
            </w:r>
          </w:hyperlink>
        </w:p>
        <w:p w14:paraId="761D471C" w14:textId="5EB6BDAE" w:rsidR="0049318B" w:rsidRDefault="00004AB9">
          <w:pPr>
            <w:pStyle w:val="TOC2"/>
            <w:tabs>
              <w:tab w:val="right" w:leader="dot" w:pos="9628"/>
            </w:tabs>
            <w:rPr>
              <w:rFonts w:eastAsiaTheme="minorEastAsia"/>
              <w:noProof/>
            </w:rPr>
          </w:pPr>
          <w:hyperlink w:anchor="_Toc100246237" w:history="1">
            <w:r w:rsidR="0049318B" w:rsidRPr="00336533">
              <w:rPr>
                <w:rStyle w:val="Hyperlink"/>
                <w:noProof/>
                <w:lang w:val="it-IT"/>
              </w:rPr>
              <w:t>Perché è importante che il mercato sia efficiente?</w:t>
            </w:r>
            <w:r w:rsidR="0049318B">
              <w:rPr>
                <w:noProof/>
                <w:webHidden/>
              </w:rPr>
              <w:tab/>
            </w:r>
            <w:r w:rsidR="0049318B">
              <w:rPr>
                <w:noProof/>
                <w:webHidden/>
              </w:rPr>
              <w:fldChar w:fldCharType="begin"/>
            </w:r>
            <w:r w:rsidR="0049318B">
              <w:rPr>
                <w:noProof/>
                <w:webHidden/>
              </w:rPr>
              <w:instrText xml:space="preserve"> PAGEREF _Toc100246237 \h </w:instrText>
            </w:r>
            <w:r w:rsidR="0049318B">
              <w:rPr>
                <w:noProof/>
                <w:webHidden/>
              </w:rPr>
            </w:r>
            <w:r w:rsidR="0049318B">
              <w:rPr>
                <w:noProof/>
                <w:webHidden/>
              </w:rPr>
              <w:fldChar w:fldCharType="separate"/>
            </w:r>
            <w:r w:rsidR="0049318B">
              <w:rPr>
                <w:noProof/>
                <w:webHidden/>
              </w:rPr>
              <w:t>21</w:t>
            </w:r>
            <w:r w:rsidR="0049318B">
              <w:rPr>
                <w:noProof/>
                <w:webHidden/>
              </w:rPr>
              <w:fldChar w:fldCharType="end"/>
            </w:r>
          </w:hyperlink>
        </w:p>
        <w:p w14:paraId="5C3DFE32" w14:textId="28282BF4" w:rsidR="0049318B" w:rsidRDefault="00004AB9">
          <w:pPr>
            <w:pStyle w:val="TOC1"/>
            <w:tabs>
              <w:tab w:val="right" w:leader="dot" w:pos="9628"/>
            </w:tabs>
            <w:rPr>
              <w:rFonts w:eastAsiaTheme="minorEastAsia"/>
              <w:noProof/>
            </w:rPr>
          </w:pPr>
          <w:hyperlink w:anchor="_Toc100246238" w:history="1">
            <w:r w:rsidR="0049318B" w:rsidRPr="00336533">
              <w:rPr>
                <w:rStyle w:val="Hyperlink"/>
                <w:noProof/>
              </w:rPr>
              <w:t>Capitolo 3</w:t>
            </w:r>
            <w:r w:rsidR="0049318B">
              <w:rPr>
                <w:noProof/>
                <w:webHidden/>
              </w:rPr>
              <w:tab/>
            </w:r>
            <w:r w:rsidR="0049318B">
              <w:rPr>
                <w:noProof/>
                <w:webHidden/>
              </w:rPr>
              <w:fldChar w:fldCharType="begin"/>
            </w:r>
            <w:r w:rsidR="0049318B">
              <w:rPr>
                <w:noProof/>
                <w:webHidden/>
              </w:rPr>
              <w:instrText xml:space="preserve"> PAGEREF _Toc100246238 \h </w:instrText>
            </w:r>
            <w:r w:rsidR="0049318B">
              <w:rPr>
                <w:noProof/>
                <w:webHidden/>
              </w:rPr>
            </w:r>
            <w:r w:rsidR="0049318B">
              <w:rPr>
                <w:noProof/>
                <w:webHidden/>
              </w:rPr>
              <w:fldChar w:fldCharType="separate"/>
            </w:r>
            <w:r w:rsidR="0049318B">
              <w:rPr>
                <w:noProof/>
                <w:webHidden/>
              </w:rPr>
              <w:t>22</w:t>
            </w:r>
            <w:r w:rsidR="0049318B">
              <w:rPr>
                <w:noProof/>
                <w:webHidden/>
              </w:rPr>
              <w:fldChar w:fldCharType="end"/>
            </w:r>
          </w:hyperlink>
        </w:p>
        <w:p w14:paraId="514DBC46" w14:textId="6CAB266A" w:rsidR="0049318B" w:rsidRDefault="00004AB9">
          <w:pPr>
            <w:pStyle w:val="TOC1"/>
            <w:tabs>
              <w:tab w:val="right" w:leader="dot" w:pos="9628"/>
            </w:tabs>
            <w:rPr>
              <w:rFonts w:eastAsiaTheme="minorEastAsia"/>
              <w:noProof/>
            </w:rPr>
          </w:pPr>
          <w:hyperlink w:anchor="_Toc100246239" w:history="1">
            <w:r w:rsidR="0049318B" w:rsidRPr="00336533">
              <w:rPr>
                <w:rStyle w:val="Hyperlink"/>
                <w:noProof/>
                <w:lang w:val="it-IT"/>
              </w:rPr>
              <w:t>Capitolo 4</w:t>
            </w:r>
            <w:r w:rsidR="0049318B">
              <w:rPr>
                <w:noProof/>
                <w:webHidden/>
              </w:rPr>
              <w:tab/>
            </w:r>
            <w:r w:rsidR="0049318B">
              <w:rPr>
                <w:noProof/>
                <w:webHidden/>
              </w:rPr>
              <w:fldChar w:fldCharType="begin"/>
            </w:r>
            <w:r w:rsidR="0049318B">
              <w:rPr>
                <w:noProof/>
                <w:webHidden/>
              </w:rPr>
              <w:instrText xml:space="preserve"> PAGEREF _Toc100246239 \h </w:instrText>
            </w:r>
            <w:r w:rsidR="0049318B">
              <w:rPr>
                <w:noProof/>
                <w:webHidden/>
              </w:rPr>
            </w:r>
            <w:r w:rsidR="0049318B">
              <w:rPr>
                <w:noProof/>
                <w:webHidden/>
              </w:rPr>
              <w:fldChar w:fldCharType="separate"/>
            </w:r>
            <w:r w:rsidR="0049318B">
              <w:rPr>
                <w:noProof/>
                <w:webHidden/>
              </w:rPr>
              <w:t>22</w:t>
            </w:r>
            <w:r w:rsidR="0049318B">
              <w:rPr>
                <w:noProof/>
                <w:webHidden/>
              </w:rPr>
              <w:fldChar w:fldCharType="end"/>
            </w:r>
          </w:hyperlink>
        </w:p>
        <w:p w14:paraId="2E3CA9CA" w14:textId="32EBF093" w:rsidR="0049318B" w:rsidRDefault="00004AB9">
          <w:pPr>
            <w:pStyle w:val="TOC2"/>
            <w:tabs>
              <w:tab w:val="right" w:leader="dot" w:pos="9628"/>
            </w:tabs>
            <w:rPr>
              <w:rFonts w:eastAsiaTheme="minorEastAsia"/>
              <w:noProof/>
            </w:rPr>
          </w:pPr>
          <w:hyperlink w:anchor="_Toc100246240" w:history="1">
            <w:r w:rsidR="0049318B" w:rsidRPr="00336533">
              <w:rPr>
                <w:rStyle w:val="Hyperlink"/>
                <w:noProof/>
                <w:lang w:val="it-IT"/>
              </w:rPr>
              <w:t>Modelli di rischio nel RE</w:t>
            </w:r>
            <w:r w:rsidR="0049318B">
              <w:rPr>
                <w:noProof/>
                <w:webHidden/>
              </w:rPr>
              <w:tab/>
            </w:r>
            <w:r w:rsidR="0049318B">
              <w:rPr>
                <w:noProof/>
                <w:webHidden/>
              </w:rPr>
              <w:fldChar w:fldCharType="begin"/>
            </w:r>
            <w:r w:rsidR="0049318B">
              <w:rPr>
                <w:noProof/>
                <w:webHidden/>
              </w:rPr>
              <w:instrText xml:space="preserve"> PAGEREF _Toc100246240 \h </w:instrText>
            </w:r>
            <w:r w:rsidR="0049318B">
              <w:rPr>
                <w:noProof/>
                <w:webHidden/>
              </w:rPr>
            </w:r>
            <w:r w:rsidR="0049318B">
              <w:rPr>
                <w:noProof/>
                <w:webHidden/>
              </w:rPr>
              <w:fldChar w:fldCharType="separate"/>
            </w:r>
            <w:r w:rsidR="0049318B">
              <w:rPr>
                <w:noProof/>
                <w:webHidden/>
              </w:rPr>
              <w:t>23</w:t>
            </w:r>
            <w:r w:rsidR="0049318B">
              <w:rPr>
                <w:noProof/>
                <w:webHidden/>
              </w:rPr>
              <w:fldChar w:fldCharType="end"/>
            </w:r>
          </w:hyperlink>
        </w:p>
        <w:p w14:paraId="684A747C" w14:textId="193F991E" w:rsidR="0049318B" w:rsidRDefault="00004AB9">
          <w:pPr>
            <w:pStyle w:val="TOC2"/>
            <w:tabs>
              <w:tab w:val="right" w:leader="dot" w:pos="9628"/>
            </w:tabs>
            <w:rPr>
              <w:rFonts w:eastAsiaTheme="minorEastAsia"/>
              <w:noProof/>
            </w:rPr>
          </w:pPr>
          <w:hyperlink w:anchor="_Toc100246241" w:history="1">
            <w:r w:rsidR="0049318B" w:rsidRPr="00336533">
              <w:rPr>
                <w:rStyle w:val="Hyperlink"/>
                <w:noProof/>
                <w:lang w:val="it-IT"/>
              </w:rPr>
              <w:t>Digital assets, DLT, ST</w:t>
            </w:r>
            <w:r w:rsidR="0049318B">
              <w:rPr>
                <w:noProof/>
                <w:webHidden/>
              </w:rPr>
              <w:tab/>
            </w:r>
            <w:r w:rsidR="0049318B">
              <w:rPr>
                <w:noProof/>
                <w:webHidden/>
              </w:rPr>
              <w:fldChar w:fldCharType="begin"/>
            </w:r>
            <w:r w:rsidR="0049318B">
              <w:rPr>
                <w:noProof/>
                <w:webHidden/>
              </w:rPr>
              <w:instrText xml:space="preserve"> PAGEREF _Toc100246241 \h </w:instrText>
            </w:r>
            <w:r w:rsidR="0049318B">
              <w:rPr>
                <w:noProof/>
                <w:webHidden/>
              </w:rPr>
            </w:r>
            <w:r w:rsidR="0049318B">
              <w:rPr>
                <w:noProof/>
                <w:webHidden/>
              </w:rPr>
              <w:fldChar w:fldCharType="separate"/>
            </w:r>
            <w:r w:rsidR="0049318B">
              <w:rPr>
                <w:noProof/>
                <w:webHidden/>
              </w:rPr>
              <w:t>23</w:t>
            </w:r>
            <w:r w:rsidR="0049318B">
              <w:rPr>
                <w:noProof/>
                <w:webHidden/>
              </w:rPr>
              <w:fldChar w:fldCharType="end"/>
            </w:r>
          </w:hyperlink>
        </w:p>
        <w:p w14:paraId="0B63AB8A" w14:textId="73AFBA10" w:rsidR="0049318B" w:rsidRDefault="00004AB9">
          <w:pPr>
            <w:pStyle w:val="TOC2"/>
            <w:tabs>
              <w:tab w:val="right" w:leader="dot" w:pos="9628"/>
            </w:tabs>
            <w:rPr>
              <w:rFonts w:eastAsiaTheme="minorEastAsia"/>
              <w:noProof/>
            </w:rPr>
          </w:pPr>
          <w:hyperlink w:anchor="_Toc100246242" w:history="1">
            <w:r w:rsidR="0049318B" w:rsidRPr="00336533">
              <w:rPr>
                <w:rStyle w:val="Hyperlink"/>
                <w:noProof/>
                <w:lang w:val="fr-FR"/>
              </w:rPr>
              <w:t>Tokenizzazione</w:t>
            </w:r>
            <w:r w:rsidR="0049318B">
              <w:rPr>
                <w:noProof/>
                <w:webHidden/>
              </w:rPr>
              <w:tab/>
            </w:r>
            <w:r w:rsidR="0049318B">
              <w:rPr>
                <w:noProof/>
                <w:webHidden/>
              </w:rPr>
              <w:fldChar w:fldCharType="begin"/>
            </w:r>
            <w:r w:rsidR="0049318B">
              <w:rPr>
                <w:noProof/>
                <w:webHidden/>
              </w:rPr>
              <w:instrText xml:space="preserve"> PAGEREF _Toc100246242 \h </w:instrText>
            </w:r>
            <w:r w:rsidR="0049318B">
              <w:rPr>
                <w:noProof/>
                <w:webHidden/>
              </w:rPr>
            </w:r>
            <w:r w:rsidR="0049318B">
              <w:rPr>
                <w:noProof/>
                <w:webHidden/>
              </w:rPr>
              <w:fldChar w:fldCharType="separate"/>
            </w:r>
            <w:r w:rsidR="0049318B">
              <w:rPr>
                <w:noProof/>
                <w:webHidden/>
              </w:rPr>
              <w:t>27</w:t>
            </w:r>
            <w:r w:rsidR="0049318B">
              <w:rPr>
                <w:noProof/>
                <w:webHidden/>
              </w:rPr>
              <w:fldChar w:fldCharType="end"/>
            </w:r>
          </w:hyperlink>
        </w:p>
        <w:p w14:paraId="09B89598" w14:textId="753F0B2B" w:rsidR="0049318B" w:rsidRDefault="00004AB9">
          <w:pPr>
            <w:pStyle w:val="TOC3"/>
            <w:tabs>
              <w:tab w:val="right" w:leader="dot" w:pos="9628"/>
            </w:tabs>
            <w:rPr>
              <w:rFonts w:eastAsiaTheme="minorEastAsia"/>
              <w:noProof/>
            </w:rPr>
          </w:pPr>
          <w:hyperlink w:anchor="_Toc100246243" w:history="1">
            <w:r w:rsidR="0049318B" w:rsidRPr="00336533">
              <w:rPr>
                <w:rStyle w:val="Hyperlink"/>
                <w:noProof/>
                <w:lang w:val="it-IT"/>
              </w:rPr>
              <w:t>Definizione di Securities – Italia e USA</w:t>
            </w:r>
            <w:r w:rsidR="0049318B">
              <w:rPr>
                <w:noProof/>
                <w:webHidden/>
              </w:rPr>
              <w:tab/>
            </w:r>
            <w:r w:rsidR="0049318B">
              <w:rPr>
                <w:noProof/>
                <w:webHidden/>
              </w:rPr>
              <w:fldChar w:fldCharType="begin"/>
            </w:r>
            <w:r w:rsidR="0049318B">
              <w:rPr>
                <w:noProof/>
                <w:webHidden/>
              </w:rPr>
              <w:instrText xml:space="preserve"> PAGEREF _Toc100246243 \h </w:instrText>
            </w:r>
            <w:r w:rsidR="0049318B">
              <w:rPr>
                <w:noProof/>
                <w:webHidden/>
              </w:rPr>
            </w:r>
            <w:r w:rsidR="0049318B">
              <w:rPr>
                <w:noProof/>
                <w:webHidden/>
              </w:rPr>
              <w:fldChar w:fldCharType="separate"/>
            </w:r>
            <w:r w:rsidR="0049318B">
              <w:rPr>
                <w:noProof/>
                <w:webHidden/>
              </w:rPr>
              <w:t>28</w:t>
            </w:r>
            <w:r w:rsidR="0049318B">
              <w:rPr>
                <w:noProof/>
                <w:webHidden/>
              </w:rPr>
              <w:fldChar w:fldCharType="end"/>
            </w:r>
          </w:hyperlink>
        </w:p>
        <w:p w14:paraId="094F8E23" w14:textId="5A8CECB2" w:rsidR="0049318B" w:rsidRDefault="00004AB9">
          <w:pPr>
            <w:pStyle w:val="TOC3"/>
            <w:tabs>
              <w:tab w:val="right" w:leader="dot" w:pos="9628"/>
            </w:tabs>
            <w:rPr>
              <w:rFonts w:eastAsiaTheme="minorEastAsia"/>
              <w:noProof/>
            </w:rPr>
          </w:pPr>
          <w:hyperlink w:anchor="_Toc100246244" w:history="1">
            <w:r w:rsidR="0049318B" w:rsidRPr="00336533">
              <w:rPr>
                <w:rStyle w:val="Hyperlink"/>
                <w:noProof/>
                <w:lang w:val="it-IT"/>
              </w:rPr>
              <w:t>USA</w:t>
            </w:r>
            <w:r w:rsidR="0049318B">
              <w:rPr>
                <w:noProof/>
                <w:webHidden/>
              </w:rPr>
              <w:tab/>
            </w:r>
            <w:r w:rsidR="0049318B">
              <w:rPr>
                <w:noProof/>
                <w:webHidden/>
              </w:rPr>
              <w:fldChar w:fldCharType="begin"/>
            </w:r>
            <w:r w:rsidR="0049318B">
              <w:rPr>
                <w:noProof/>
                <w:webHidden/>
              </w:rPr>
              <w:instrText xml:space="preserve"> PAGEREF _Toc100246244 \h </w:instrText>
            </w:r>
            <w:r w:rsidR="0049318B">
              <w:rPr>
                <w:noProof/>
                <w:webHidden/>
              </w:rPr>
            </w:r>
            <w:r w:rsidR="0049318B">
              <w:rPr>
                <w:noProof/>
                <w:webHidden/>
              </w:rPr>
              <w:fldChar w:fldCharType="separate"/>
            </w:r>
            <w:r w:rsidR="0049318B">
              <w:rPr>
                <w:noProof/>
                <w:webHidden/>
              </w:rPr>
              <w:t>28</w:t>
            </w:r>
            <w:r w:rsidR="0049318B">
              <w:rPr>
                <w:noProof/>
                <w:webHidden/>
              </w:rPr>
              <w:fldChar w:fldCharType="end"/>
            </w:r>
          </w:hyperlink>
        </w:p>
        <w:p w14:paraId="4C0C84BE" w14:textId="7C8F2929" w:rsidR="0049318B" w:rsidRDefault="00004AB9">
          <w:pPr>
            <w:pStyle w:val="TOC3"/>
            <w:tabs>
              <w:tab w:val="right" w:leader="dot" w:pos="9628"/>
            </w:tabs>
            <w:rPr>
              <w:rFonts w:eastAsiaTheme="minorEastAsia"/>
              <w:noProof/>
            </w:rPr>
          </w:pPr>
          <w:hyperlink w:anchor="_Toc100246245" w:history="1">
            <w:r w:rsidR="0049318B" w:rsidRPr="00336533">
              <w:rPr>
                <w:rStyle w:val="Hyperlink"/>
                <w:noProof/>
                <w:lang w:val="it-IT"/>
              </w:rPr>
              <w:t>Italia</w:t>
            </w:r>
            <w:r w:rsidR="0049318B">
              <w:rPr>
                <w:noProof/>
                <w:webHidden/>
              </w:rPr>
              <w:tab/>
            </w:r>
            <w:r w:rsidR="0049318B">
              <w:rPr>
                <w:noProof/>
                <w:webHidden/>
              </w:rPr>
              <w:fldChar w:fldCharType="begin"/>
            </w:r>
            <w:r w:rsidR="0049318B">
              <w:rPr>
                <w:noProof/>
                <w:webHidden/>
              </w:rPr>
              <w:instrText xml:space="preserve"> PAGEREF _Toc100246245 \h </w:instrText>
            </w:r>
            <w:r w:rsidR="0049318B">
              <w:rPr>
                <w:noProof/>
                <w:webHidden/>
              </w:rPr>
            </w:r>
            <w:r w:rsidR="0049318B">
              <w:rPr>
                <w:noProof/>
                <w:webHidden/>
              </w:rPr>
              <w:fldChar w:fldCharType="separate"/>
            </w:r>
            <w:r w:rsidR="0049318B">
              <w:rPr>
                <w:noProof/>
                <w:webHidden/>
              </w:rPr>
              <w:t>29</w:t>
            </w:r>
            <w:r w:rsidR="0049318B">
              <w:rPr>
                <w:noProof/>
                <w:webHidden/>
              </w:rPr>
              <w:fldChar w:fldCharType="end"/>
            </w:r>
          </w:hyperlink>
        </w:p>
        <w:p w14:paraId="174D576D" w14:textId="010C00D3" w:rsidR="0049318B" w:rsidRDefault="00004AB9">
          <w:pPr>
            <w:pStyle w:val="TOC2"/>
            <w:tabs>
              <w:tab w:val="right" w:leader="dot" w:pos="9628"/>
            </w:tabs>
            <w:rPr>
              <w:rFonts w:eastAsiaTheme="minorEastAsia"/>
              <w:noProof/>
            </w:rPr>
          </w:pPr>
          <w:hyperlink w:anchor="_Toc100246246" w:history="1">
            <w:r w:rsidR="0049318B" w:rsidRPr="00336533">
              <w:rPr>
                <w:rStyle w:val="Hyperlink"/>
                <w:noProof/>
                <w:lang w:val="it-IT"/>
              </w:rPr>
              <w:t>Security tokens versus tokenised securities</w:t>
            </w:r>
            <w:r w:rsidR="0049318B">
              <w:rPr>
                <w:noProof/>
                <w:webHidden/>
              </w:rPr>
              <w:tab/>
            </w:r>
            <w:r w:rsidR="0049318B">
              <w:rPr>
                <w:noProof/>
                <w:webHidden/>
              </w:rPr>
              <w:fldChar w:fldCharType="begin"/>
            </w:r>
            <w:r w:rsidR="0049318B">
              <w:rPr>
                <w:noProof/>
                <w:webHidden/>
              </w:rPr>
              <w:instrText xml:space="preserve"> PAGEREF _Toc100246246 \h </w:instrText>
            </w:r>
            <w:r w:rsidR="0049318B">
              <w:rPr>
                <w:noProof/>
                <w:webHidden/>
              </w:rPr>
            </w:r>
            <w:r w:rsidR="0049318B">
              <w:rPr>
                <w:noProof/>
                <w:webHidden/>
              </w:rPr>
              <w:fldChar w:fldCharType="separate"/>
            </w:r>
            <w:r w:rsidR="0049318B">
              <w:rPr>
                <w:noProof/>
                <w:webHidden/>
              </w:rPr>
              <w:t>29</w:t>
            </w:r>
            <w:r w:rsidR="0049318B">
              <w:rPr>
                <w:noProof/>
                <w:webHidden/>
              </w:rPr>
              <w:fldChar w:fldCharType="end"/>
            </w:r>
          </w:hyperlink>
        </w:p>
        <w:p w14:paraId="0D1FA161" w14:textId="3E924623" w:rsidR="0049318B" w:rsidRDefault="00004AB9">
          <w:pPr>
            <w:pStyle w:val="TOC2"/>
            <w:tabs>
              <w:tab w:val="right" w:leader="dot" w:pos="9628"/>
            </w:tabs>
            <w:rPr>
              <w:rFonts w:eastAsiaTheme="minorEastAsia"/>
              <w:noProof/>
            </w:rPr>
          </w:pPr>
          <w:hyperlink w:anchor="_Toc100246247" w:history="1">
            <w:r w:rsidR="0049318B" w:rsidRPr="00336533">
              <w:rPr>
                <w:rStyle w:val="Hyperlink"/>
                <w:noProof/>
                <w:lang w:val="it-IT"/>
              </w:rPr>
              <w:t>Il frazionamento della proprietà negli ordinamenti giuridici – Italia e altre nazioni</w:t>
            </w:r>
            <w:r w:rsidR="0049318B">
              <w:rPr>
                <w:noProof/>
                <w:webHidden/>
              </w:rPr>
              <w:tab/>
            </w:r>
            <w:r w:rsidR="0049318B">
              <w:rPr>
                <w:noProof/>
                <w:webHidden/>
              </w:rPr>
              <w:fldChar w:fldCharType="begin"/>
            </w:r>
            <w:r w:rsidR="0049318B">
              <w:rPr>
                <w:noProof/>
                <w:webHidden/>
              </w:rPr>
              <w:instrText xml:space="preserve"> PAGEREF _Toc100246247 \h </w:instrText>
            </w:r>
            <w:r w:rsidR="0049318B">
              <w:rPr>
                <w:noProof/>
                <w:webHidden/>
              </w:rPr>
            </w:r>
            <w:r w:rsidR="0049318B">
              <w:rPr>
                <w:noProof/>
                <w:webHidden/>
              </w:rPr>
              <w:fldChar w:fldCharType="separate"/>
            </w:r>
            <w:r w:rsidR="0049318B">
              <w:rPr>
                <w:noProof/>
                <w:webHidden/>
              </w:rPr>
              <w:t>30</w:t>
            </w:r>
            <w:r w:rsidR="0049318B">
              <w:rPr>
                <w:noProof/>
                <w:webHidden/>
              </w:rPr>
              <w:fldChar w:fldCharType="end"/>
            </w:r>
          </w:hyperlink>
        </w:p>
        <w:p w14:paraId="117EC33C" w14:textId="1D0394AF" w:rsidR="0049318B" w:rsidRDefault="00004AB9">
          <w:pPr>
            <w:pStyle w:val="TOC3"/>
            <w:tabs>
              <w:tab w:val="right" w:leader="dot" w:pos="9628"/>
            </w:tabs>
            <w:rPr>
              <w:rFonts w:eastAsiaTheme="minorEastAsia"/>
              <w:noProof/>
            </w:rPr>
          </w:pPr>
          <w:hyperlink w:anchor="_Toc100246248" w:history="1">
            <w:r w:rsidR="0049318B" w:rsidRPr="00336533">
              <w:rPr>
                <w:rStyle w:val="Hyperlink"/>
                <w:noProof/>
                <w:lang w:val="it-IT"/>
              </w:rPr>
              <w:t>Italia</w:t>
            </w:r>
            <w:r w:rsidR="0049318B">
              <w:rPr>
                <w:noProof/>
                <w:webHidden/>
              </w:rPr>
              <w:tab/>
            </w:r>
            <w:r w:rsidR="0049318B">
              <w:rPr>
                <w:noProof/>
                <w:webHidden/>
              </w:rPr>
              <w:fldChar w:fldCharType="begin"/>
            </w:r>
            <w:r w:rsidR="0049318B">
              <w:rPr>
                <w:noProof/>
                <w:webHidden/>
              </w:rPr>
              <w:instrText xml:space="preserve"> PAGEREF _Toc100246248 \h </w:instrText>
            </w:r>
            <w:r w:rsidR="0049318B">
              <w:rPr>
                <w:noProof/>
                <w:webHidden/>
              </w:rPr>
            </w:r>
            <w:r w:rsidR="0049318B">
              <w:rPr>
                <w:noProof/>
                <w:webHidden/>
              </w:rPr>
              <w:fldChar w:fldCharType="separate"/>
            </w:r>
            <w:r w:rsidR="0049318B">
              <w:rPr>
                <w:noProof/>
                <w:webHidden/>
              </w:rPr>
              <w:t>31</w:t>
            </w:r>
            <w:r w:rsidR="0049318B">
              <w:rPr>
                <w:noProof/>
                <w:webHidden/>
              </w:rPr>
              <w:fldChar w:fldCharType="end"/>
            </w:r>
          </w:hyperlink>
        </w:p>
        <w:p w14:paraId="471482BA" w14:textId="556CB8D2" w:rsidR="0049318B" w:rsidRDefault="00004AB9">
          <w:pPr>
            <w:pStyle w:val="TOC3"/>
            <w:tabs>
              <w:tab w:val="right" w:leader="dot" w:pos="9628"/>
            </w:tabs>
            <w:rPr>
              <w:rFonts w:eastAsiaTheme="minorEastAsia"/>
              <w:noProof/>
            </w:rPr>
          </w:pPr>
          <w:hyperlink w:anchor="_Toc100246249" w:history="1">
            <w:r w:rsidR="0049318B" w:rsidRPr="00336533">
              <w:rPr>
                <w:rStyle w:val="Hyperlink"/>
                <w:noProof/>
                <w:lang w:val="it-IT"/>
              </w:rPr>
              <w:t>Altre nazioni</w:t>
            </w:r>
            <w:r w:rsidR="0049318B">
              <w:rPr>
                <w:noProof/>
                <w:webHidden/>
              </w:rPr>
              <w:tab/>
            </w:r>
            <w:r w:rsidR="0049318B">
              <w:rPr>
                <w:noProof/>
                <w:webHidden/>
              </w:rPr>
              <w:fldChar w:fldCharType="begin"/>
            </w:r>
            <w:r w:rsidR="0049318B">
              <w:rPr>
                <w:noProof/>
                <w:webHidden/>
              </w:rPr>
              <w:instrText xml:space="preserve"> PAGEREF _Toc100246249 \h </w:instrText>
            </w:r>
            <w:r w:rsidR="0049318B">
              <w:rPr>
                <w:noProof/>
                <w:webHidden/>
              </w:rPr>
            </w:r>
            <w:r w:rsidR="0049318B">
              <w:rPr>
                <w:noProof/>
                <w:webHidden/>
              </w:rPr>
              <w:fldChar w:fldCharType="separate"/>
            </w:r>
            <w:r w:rsidR="0049318B">
              <w:rPr>
                <w:noProof/>
                <w:webHidden/>
              </w:rPr>
              <w:t>32</w:t>
            </w:r>
            <w:r w:rsidR="0049318B">
              <w:rPr>
                <w:noProof/>
                <w:webHidden/>
              </w:rPr>
              <w:fldChar w:fldCharType="end"/>
            </w:r>
          </w:hyperlink>
        </w:p>
        <w:p w14:paraId="78E800AB" w14:textId="541095ED" w:rsidR="0049318B" w:rsidRDefault="00004AB9">
          <w:pPr>
            <w:pStyle w:val="TOC2"/>
            <w:tabs>
              <w:tab w:val="right" w:leader="dot" w:pos="9628"/>
            </w:tabs>
            <w:rPr>
              <w:rFonts w:eastAsiaTheme="minorEastAsia"/>
              <w:noProof/>
            </w:rPr>
          </w:pPr>
          <w:hyperlink w:anchor="_Toc100246250" w:history="1">
            <w:r w:rsidR="0049318B" w:rsidRPr="00336533">
              <w:rPr>
                <w:rStyle w:val="Hyperlink"/>
                <w:noProof/>
                <w:lang w:val="it-IT"/>
              </w:rPr>
              <w:t>Normativa sui Security Token – USA e Italia</w:t>
            </w:r>
            <w:r w:rsidR="0049318B">
              <w:rPr>
                <w:noProof/>
                <w:webHidden/>
              </w:rPr>
              <w:tab/>
            </w:r>
            <w:r w:rsidR="0049318B">
              <w:rPr>
                <w:noProof/>
                <w:webHidden/>
              </w:rPr>
              <w:fldChar w:fldCharType="begin"/>
            </w:r>
            <w:r w:rsidR="0049318B">
              <w:rPr>
                <w:noProof/>
                <w:webHidden/>
              </w:rPr>
              <w:instrText xml:space="preserve"> PAGEREF _Toc100246250 \h </w:instrText>
            </w:r>
            <w:r w:rsidR="0049318B">
              <w:rPr>
                <w:noProof/>
                <w:webHidden/>
              </w:rPr>
            </w:r>
            <w:r w:rsidR="0049318B">
              <w:rPr>
                <w:noProof/>
                <w:webHidden/>
              </w:rPr>
              <w:fldChar w:fldCharType="separate"/>
            </w:r>
            <w:r w:rsidR="0049318B">
              <w:rPr>
                <w:noProof/>
                <w:webHidden/>
              </w:rPr>
              <w:t>33</w:t>
            </w:r>
            <w:r w:rsidR="0049318B">
              <w:rPr>
                <w:noProof/>
                <w:webHidden/>
              </w:rPr>
              <w:fldChar w:fldCharType="end"/>
            </w:r>
          </w:hyperlink>
        </w:p>
        <w:p w14:paraId="776E9DEC" w14:textId="75679CCD" w:rsidR="0049318B" w:rsidRDefault="00004AB9">
          <w:pPr>
            <w:pStyle w:val="TOC3"/>
            <w:tabs>
              <w:tab w:val="right" w:leader="dot" w:pos="9628"/>
            </w:tabs>
            <w:rPr>
              <w:rFonts w:eastAsiaTheme="minorEastAsia"/>
              <w:noProof/>
            </w:rPr>
          </w:pPr>
          <w:hyperlink w:anchor="_Toc100246251" w:history="1">
            <w:r w:rsidR="0049318B" w:rsidRPr="00336533">
              <w:rPr>
                <w:rStyle w:val="Hyperlink"/>
                <w:noProof/>
                <w:lang w:val="it-IT"/>
              </w:rPr>
              <w:t>Italia</w:t>
            </w:r>
            <w:r w:rsidR="0049318B">
              <w:rPr>
                <w:noProof/>
                <w:webHidden/>
              </w:rPr>
              <w:tab/>
            </w:r>
            <w:r w:rsidR="0049318B">
              <w:rPr>
                <w:noProof/>
                <w:webHidden/>
              </w:rPr>
              <w:fldChar w:fldCharType="begin"/>
            </w:r>
            <w:r w:rsidR="0049318B">
              <w:rPr>
                <w:noProof/>
                <w:webHidden/>
              </w:rPr>
              <w:instrText xml:space="preserve"> PAGEREF _Toc100246251 \h </w:instrText>
            </w:r>
            <w:r w:rsidR="0049318B">
              <w:rPr>
                <w:noProof/>
                <w:webHidden/>
              </w:rPr>
            </w:r>
            <w:r w:rsidR="0049318B">
              <w:rPr>
                <w:noProof/>
                <w:webHidden/>
              </w:rPr>
              <w:fldChar w:fldCharType="separate"/>
            </w:r>
            <w:r w:rsidR="0049318B">
              <w:rPr>
                <w:noProof/>
                <w:webHidden/>
              </w:rPr>
              <w:t>35</w:t>
            </w:r>
            <w:r w:rsidR="0049318B">
              <w:rPr>
                <w:noProof/>
                <w:webHidden/>
              </w:rPr>
              <w:fldChar w:fldCharType="end"/>
            </w:r>
          </w:hyperlink>
        </w:p>
        <w:p w14:paraId="69AD6609" w14:textId="7BF4E695" w:rsidR="0049318B" w:rsidRDefault="00004AB9">
          <w:pPr>
            <w:pStyle w:val="TOC3"/>
            <w:tabs>
              <w:tab w:val="right" w:leader="dot" w:pos="9628"/>
            </w:tabs>
            <w:rPr>
              <w:rFonts w:eastAsiaTheme="minorEastAsia"/>
              <w:noProof/>
            </w:rPr>
          </w:pPr>
          <w:hyperlink w:anchor="_Toc100246252" w:history="1">
            <w:r w:rsidR="0049318B" w:rsidRPr="00336533">
              <w:rPr>
                <w:rStyle w:val="Hyperlink"/>
                <w:noProof/>
              </w:rPr>
              <w:t>USA</w:t>
            </w:r>
            <w:r w:rsidR="0049318B">
              <w:rPr>
                <w:noProof/>
                <w:webHidden/>
              </w:rPr>
              <w:tab/>
            </w:r>
            <w:r w:rsidR="0049318B">
              <w:rPr>
                <w:noProof/>
                <w:webHidden/>
              </w:rPr>
              <w:fldChar w:fldCharType="begin"/>
            </w:r>
            <w:r w:rsidR="0049318B">
              <w:rPr>
                <w:noProof/>
                <w:webHidden/>
              </w:rPr>
              <w:instrText xml:space="preserve"> PAGEREF _Toc100246252 \h </w:instrText>
            </w:r>
            <w:r w:rsidR="0049318B">
              <w:rPr>
                <w:noProof/>
                <w:webHidden/>
              </w:rPr>
            </w:r>
            <w:r w:rsidR="0049318B">
              <w:rPr>
                <w:noProof/>
                <w:webHidden/>
              </w:rPr>
              <w:fldChar w:fldCharType="separate"/>
            </w:r>
            <w:r w:rsidR="0049318B">
              <w:rPr>
                <w:noProof/>
                <w:webHidden/>
              </w:rPr>
              <w:t>42</w:t>
            </w:r>
            <w:r w:rsidR="0049318B">
              <w:rPr>
                <w:noProof/>
                <w:webHidden/>
              </w:rPr>
              <w:fldChar w:fldCharType="end"/>
            </w:r>
          </w:hyperlink>
        </w:p>
        <w:p w14:paraId="13777551" w14:textId="70093E6E" w:rsidR="006542E6" w:rsidRDefault="006542E6">
          <w:r>
            <w:rPr>
              <w:b/>
              <w:bCs/>
              <w:noProof/>
            </w:rPr>
            <w:fldChar w:fldCharType="end"/>
          </w:r>
        </w:p>
      </w:sdtContent>
    </w:sdt>
    <w:p w14:paraId="530750CA" w14:textId="77777777" w:rsidR="006542E6" w:rsidRPr="006542E6" w:rsidRDefault="006542E6" w:rsidP="006542E6">
      <w:pPr>
        <w:rPr>
          <w:lang w:val="it-IT"/>
        </w:rPr>
      </w:pPr>
    </w:p>
    <w:p w14:paraId="6B9BA9F1" w14:textId="2307A543" w:rsidR="00EF3551" w:rsidRPr="00641CCF" w:rsidRDefault="00EF3551" w:rsidP="00EF3551">
      <w:pPr>
        <w:pStyle w:val="Heading1"/>
      </w:pPr>
      <w:bookmarkStart w:id="0" w:name="_Toc100246220"/>
      <w:r w:rsidRPr="00641CCF">
        <w:t>Capitolo 1</w:t>
      </w:r>
      <w:bookmarkEnd w:id="0"/>
    </w:p>
    <w:p w14:paraId="775BB99A" w14:textId="77777777" w:rsidR="009B1538" w:rsidRPr="00641CCF" w:rsidRDefault="009B1538" w:rsidP="009B1538"/>
    <w:p w14:paraId="7D30878E" w14:textId="015E0B13" w:rsidR="0037092F" w:rsidRPr="00641CCF" w:rsidRDefault="00A70573" w:rsidP="00EF3551">
      <w:pPr>
        <w:pStyle w:val="Heading2"/>
      </w:pPr>
      <w:bookmarkStart w:id="1" w:name="_Toc100246221"/>
      <w:r w:rsidRPr="00641CCF">
        <w:t>Definizione di Real Estate</w:t>
      </w:r>
      <w:bookmarkEnd w:id="1"/>
    </w:p>
    <w:p w14:paraId="08AF54C9" w14:textId="122E0C2B" w:rsidR="00A70573" w:rsidRPr="00641CCF" w:rsidRDefault="00A70573" w:rsidP="00A70573"/>
    <w:p w14:paraId="5C590994" w14:textId="0FDECC6F" w:rsidR="00F74FD6" w:rsidRPr="006C6049" w:rsidRDefault="00F74FD6" w:rsidP="00A70573">
      <w:pPr>
        <w:rPr>
          <w:lang w:val="it-IT"/>
        </w:rPr>
      </w:pPr>
      <w:r w:rsidRPr="00F74FD6">
        <w:t>“In the perfect world of f</w:t>
      </w:r>
      <w:r>
        <w:t>i</w:t>
      </w:r>
      <w:r w:rsidRPr="00F74FD6">
        <w:t>nance, there would be</w:t>
      </w:r>
      <w:r>
        <w:t xml:space="preserve"> no real estate. Real estate is </w:t>
      </w:r>
      <w:r w:rsidRPr="00F74FD6">
        <w:t xml:space="preserve">heterogeneous, lumpy, and illiquid, traded on </w:t>
      </w:r>
      <w:r>
        <w:t xml:space="preserve">inefficient markets dominated by </w:t>
      </w:r>
      <w:r w:rsidRPr="00F74FD6">
        <w:t xml:space="preserve">asymmetric information. </w:t>
      </w:r>
      <w:r w:rsidRPr="006C6049">
        <w:rPr>
          <w:lang w:val="it-IT"/>
        </w:rPr>
        <w:t>Real estate is heresy to the financial orthodoxy”.</w:t>
      </w:r>
      <w:r w:rsidR="006C6049">
        <w:rPr>
          <w:rStyle w:val="FootnoteReference"/>
        </w:rPr>
        <w:footnoteReference w:id="1"/>
      </w:r>
    </w:p>
    <w:p w14:paraId="45616278" w14:textId="06043C0D" w:rsidR="00A70573" w:rsidRDefault="00A70573" w:rsidP="00094F9B">
      <w:pPr>
        <w:jc w:val="both"/>
        <w:rPr>
          <w:lang w:val="it-IT"/>
        </w:rPr>
      </w:pPr>
      <w:r>
        <w:rPr>
          <w:lang w:val="it-IT"/>
        </w:rPr>
        <w:t xml:space="preserve">Nel linguaggio giuridico ed economico l’immobile è quel bene che per sua natura non può essere trasportato senza che venga alterata la sua consistenza (il suolo e tutto ciò che naturalmente o artificialmente è incorporato </w:t>
      </w:r>
      <w:r w:rsidR="00EF3551">
        <w:rPr>
          <w:lang w:val="it-IT"/>
        </w:rPr>
        <w:t>ad esso</w:t>
      </w:r>
      <w:r>
        <w:rPr>
          <w:lang w:val="it-IT"/>
        </w:rPr>
        <w:t>).</w:t>
      </w:r>
      <w:r>
        <w:rPr>
          <w:rStyle w:val="FootnoteReference"/>
          <w:lang w:val="it-IT"/>
        </w:rPr>
        <w:footnoteReference w:id="2"/>
      </w:r>
      <w:r>
        <w:rPr>
          <w:lang w:val="it-IT"/>
        </w:rPr>
        <w:t xml:space="preserve"> Ciò che è di particolare interesse all’interno di questo trattato è il diritto di proprietà sugli immobili che produce valore economico negoziabile sul mercato. </w:t>
      </w:r>
    </w:p>
    <w:p w14:paraId="6D7CB133" w14:textId="1F6FF947" w:rsidR="00A70573" w:rsidRDefault="00E13AE8" w:rsidP="00094F9B">
      <w:pPr>
        <w:jc w:val="both"/>
        <w:rPr>
          <w:lang w:val="it-IT"/>
        </w:rPr>
      </w:pPr>
      <w:r>
        <w:rPr>
          <w:lang w:val="it-IT"/>
        </w:rPr>
        <w:t>I prezzi riflessi sul mercato immobiliare derivano da due tipologie di domanda</w:t>
      </w:r>
      <w:r>
        <w:rPr>
          <w:rStyle w:val="FootnoteReference"/>
          <w:lang w:val="it-IT"/>
        </w:rPr>
        <w:footnoteReference w:id="3"/>
      </w:r>
      <w:r>
        <w:rPr>
          <w:lang w:val="it-IT"/>
        </w:rPr>
        <w:t xml:space="preserve">: </w:t>
      </w:r>
    </w:p>
    <w:p w14:paraId="4645D8D0" w14:textId="735D2A60" w:rsidR="00E13AE8" w:rsidRDefault="00E13AE8" w:rsidP="00094F9B">
      <w:pPr>
        <w:pStyle w:val="ListParagraph"/>
        <w:numPr>
          <w:ilvl w:val="0"/>
          <w:numId w:val="1"/>
        </w:numPr>
        <w:jc w:val="both"/>
        <w:rPr>
          <w:lang w:val="it-IT"/>
        </w:rPr>
      </w:pPr>
      <w:r>
        <w:rPr>
          <w:lang w:val="it-IT"/>
        </w:rPr>
        <w:t>Derivata</w:t>
      </w:r>
      <w:r w:rsidR="00AF5EAA">
        <w:rPr>
          <w:lang w:val="it-IT"/>
        </w:rPr>
        <w:t xml:space="preserve"> (</w:t>
      </w:r>
      <w:r w:rsidR="00AF5EAA">
        <w:rPr>
          <w:i/>
          <w:iCs/>
          <w:lang w:val="it-IT"/>
        </w:rPr>
        <w:t>derived</w:t>
      </w:r>
      <w:r w:rsidR="0067343B">
        <w:rPr>
          <w:lang w:val="it-IT"/>
        </w:rPr>
        <w:t>)</w:t>
      </w:r>
    </w:p>
    <w:p w14:paraId="4402FB14" w14:textId="78EC7EC8" w:rsidR="00E13AE8" w:rsidRDefault="00E13AE8" w:rsidP="00094F9B">
      <w:pPr>
        <w:pStyle w:val="ListParagraph"/>
        <w:numPr>
          <w:ilvl w:val="0"/>
          <w:numId w:val="1"/>
        </w:numPr>
        <w:jc w:val="both"/>
        <w:rPr>
          <w:lang w:val="it-IT"/>
        </w:rPr>
      </w:pPr>
      <w:r>
        <w:rPr>
          <w:lang w:val="it-IT"/>
        </w:rPr>
        <w:t>Autentica</w:t>
      </w:r>
      <w:r w:rsidR="00AF5EAA">
        <w:rPr>
          <w:lang w:val="it-IT"/>
        </w:rPr>
        <w:t xml:space="preserve"> </w:t>
      </w:r>
      <w:r w:rsidR="0067343B">
        <w:rPr>
          <w:lang w:val="it-IT"/>
        </w:rPr>
        <w:t>(</w:t>
      </w:r>
      <w:r w:rsidR="0067343B">
        <w:rPr>
          <w:i/>
          <w:iCs/>
          <w:lang w:val="it-IT"/>
        </w:rPr>
        <w:t>authentic</w:t>
      </w:r>
      <w:r w:rsidR="0067343B">
        <w:rPr>
          <w:lang w:val="it-IT"/>
        </w:rPr>
        <w:t>)</w:t>
      </w:r>
    </w:p>
    <w:p w14:paraId="23C8C12F" w14:textId="27FBB6DA" w:rsidR="0067343B" w:rsidRDefault="0067343B" w:rsidP="00094F9B">
      <w:pPr>
        <w:jc w:val="both"/>
        <w:rPr>
          <w:lang w:val="it-IT"/>
        </w:rPr>
      </w:pPr>
      <w:r>
        <w:rPr>
          <w:lang w:val="it-IT"/>
        </w:rPr>
        <w:t>La domanda derivata nasce dalla domanda per un certo bene/servizio che è conseguenza di una domanda per</w:t>
      </w:r>
      <w:r w:rsidR="00827A83">
        <w:rPr>
          <w:lang w:val="it-IT"/>
        </w:rPr>
        <w:t xml:space="preserve"> beni/servizi necessari connessi. Ad esempio, dalla domanda di avere un’abitazione nasce la domanda di avere una casa e un suolo sul quale costruirla. </w:t>
      </w:r>
      <w:r w:rsidR="006859DF">
        <w:rPr>
          <w:lang w:val="it-IT"/>
        </w:rPr>
        <w:t xml:space="preserve">O ancora, un campo agrario viene demandato per la sua funzione di crescere grano e di conseguenza soddisfare la domanda di alimenti. </w:t>
      </w:r>
    </w:p>
    <w:p w14:paraId="7EA297A4" w14:textId="7EC3A4D2" w:rsidR="006859DF" w:rsidRDefault="006859DF" w:rsidP="00094F9B">
      <w:pPr>
        <w:jc w:val="both"/>
        <w:rPr>
          <w:lang w:val="it-IT"/>
        </w:rPr>
      </w:pPr>
      <w:r>
        <w:rPr>
          <w:lang w:val="it-IT"/>
        </w:rPr>
        <w:t xml:space="preserve">La domanda può anche essere autentica, ovvero viene soddisfatta dall’uso/proprietà del bene in questione. È il caso, ad esempio, di edifici di particolare significato storico o emotivo per gli acquirenti. </w:t>
      </w:r>
    </w:p>
    <w:p w14:paraId="3296F99C" w14:textId="3CE1FA03" w:rsidR="000B3239" w:rsidRDefault="000B3239" w:rsidP="00094F9B">
      <w:pPr>
        <w:jc w:val="both"/>
        <w:rPr>
          <w:lang w:val="it-IT"/>
        </w:rPr>
      </w:pPr>
      <w:r>
        <w:rPr>
          <w:lang w:val="it-IT"/>
        </w:rPr>
        <w:t>Non è es</w:t>
      </w:r>
      <w:r w:rsidR="00232A5D">
        <w:rPr>
          <w:lang w:val="it-IT"/>
        </w:rPr>
        <w:t>cluso che a volte la domanda possa</w:t>
      </w:r>
      <w:r>
        <w:rPr>
          <w:lang w:val="it-IT"/>
        </w:rPr>
        <w:t xml:space="preserve"> essere un misto delle due.</w:t>
      </w:r>
    </w:p>
    <w:p w14:paraId="363F22F6" w14:textId="15F88A49" w:rsidR="006859DF" w:rsidRDefault="006859DF" w:rsidP="00094F9B">
      <w:pPr>
        <w:jc w:val="both"/>
        <w:rPr>
          <w:lang w:val="it-IT"/>
        </w:rPr>
      </w:pPr>
      <w:r>
        <w:rPr>
          <w:lang w:val="it-IT"/>
        </w:rPr>
        <w:t xml:space="preserve">Già da questa prima differenziazione si riesce ad intuire l’unicità dei beni immobili che viene definita da numerose variabili, tra cui, in modo preponderante, la loro locazione. </w:t>
      </w:r>
    </w:p>
    <w:p w14:paraId="7ADDC1A5" w14:textId="1A2DE750" w:rsidR="00F51F4A" w:rsidRDefault="00F51F4A" w:rsidP="00094F9B">
      <w:pPr>
        <w:jc w:val="both"/>
        <w:rPr>
          <w:lang w:val="it-IT"/>
        </w:rPr>
      </w:pPr>
      <w:r>
        <w:rPr>
          <w:lang w:val="it-IT"/>
        </w:rPr>
        <w:t xml:space="preserve">Con lo svilupparsi dell’industria finanziaria, il mercato immobiliare è diventato un importante strumento di investimento e speculazione. </w:t>
      </w:r>
    </w:p>
    <w:p w14:paraId="392FEF49" w14:textId="7126BC06" w:rsidR="006859DF" w:rsidRDefault="00F65127" w:rsidP="00094F9B">
      <w:pPr>
        <w:pStyle w:val="Heading2"/>
        <w:jc w:val="both"/>
        <w:rPr>
          <w:lang w:val="it-IT"/>
        </w:rPr>
      </w:pPr>
      <w:bookmarkStart w:id="2" w:name="_Toc100246222"/>
      <w:r>
        <w:rPr>
          <w:lang w:val="it-IT"/>
        </w:rPr>
        <w:t>Sottomercati immobiliari</w:t>
      </w:r>
      <w:bookmarkEnd w:id="2"/>
    </w:p>
    <w:p w14:paraId="147CF9B0" w14:textId="198391A2" w:rsidR="00F65127" w:rsidRDefault="00F65127" w:rsidP="00094F9B">
      <w:pPr>
        <w:jc w:val="both"/>
        <w:rPr>
          <w:lang w:val="it-IT"/>
        </w:rPr>
      </w:pPr>
    </w:p>
    <w:p w14:paraId="07ECF5C4" w14:textId="4F5049F4" w:rsidR="00D80F5F" w:rsidRDefault="00F65127" w:rsidP="00094F9B">
      <w:pPr>
        <w:jc w:val="both"/>
        <w:rPr>
          <w:lang w:val="it-IT"/>
        </w:rPr>
      </w:pPr>
      <w:r>
        <w:rPr>
          <w:lang w:val="it-IT"/>
        </w:rPr>
        <w:t>La domanda derivata per il RE è la regola, non l’eccezione</w:t>
      </w:r>
      <w:r w:rsidR="00282F77">
        <w:rPr>
          <w:lang w:val="it-IT"/>
        </w:rPr>
        <w:t xml:space="preserve">. La conseguenza </w:t>
      </w:r>
      <w:r w:rsidR="009B1538">
        <w:rPr>
          <w:lang w:val="it-IT"/>
        </w:rPr>
        <w:t>che ne deriva è la creazione di</w:t>
      </w:r>
      <w:r w:rsidR="00282F77">
        <w:rPr>
          <w:lang w:val="it-IT"/>
        </w:rPr>
        <w:t xml:space="preserve"> “sottomercati” </w:t>
      </w:r>
      <w:r w:rsidR="009B1538">
        <w:rPr>
          <w:lang w:val="it-IT"/>
        </w:rPr>
        <w:t>in competizione</w:t>
      </w:r>
      <w:r w:rsidR="00282F77">
        <w:rPr>
          <w:lang w:val="it-IT"/>
        </w:rPr>
        <w:t xml:space="preserve"> fra di loro. Ad esempio, il suolo agricolo è in </w:t>
      </w:r>
      <w:r w:rsidR="00071BFD">
        <w:rPr>
          <w:lang w:val="it-IT"/>
        </w:rPr>
        <w:t>concorrenza</w:t>
      </w:r>
      <w:r w:rsidR="00282F77">
        <w:rPr>
          <w:lang w:val="it-IT"/>
        </w:rPr>
        <w:t xml:space="preserve"> con quello </w:t>
      </w:r>
      <w:r w:rsidR="00282F77">
        <w:rPr>
          <w:lang w:val="it-IT"/>
        </w:rPr>
        <w:lastRenderedPageBreak/>
        <w:t>residenziale, commerciale ed industriale. Questo perché la quantità</w:t>
      </w:r>
      <w:r w:rsidR="00071BFD">
        <w:rPr>
          <w:lang w:val="it-IT"/>
        </w:rPr>
        <w:t xml:space="preserve"> di suolo disponibile è limitata</w:t>
      </w:r>
      <w:r w:rsidR="00D80F5F">
        <w:rPr>
          <w:lang w:val="it-IT"/>
        </w:rPr>
        <w:t xml:space="preserve"> e per sua natura è escludibile e rivale</w:t>
      </w:r>
      <w:r w:rsidR="00071BFD">
        <w:rPr>
          <w:lang w:val="it-IT"/>
        </w:rPr>
        <w:t>, pertanto, il valore</w:t>
      </w:r>
      <w:r w:rsidR="00D80F5F">
        <w:rPr>
          <w:lang w:val="it-IT"/>
        </w:rPr>
        <w:t xml:space="preserve"> </w:t>
      </w:r>
      <w:r w:rsidR="00CA3EA6">
        <w:rPr>
          <w:lang w:val="it-IT"/>
        </w:rPr>
        <w:t>del</w:t>
      </w:r>
      <w:r w:rsidR="00D80F5F">
        <w:rPr>
          <w:lang w:val="it-IT"/>
        </w:rPr>
        <w:t xml:space="preserve"> suolo viene determinato in base al prezzo pi</w:t>
      </w:r>
      <w:r w:rsidR="004B4DD1">
        <w:rPr>
          <w:lang w:val="it-IT"/>
        </w:rPr>
        <w:t xml:space="preserve">ù alto pagabile per il suo miglior uso. </w:t>
      </w:r>
    </w:p>
    <w:p w14:paraId="60E0E7C3" w14:textId="017DF0C2" w:rsidR="00A25361" w:rsidRDefault="00A25361" w:rsidP="00094F9B">
      <w:pPr>
        <w:jc w:val="both"/>
        <w:rPr>
          <w:lang w:val="it-IT"/>
        </w:rPr>
      </w:pPr>
      <w:r>
        <w:rPr>
          <w:lang w:val="it-IT"/>
        </w:rPr>
        <w:t xml:space="preserve">Le specifiche caratteristiche di un suolo/terreno determinano poi la creazione di ulteriori sottomercati. </w:t>
      </w:r>
    </w:p>
    <w:p w14:paraId="5789F461" w14:textId="754132B6" w:rsidR="00A25361" w:rsidRDefault="00A25361" w:rsidP="00094F9B">
      <w:pPr>
        <w:jc w:val="both"/>
        <w:rPr>
          <w:lang w:val="it-IT"/>
        </w:rPr>
      </w:pPr>
      <w:r>
        <w:rPr>
          <w:lang w:val="it-IT"/>
        </w:rPr>
        <w:t>Si pensi alla differenza tra edifici locati in centro città piuttosto a quelli locati in periferia o la differenza tra edifici nuovi ed edifici storici.</w:t>
      </w:r>
    </w:p>
    <w:p w14:paraId="1548AC8C" w14:textId="17F60D77" w:rsidR="00A25361" w:rsidRDefault="00A25361" w:rsidP="00094F9B">
      <w:pPr>
        <w:jc w:val="both"/>
        <w:rPr>
          <w:lang w:val="it-IT"/>
        </w:rPr>
      </w:pPr>
      <w:r>
        <w:rPr>
          <w:lang w:val="it-IT"/>
        </w:rPr>
        <w:t xml:space="preserve">Un’ultima tipologia di sottomercato viene definita dai diversi tipi di diritti sugli immobili, si pensi alla differenza tra proprietà, usufrutto o un semplice contratto di locazione. </w:t>
      </w:r>
    </w:p>
    <w:p w14:paraId="23F4D1CF" w14:textId="34A4A370" w:rsidR="00A25361" w:rsidRDefault="00444963" w:rsidP="00094F9B">
      <w:pPr>
        <w:jc w:val="both"/>
        <w:rPr>
          <w:lang w:val="it-IT"/>
        </w:rPr>
      </w:pPr>
      <w:r>
        <w:rPr>
          <w:lang w:val="it-IT"/>
        </w:rPr>
        <w:t xml:space="preserve">Fino ad un certo grado, la presenza di questi sottomercati è sintomo dell’imperfezione del mercato immobiliare. Costi di transazione elevati, </w:t>
      </w:r>
      <w:r w:rsidR="00D72DE4">
        <w:rPr>
          <w:lang w:val="it-IT"/>
        </w:rPr>
        <w:t xml:space="preserve">i costi di trasloco, l’asimmetria informativa e l’offerta inelastica non sono del tutto eliminabili. </w:t>
      </w:r>
    </w:p>
    <w:p w14:paraId="2B1EC2E6" w14:textId="564F2E05" w:rsidR="00FC47D7" w:rsidRDefault="00FC47D7" w:rsidP="00094F9B">
      <w:pPr>
        <w:jc w:val="both"/>
        <w:rPr>
          <w:lang w:val="it-IT"/>
        </w:rPr>
      </w:pPr>
      <w:r>
        <w:rPr>
          <w:lang w:val="it-IT"/>
        </w:rPr>
        <w:t>La suddivisione del mercato immobiliare comprende tipicamente tre comparti:</w:t>
      </w:r>
    </w:p>
    <w:p w14:paraId="0BC5E39B" w14:textId="77777777" w:rsidR="00FC47D7" w:rsidRDefault="00FC47D7" w:rsidP="005879DB">
      <w:pPr>
        <w:pStyle w:val="ListParagraph"/>
        <w:numPr>
          <w:ilvl w:val="0"/>
          <w:numId w:val="2"/>
        </w:numPr>
        <w:jc w:val="both"/>
        <w:rPr>
          <w:lang w:val="it-IT"/>
        </w:rPr>
      </w:pPr>
      <w:r w:rsidRPr="00FC47D7">
        <w:rPr>
          <w:b/>
          <w:lang w:val="it-IT"/>
        </w:rPr>
        <w:t>Residential</w:t>
      </w:r>
      <w:r>
        <w:rPr>
          <w:lang w:val="it-IT"/>
        </w:rPr>
        <w:t>: Edifici ad uso abitativo o non imprenditoriale</w:t>
      </w:r>
    </w:p>
    <w:p w14:paraId="6719C239" w14:textId="49D1AC25" w:rsidR="00FC47D7" w:rsidRPr="00FC47D7" w:rsidRDefault="00FC47D7" w:rsidP="005879DB">
      <w:pPr>
        <w:pStyle w:val="ListParagraph"/>
        <w:numPr>
          <w:ilvl w:val="0"/>
          <w:numId w:val="2"/>
        </w:numPr>
        <w:jc w:val="both"/>
        <w:rPr>
          <w:lang w:val="it-IT"/>
        </w:rPr>
      </w:pPr>
      <w:r w:rsidRPr="00FC47D7">
        <w:rPr>
          <w:b/>
          <w:lang w:val="it-IT"/>
        </w:rPr>
        <w:t>Industrial</w:t>
      </w:r>
      <w:r w:rsidRPr="00FC47D7">
        <w:rPr>
          <w:lang w:val="it-IT"/>
        </w:rPr>
        <w:t xml:space="preserve">: Edifici destinati ad attività produttive, stoccaggio o logistica. </w:t>
      </w:r>
    </w:p>
    <w:p w14:paraId="094AEF86" w14:textId="1A9F9927" w:rsidR="00FC47D7" w:rsidRPr="00FC47D7" w:rsidRDefault="00FC47D7" w:rsidP="005879DB">
      <w:pPr>
        <w:pStyle w:val="ListParagraph"/>
        <w:numPr>
          <w:ilvl w:val="0"/>
          <w:numId w:val="2"/>
        </w:numPr>
        <w:jc w:val="both"/>
        <w:rPr>
          <w:lang w:val="it-IT"/>
        </w:rPr>
      </w:pPr>
      <w:r>
        <w:rPr>
          <w:b/>
          <w:lang w:val="it-IT"/>
        </w:rPr>
        <w:t>Commercial</w:t>
      </w:r>
      <w:r w:rsidRPr="00FC47D7">
        <w:rPr>
          <w:b/>
          <w:lang w:val="it-IT"/>
        </w:rPr>
        <w:t>:</w:t>
      </w:r>
      <w:r>
        <w:rPr>
          <w:lang w:val="it-IT"/>
        </w:rPr>
        <w:t xml:space="preserve"> Uffici, Negozi Retail, Hotels</w:t>
      </w:r>
    </w:p>
    <w:p w14:paraId="4A416268" w14:textId="7B0C49AF" w:rsidR="00FC47D7" w:rsidRDefault="00FC47D7" w:rsidP="00094F9B">
      <w:pPr>
        <w:jc w:val="center"/>
        <w:rPr>
          <w:lang w:val="it-IT"/>
        </w:rPr>
      </w:pPr>
      <w:r>
        <w:rPr>
          <w:noProof/>
        </w:rPr>
        <w:drawing>
          <wp:inline distT="0" distB="0" distL="0" distR="0" wp14:anchorId="6E0F34C7" wp14:editId="12712AF2">
            <wp:extent cx="2964144" cy="1419860"/>
            <wp:effectExtent l="0" t="0" r="825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5022" t="24266" r="26532" b="32473"/>
                    <a:stretch/>
                  </pic:blipFill>
                  <pic:spPr bwMode="auto">
                    <a:xfrm>
                      <a:off x="0" y="0"/>
                      <a:ext cx="2964969" cy="1420255"/>
                    </a:xfrm>
                    <a:prstGeom prst="rect">
                      <a:avLst/>
                    </a:prstGeom>
                    <a:ln>
                      <a:noFill/>
                    </a:ln>
                    <a:extLst>
                      <a:ext uri="{53640926-AAD7-44D8-BBD7-CCE9431645EC}">
                        <a14:shadowObscured xmlns:a14="http://schemas.microsoft.com/office/drawing/2010/main"/>
                      </a:ext>
                    </a:extLst>
                  </pic:spPr>
                </pic:pic>
              </a:graphicData>
            </a:graphic>
          </wp:inline>
        </w:drawing>
      </w:r>
    </w:p>
    <w:p w14:paraId="2173AB26" w14:textId="0CB4BCD6" w:rsidR="00FC47D7" w:rsidRDefault="00FC47D7" w:rsidP="00F8392B">
      <w:pPr>
        <w:jc w:val="center"/>
        <w:rPr>
          <w:lang w:val="it-IT"/>
        </w:rPr>
      </w:pPr>
      <w:r>
        <w:rPr>
          <w:lang w:val="it-IT"/>
        </w:rPr>
        <w:t>Figura 1: Diversificazione delle asset class</w:t>
      </w:r>
      <w:r w:rsidR="000253AF">
        <w:rPr>
          <w:rStyle w:val="FootnoteReference"/>
          <w:lang w:val="it-IT"/>
        </w:rPr>
        <w:footnoteReference w:id="4"/>
      </w:r>
    </w:p>
    <w:p w14:paraId="1D4344D0" w14:textId="77777777" w:rsidR="00FC47D7" w:rsidRPr="00F65127" w:rsidRDefault="00FC47D7" w:rsidP="00094F9B">
      <w:pPr>
        <w:jc w:val="both"/>
        <w:rPr>
          <w:lang w:val="it-IT"/>
        </w:rPr>
      </w:pPr>
    </w:p>
    <w:p w14:paraId="49462837" w14:textId="451C2CCE" w:rsidR="006859DF" w:rsidRDefault="00A641D2" w:rsidP="00094F9B">
      <w:pPr>
        <w:pStyle w:val="Heading2"/>
        <w:jc w:val="both"/>
        <w:rPr>
          <w:lang w:val="it-IT"/>
        </w:rPr>
      </w:pPr>
      <w:bookmarkStart w:id="3" w:name="_Toc100246223"/>
      <w:r>
        <w:rPr>
          <w:lang w:val="it-IT"/>
        </w:rPr>
        <w:t>Inelasticità dell’offerta</w:t>
      </w:r>
      <w:bookmarkEnd w:id="3"/>
    </w:p>
    <w:p w14:paraId="35D78129" w14:textId="2782E1A8" w:rsidR="00B336D4" w:rsidRDefault="00B336D4" w:rsidP="00094F9B">
      <w:pPr>
        <w:jc w:val="both"/>
        <w:rPr>
          <w:lang w:val="it-IT"/>
        </w:rPr>
      </w:pPr>
    </w:p>
    <w:p w14:paraId="6317A2C0" w14:textId="52227B1C" w:rsidR="00B336D4" w:rsidRDefault="00B336D4" w:rsidP="00094F9B">
      <w:pPr>
        <w:jc w:val="both"/>
        <w:rPr>
          <w:lang w:val="it-IT"/>
        </w:rPr>
      </w:pPr>
      <w:r>
        <w:rPr>
          <w:lang w:val="it-IT"/>
        </w:rPr>
        <w:t xml:space="preserve">L’offerta di immobili è limitata dalla disponibilità di suolo e da una pesante regolamentazione urbanistica. La conseguenza è che il mercato immobiliare è un esempio di monopolio competitivo in cui l’offerta è sostanzialmente inelastica. </w:t>
      </w:r>
    </w:p>
    <w:p w14:paraId="0FD9D4B7" w14:textId="5F07DF33" w:rsidR="00B336D4" w:rsidRDefault="00B336D4" w:rsidP="00094F9B">
      <w:pPr>
        <w:jc w:val="center"/>
        <w:rPr>
          <w:lang w:val="it-IT"/>
        </w:rPr>
      </w:pPr>
      <w:r>
        <w:rPr>
          <w:noProof/>
        </w:rPr>
        <w:lastRenderedPageBreak/>
        <w:drawing>
          <wp:inline distT="0" distB="0" distL="0" distR="0" wp14:anchorId="419A12F2" wp14:editId="50CEF67C">
            <wp:extent cx="3759200" cy="2076450"/>
            <wp:effectExtent l="0" t="0" r="0" b="0"/>
            <wp:docPr id="1" name="Picture 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low confidence"/>
                    <pic:cNvPicPr/>
                  </pic:nvPicPr>
                  <pic:blipFill rotWithShape="1">
                    <a:blip r:embed="rId9"/>
                    <a:srcRect l="24279" t="44356" r="14298" b="28933"/>
                    <a:stretch/>
                  </pic:blipFill>
                  <pic:spPr bwMode="auto">
                    <a:xfrm>
                      <a:off x="0" y="0"/>
                      <a:ext cx="3759200" cy="2076450"/>
                    </a:xfrm>
                    <a:prstGeom prst="rect">
                      <a:avLst/>
                    </a:prstGeom>
                    <a:ln>
                      <a:noFill/>
                    </a:ln>
                    <a:extLst>
                      <a:ext uri="{53640926-AAD7-44D8-BBD7-CCE9431645EC}">
                        <a14:shadowObscured xmlns:a14="http://schemas.microsoft.com/office/drawing/2010/main"/>
                      </a:ext>
                    </a:extLst>
                  </pic:spPr>
                </pic:pic>
              </a:graphicData>
            </a:graphic>
          </wp:inline>
        </w:drawing>
      </w:r>
    </w:p>
    <w:p w14:paraId="3FC0418E" w14:textId="1BAC1D78" w:rsidR="00086211" w:rsidRDefault="00086211" w:rsidP="00F8392B">
      <w:pPr>
        <w:jc w:val="center"/>
        <w:rPr>
          <w:lang w:val="it-IT"/>
        </w:rPr>
      </w:pPr>
      <w:r>
        <w:rPr>
          <w:lang w:val="it-IT"/>
        </w:rPr>
        <w:t>Figura 2: Un incremento nella domanda da D</w:t>
      </w:r>
      <w:r>
        <w:rPr>
          <w:vertAlign w:val="subscript"/>
          <w:lang w:val="it-IT"/>
        </w:rPr>
        <w:t>1</w:t>
      </w:r>
      <w:r>
        <w:rPr>
          <w:lang w:val="it-IT"/>
        </w:rPr>
        <w:t xml:space="preserve"> a D</w:t>
      </w:r>
      <w:r>
        <w:rPr>
          <w:vertAlign w:val="subscript"/>
          <w:lang w:val="it-IT"/>
        </w:rPr>
        <w:t>2</w:t>
      </w:r>
      <w:r>
        <w:rPr>
          <w:lang w:val="it-IT"/>
        </w:rPr>
        <w:t xml:space="preserve"> causa un innalzamento dei prezzi da P</w:t>
      </w:r>
      <w:r>
        <w:rPr>
          <w:vertAlign w:val="subscript"/>
          <w:lang w:val="it-IT"/>
        </w:rPr>
        <w:t>1</w:t>
      </w:r>
      <w:r>
        <w:rPr>
          <w:lang w:val="it-IT"/>
        </w:rPr>
        <w:t xml:space="preserve"> a P</w:t>
      </w:r>
      <w:r>
        <w:rPr>
          <w:vertAlign w:val="subscript"/>
          <w:lang w:val="it-IT"/>
        </w:rPr>
        <w:t>2</w:t>
      </w:r>
      <w:r>
        <w:rPr>
          <w:lang w:val="it-IT"/>
        </w:rPr>
        <w:t xml:space="preserve"> quando l’offerta è perfettamente inelastica (S</w:t>
      </w:r>
      <w:r>
        <w:rPr>
          <w:vertAlign w:val="subscript"/>
          <w:lang w:val="it-IT"/>
        </w:rPr>
        <w:t>pin</w:t>
      </w:r>
      <w:r>
        <w:rPr>
          <w:lang w:val="it-IT"/>
        </w:rPr>
        <w:t>) o da P</w:t>
      </w:r>
      <w:r>
        <w:rPr>
          <w:vertAlign w:val="subscript"/>
          <w:lang w:val="it-IT"/>
        </w:rPr>
        <w:t xml:space="preserve">1 </w:t>
      </w:r>
      <w:r>
        <w:rPr>
          <w:lang w:val="it-IT"/>
        </w:rPr>
        <w:t>a P</w:t>
      </w:r>
      <w:r>
        <w:rPr>
          <w:vertAlign w:val="subscript"/>
          <w:lang w:val="it-IT"/>
        </w:rPr>
        <w:t>3</w:t>
      </w:r>
      <w:r>
        <w:rPr>
          <w:lang w:val="it-IT"/>
        </w:rPr>
        <w:t xml:space="preserve"> quando è imperfettamente inelastica </w:t>
      </w:r>
      <w:bookmarkStart w:id="4" w:name="_Hlk98079791"/>
      <w:r>
        <w:rPr>
          <w:lang w:val="it-IT"/>
        </w:rPr>
        <w:t>(S</w:t>
      </w:r>
      <w:r>
        <w:rPr>
          <w:vertAlign w:val="subscript"/>
          <w:lang w:val="it-IT"/>
        </w:rPr>
        <w:t>impin</w:t>
      </w:r>
      <w:r>
        <w:rPr>
          <w:lang w:val="it-IT"/>
        </w:rPr>
        <w:t>)</w:t>
      </w:r>
      <w:bookmarkEnd w:id="4"/>
    </w:p>
    <w:p w14:paraId="32B8B44C" w14:textId="1A55030E" w:rsidR="00127FFE" w:rsidRPr="00127FFE" w:rsidRDefault="00420145" w:rsidP="00094F9B">
      <w:pPr>
        <w:jc w:val="both"/>
        <w:rPr>
          <w:lang w:val="it-IT"/>
        </w:rPr>
      </w:pPr>
      <w:r w:rsidRPr="00F43032">
        <w:rPr>
          <w:lang w:val="it-IT"/>
        </w:rPr>
        <w:t>In Figura 2</w:t>
      </w:r>
      <w:r w:rsidR="00F43032" w:rsidRPr="00F43032">
        <w:rPr>
          <w:lang w:val="it-IT"/>
        </w:rPr>
        <w:t>, L</w:t>
      </w:r>
      <w:r w:rsidR="00F43032" w:rsidRPr="00B83766">
        <w:rPr>
          <w:vertAlign w:val="subscript"/>
          <w:lang w:val="it-IT"/>
        </w:rPr>
        <w:t>1</w:t>
      </w:r>
      <w:r w:rsidR="00F43032" w:rsidRPr="00F43032">
        <w:rPr>
          <w:lang w:val="it-IT"/>
        </w:rPr>
        <w:t xml:space="preserve"> e L</w:t>
      </w:r>
      <w:r w:rsidR="00F43032" w:rsidRPr="00B83766">
        <w:rPr>
          <w:vertAlign w:val="subscript"/>
          <w:lang w:val="it-IT"/>
        </w:rPr>
        <w:t>2</w:t>
      </w:r>
      <w:r w:rsidR="00F43032">
        <w:rPr>
          <w:lang w:val="it-IT"/>
        </w:rPr>
        <w:t xml:space="preserve"> sono costruite in modo che, anche a prezzo zero, esisterà sempre una certa quantità di terreno/superfice edificabile. </w:t>
      </w:r>
      <w:r w:rsidR="00F43032" w:rsidRPr="00F43032">
        <w:rPr>
          <w:lang w:val="it-IT"/>
        </w:rPr>
        <w:t xml:space="preserve">Nel caso in cui la curva di offerta di </w:t>
      </w:r>
      <w:r w:rsidR="00F43032">
        <w:rPr>
          <w:lang w:val="it-IT"/>
        </w:rPr>
        <w:t xml:space="preserve">terreno fosse imperfettamente inelastica </w:t>
      </w:r>
      <w:r w:rsidR="00F43032" w:rsidRPr="00F43032">
        <w:rPr>
          <w:lang w:val="it-IT"/>
        </w:rPr>
        <w:t>(S</w:t>
      </w:r>
      <w:r w:rsidR="00F43032" w:rsidRPr="00F43032">
        <w:rPr>
          <w:vertAlign w:val="subscript"/>
          <w:lang w:val="it-IT"/>
        </w:rPr>
        <w:t>impin</w:t>
      </w:r>
      <w:r w:rsidR="00F43032" w:rsidRPr="00F43032">
        <w:rPr>
          <w:lang w:val="it-IT"/>
        </w:rPr>
        <w:t>)</w:t>
      </w:r>
      <w:r w:rsidR="00F43032">
        <w:rPr>
          <w:lang w:val="it-IT"/>
        </w:rPr>
        <w:t xml:space="preserve"> all’aumentare dei prezzi aumenta </w:t>
      </w:r>
      <w:r w:rsidR="00955BF8">
        <w:rPr>
          <w:lang w:val="it-IT"/>
        </w:rPr>
        <w:t xml:space="preserve">un aumento del consumo di terreno meno che proporzionale. </w:t>
      </w:r>
      <w:r w:rsidR="00955BF8" w:rsidRPr="00955BF8">
        <w:rPr>
          <w:lang w:val="it-IT"/>
        </w:rPr>
        <w:t>Nel caso invece di S</w:t>
      </w:r>
      <w:r w:rsidR="00955BF8" w:rsidRPr="00955BF8">
        <w:rPr>
          <w:vertAlign w:val="subscript"/>
          <w:lang w:val="it-IT"/>
        </w:rPr>
        <w:t>pin</w:t>
      </w:r>
      <w:r w:rsidR="00955BF8">
        <w:rPr>
          <w:vertAlign w:val="subscript"/>
          <w:lang w:val="it-IT"/>
        </w:rPr>
        <w:t xml:space="preserve"> </w:t>
      </w:r>
      <w:r w:rsidR="00955BF8">
        <w:rPr>
          <w:lang w:val="it-IT"/>
        </w:rPr>
        <w:t xml:space="preserve">all’aumentare dei prezzi non aumenta l’offerta di terreno. </w:t>
      </w:r>
    </w:p>
    <w:p w14:paraId="598682FD" w14:textId="4A62E343" w:rsidR="00086211" w:rsidRDefault="00086211" w:rsidP="00094F9B">
      <w:pPr>
        <w:pStyle w:val="Heading2"/>
        <w:jc w:val="both"/>
        <w:rPr>
          <w:lang w:val="it-IT"/>
        </w:rPr>
      </w:pPr>
      <w:bookmarkStart w:id="5" w:name="_Toc100246224"/>
      <w:r>
        <w:rPr>
          <w:lang w:val="it-IT"/>
        </w:rPr>
        <w:t>Caratteristiche del mercato immobiliare</w:t>
      </w:r>
      <w:bookmarkEnd w:id="5"/>
    </w:p>
    <w:p w14:paraId="4EB55D80" w14:textId="77777777" w:rsidR="00071BFD" w:rsidRPr="00071BFD" w:rsidRDefault="00071BFD" w:rsidP="00071BFD">
      <w:pPr>
        <w:rPr>
          <w:lang w:val="it-IT"/>
        </w:rPr>
      </w:pPr>
    </w:p>
    <w:p w14:paraId="315C1B5A" w14:textId="288CC825" w:rsidR="00094F9B" w:rsidRDefault="00AA6073" w:rsidP="00094F9B">
      <w:pPr>
        <w:jc w:val="both"/>
        <w:rPr>
          <w:lang w:val="it-IT"/>
        </w:rPr>
      </w:pPr>
      <w:r>
        <w:rPr>
          <w:lang w:val="it-IT"/>
        </w:rPr>
        <w:t>Il mercato immobiliare ha delle sue particolarità che lo distinguono dagli altri:</w:t>
      </w:r>
    </w:p>
    <w:p w14:paraId="3BE6F920" w14:textId="17BF5374" w:rsidR="00AA6073" w:rsidRDefault="00AA6073" w:rsidP="005879DB">
      <w:pPr>
        <w:pStyle w:val="ListParagraph"/>
        <w:numPr>
          <w:ilvl w:val="0"/>
          <w:numId w:val="11"/>
        </w:numPr>
        <w:jc w:val="both"/>
        <w:rPr>
          <w:lang w:val="it-IT"/>
        </w:rPr>
      </w:pPr>
      <w:r>
        <w:rPr>
          <w:lang w:val="it-IT"/>
        </w:rPr>
        <w:t>RE non è un prodotto omogeneo: I vari immobili differiscono l’uno dall’altro non solo per caratteristiche edilizie ma soprattutto per la location</w:t>
      </w:r>
    </w:p>
    <w:p w14:paraId="21F1380C" w14:textId="28DAF04D" w:rsidR="00AA6073" w:rsidRDefault="006B583F" w:rsidP="005879DB">
      <w:pPr>
        <w:pStyle w:val="ListParagraph"/>
        <w:numPr>
          <w:ilvl w:val="0"/>
          <w:numId w:val="11"/>
        </w:numPr>
        <w:jc w:val="both"/>
        <w:rPr>
          <w:lang w:val="it-IT"/>
        </w:rPr>
      </w:pPr>
      <w:r>
        <w:rPr>
          <w:lang w:val="it-IT"/>
        </w:rPr>
        <w:t xml:space="preserve">L’eterogeneità del mercato e la sua decentralizzazione rende difficile ottenere informazioni accurate per valutare gli asset. </w:t>
      </w:r>
    </w:p>
    <w:p w14:paraId="72417730" w14:textId="31417411" w:rsidR="00781F9B" w:rsidRDefault="00781F9B" w:rsidP="005879DB">
      <w:pPr>
        <w:pStyle w:val="ListParagraph"/>
        <w:numPr>
          <w:ilvl w:val="0"/>
          <w:numId w:val="11"/>
        </w:numPr>
        <w:jc w:val="both"/>
        <w:rPr>
          <w:lang w:val="it-IT"/>
        </w:rPr>
      </w:pPr>
      <w:r>
        <w:rPr>
          <w:lang w:val="it-IT"/>
        </w:rPr>
        <w:t>Definito come mercato monopolistico-competitivo</w:t>
      </w:r>
    </w:p>
    <w:p w14:paraId="370E7F4D" w14:textId="27D9A9BC" w:rsidR="00781F9B" w:rsidRDefault="00781F9B" w:rsidP="005879DB">
      <w:pPr>
        <w:pStyle w:val="ListParagraph"/>
        <w:numPr>
          <w:ilvl w:val="0"/>
          <w:numId w:val="11"/>
        </w:numPr>
        <w:jc w:val="both"/>
        <w:rPr>
          <w:lang w:val="it-IT"/>
        </w:rPr>
      </w:pPr>
      <w:r>
        <w:rPr>
          <w:lang w:val="it-IT"/>
        </w:rPr>
        <w:t>Pesantemente regolamentato</w:t>
      </w:r>
    </w:p>
    <w:p w14:paraId="64515841" w14:textId="58859D8F" w:rsidR="00781F9B" w:rsidRDefault="00781F9B" w:rsidP="005879DB">
      <w:pPr>
        <w:pStyle w:val="ListParagraph"/>
        <w:numPr>
          <w:ilvl w:val="0"/>
          <w:numId w:val="11"/>
        </w:numPr>
        <w:jc w:val="both"/>
        <w:rPr>
          <w:lang w:val="it-IT"/>
        </w:rPr>
      </w:pPr>
      <w:r>
        <w:rPr>
          <w:lang w:val="it-IT"/>
        </w:rPr>
        <w:t xml:space="preserve">Ad oggi è difficile suddividere la proprietà degli immobili. </w:t>
      </w:r>
    </w:p>
    <w:p w14:paraId="2F76C39C" w14:textId="4AA1445C" w:rsidR="00781F9B" w:rsidRDefault="00781F9B" w:rsidP="005879DB">
      <w:pPr>
        <w:pStyle w:val="ListParagraph"/>
        <w:numPr>
          <w:ilvl w:val="0"/>
          <w:numId w:val="11"/>
        </w:numPr>
        <w:jc w:val="both"/>
        <w:rPr>
          <w:lang w:val="it-IT"/>
        </w:rPr>
      </w:pPr>
      <w:r>
        <w:rPr>
          <w:lang w:val="it-IT"/>
        </w:rPr>
        <w:t>Caratterizzato da informazione imperfetta</w:t>
      </w:r>
    </w:p>
    <w:p w14:paraId="31A63D92" w14:textId="13150E51" w:rsidR="000253AF" w:rsidRDefault="000253AF" w:rsidP="00094F9B">
      <w:pPr>
        <w:pStyle w:val="Heading2"/>
        <w:jc w:val="both"/>
        <w:rPr>
          <w:lang w:val="it-IT"/>
        </w:rPr>
      </w:pPr>
      <w:bookmarkStart w:id="6" w:name="_Toc100246225"/>
      <w:r w:rsidRPr="000253AF">
        <w:rPr>
          <w:lang w:val="it-IT"/>
        </w:rPr>
        <w:t xml:space="preserve">Interazione tra </w:t>
      </w:r>
      <w:r>
        <w:rPr>
          <w:lang w:val="it-IT"/>
        </w:rPr>
        <w:t>mercato immobiliare ed economia</w:t>
      </w:r>
      <w:bookmarkEnd w:id="6"/>
    </w:p>
    <w:p w14:paraId="45A6E59B" w14:textId="6901BA8A" w:rsidR="000253AF" w:rsidRDefault="000253AF" w:rsidP="00094F9B">
      <w:pPr>
        <w:jc w:val="both"/>
        <w:rPr>
          <w:lang w:val="it-IT"/>
        </w:rPr>
      </w:pPr>
    </w:p>
    <w:p w14:paraId="025E272A" w14:textId="17AB9060" w:rsidR="000253AF" w:rsidRDefault="00086211" w:rsidP="00094F9B">
      <w:pPr>
        <w:jc w:val="center"/>
        <w:rPr>
          <w:lang w:val="it-IT"/>
        </w:rPr>
      </w:pPr>
      <w:r>
        <w:rPr>
          <w:noProof/>
        </w:rPr>
        <w:drawing>
          <wp:inline distT="0" distB="0" distL="0" distR="0" wp14:anchorId="689231C5" wp14:editId="49766B86">
            <wp:extent cx="3310709" cy="198120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4527" t="24267" r="11358" b="15363"/>
                    <a:stretch/>
                  </pic:blipFill>
                  <pic:spPr bwMode="auto">
                    <a:xfrm>
                      <a:off x="0" y="0"/>
                      <a:ext cx="3311940" cy="1981937"/>
                    </a:xfrm>
                    <a:prstGeom prst="rect">
                      <a:avLst/>
                    </a:prstGeom>
                    <a:ln>
                      <a:noFill/>
                    </a:ln>
                    <a:extLst>
                      <a:ext uri="{53640926-AAD7-44D8-BBD7-CCE9431645EC}">
                        <a14:shadowObscured xmlns:a14="http://schemas.microsoft.com/office/drawing/2010/main"/>
                      </a:ext>
                    </a:extLst>
                  </pic:spPr>
                </pic:pic>
              </a:graphicData>
            </a:graphic>
          </wp:inline>
        </w:drawing>
      </w:r>
    </w:p>
    <w:p w14:paraId="344230FE" w14:textId="0F158EFB" w:rsidR="00086211" w:rsidRDefault="00086211" w:rsidP="00F8392B">
      <w:pPr>
        <w:jc w:val="center"/>
        <w:rPr>
          <w:lang w:val="it-IT"/>
        </w:rPr>
      </w:pPr>
      <w:r>
        <w:rPr>
          <w:lang w:val="it-IT"/>
        </w:rPr>
        <w:t>Figura 3: Dall’interazione domanda-offerta al PIL e i mercati finanziari</w:t>
      </w:r>
    </w:p>
    <w:p w14:paraId="4533A0B1" w14:textId="43FAFFA8" w:rsidR="00094F9B" w:rsidRDefault="00094F9B" w:rsidP="00094F9B">
      <w:pPr>
        <w:jc w:val="both"/>
        <w:rPr>
          <w:lang w:val="it-IT"/>
        </w:rPr>
      </w:pPr>
      <w:r>
        <w:rPr>
          <w:lang w:val="it-IT"/>
        </w:rPr>
        <w:t xml:space="preserve">Il mercato immobiliare contribuisce significativamente sia al PIL che all’occupazione. </w:t>
      </w:r>
    </w:p>
    <w:p w14:paraId="68A88109" w14:textId="77777777" w:rsidR="00094F9B" w:rsidRDefault="00094F9B" w:rsidP="00094F9B">
      <w:pPr>
        <w:jc w:val="both"/>
        <w:rPr>
          <w:lang w:val="it-IT"/>
        </w:rPr>
      </w:pPr>
      <w:r>
        <w:rPr>
          <w:lang w:val="it-IT"/>
        </w:rPr>
        <w:lastRenderedPageBreak/>
        <w:t xml:space="preserve">La sua natura additiva implica che la spesa in RE contribuisce alla formazione del PIL per un fattore maggiore di uno. Quindi per ogni 10€ investiti, il PIL sale di un valore maggiore di 10€. </w:t>
      </w:r>
    </w:p>
    <w:p w14:paraId="236B3533" w14:textId="77777777" w:rsidR="00094F9B" w:rsidRDefault="00094F9B" w:rsidP="00094F9B">
      <w:pPr>
        <w:jc w:val="both"/>
        <w:rPr>
          <w:lang w:val="it-IT"/>
        </w:rPr>
      </w:pPr>
      <w:r>
        <w:rPr>
          <w:lang w:val="it-IT"/>
        </w:rPr>
        <w:t xml:space="preserve">Da notare che la natura moltiplicatrice è strettamente legata agli investimenti in RE e non ai flussi generati dagli affitti o dagli </w:t>
      </w:r>
      <w:r>
        <w:rPr>
          <w:i/>
          <w:lang w:val="it-IT"/>
        </w:rPr>
        <w:t xml:space="preserve">imputed rents </w:t>
      </w:r>
      <w:r>
        <w:rPr>
          <w:lang w:val="it-IT"/>
        </w:rPr>
        <w:t xml:space="preserve">(affitti potenziali, quelli che si genererebbero se i proprietari degli immobili pagassero un affitto). Questi ricavi (dal momento che gli affitti </w:t>
      </w:r>
      <w:r>
        <w:rPr>
          <w:i/>
          <w:lang w:val="it-IT"/>
        </w:rPr>
        <w:t>sono</w:t>
      </w:r>
      <w:r>
        <w:rPr>
          <w:lang w:val="it-IT"/>
        </w:rPr>
        <w:t xml:space="preserve"> dei ricavi) incrementano il PIL in maniera additiva senza creare processi produttivi (come le costruzioni) che si interconnettono ad altri processi produttivi (materiali per costruzioni e tutti i prodotti correlati) che invece inciderebbero sul PIL come moltiplicatori. </w:t>
      </w:r>
    </w:p>
    <w:p w14:paraId="62E4B3D3" w14:textId="77777777" w:rsidR="00094F9B" w:rsidRDefault="00094F9B" w:rsidP="00094F9B">
      <w:pPr>
        <w:jc w:val="both"/>
        <w:rPr>
          <w:lang w:val="it-IT"/>
        </w:rPr>
      </w:pPr>
      <w:r>
        <w:rPr>
          <w:lang w:val="it-IT"/>
        </w:rPr>
        <w:t>In generale il mercato immobiliare contribuisce al PIL e al livello di occupazione come segue:</w:t>
      </w:r>
    </w:p>
    <w:p w14:paraId="7AD39EBC" w14:textId="77777777" w:rsidR="00094F9B" w:rsidRDefault="00094F9B" w:rsidP="005879DB">
      <w:pPr>
        <w:pStyle w:val="ListParagraph"/>
        <w:numPr>
          <w:ilvl w:val="0"/>
          <w:numId w:val="3"/>
        </w:numPr>
        <w:jc w:val="both"/>
        <w:rPr>
          <w:lang w:val="it-IT"/>
        </w:rPr>
      </w:pPr>
      <w:r>
        <w:rPr>
          <w:lang w:val="it-IT"/>
        </w:rPr>
        <w:t>Valore aggiunto derivante da nuove costruzioni e ristrutturazioni. Questa attività genera occupazione per operai, ingegneri, architetti, designer, contabili, economisti, manager e altro staff di supporto</w:t>
      </w:r>
    </w:p>
    <w:p w14:paraId="237D8085" w14:textId="77777777" w:rsidR="00094F9B" w:rsidRDefault="00094F9B" w:rsidP="005879DB">
      <w:pPr>
        <w:pStyle w:val="ListParagraph"/>
        <w:numPr>
          <w:ilvl w:val="0"/>
          <w:numId w:val="3"/>
        </w:numPr>
        <w:jc w:val="both"/>
        <w:rPr>
          <w:lang w:val="it-IT"/>
        </w:rPr>
      </w:pPr>
      <w:r>
        <w:rPr>
          <w:lang w:val="it-IT"/>
        </w:rPr>
        <w:t>Valore aggiunto per le imprese che forniscono i progetti immobiliari di materiali e attrezzature</w:t>
      </w:r>
    </w:p>
    <w:p w14:paraId="20B8294A" w14:textId="77777777" w:rsidR="00094F9B" w:rsidRDefault="00094F9B" w:rsidP="005879DB">
      <w:pPr>
        <w:pStyle w:val="ListParagraph"/>
        <w:numPr>
          <w:ilvl w:val="0"/>
          <w:numId w:val="3"/>
        </w:numPr>
        <w:jc w:val="both"/>
        <w:rPr>
          <w:lang w:val="it-IT"/>
        </w:rPr>
      </w:pPr>
      <w:r>
        <w:rPr>
          <w:lang w:val="it-IT"/>
        </w:rPr>
        <w:t xml:space="preserve">Valore aggiunto per le imprese di intermediazione e gestione degli immobili come amministratori di condominio, agenti immobiliari, periti e notai. </w:t>
      </w:r>
    </w:p>
    <w:p w14:paraId="5414AD7C" w14:textId="208D3F3F" w:rsidR="00094F9B" w:rsidRDefault="00094F9B" w:rsidP="005879DB">
      <w:pPr>
        <w:pStyle w:val="ListParagraph"/>
        <w:numPr>
          <w:ilvl w:val="0"/>
          <w:numId w:val="3"/>
        </w:numPr>
        <w:jc w:val="both"/>
        <w:rPr>
          <w:lang w:val="it-IT"/>
        </w:rPr>
      </w:pPr>
      <w:r>
        <w:rPr>
          <w:lang w:val="it-IT"/>
        </w:rPr>
        <w:t>Valore aggiunto nella produzione di reddito derivante dagli affitti</w:t>
      </w:r>
    </w:p>
    <w:p w14:paraId="65C01812" w14:textId="77777777" w:rsidR="00453A55" w:rsidRPr="00453A55" w:rsidRDefault="00453A55" w:rsidP="00453A55">
      <w:pPr>
        <w:jc w:val="both"/>
        <w:rPr>
          <w:lang w:val="it-IT"/>
        </w:rPr>
      </w:pPr>
    </w:p>
    <w:p w14:paraId="3A846114" w14:textId="69971E31" w:rsidR="00094F9B" w:rsidRDefault="00094F9B" w:rsidP="00094F9B">
      <w:pPr>
        <w:jc w:val="center"/>
        <w:rPr>
          <w:lang w:val="it-IT"/>
        </w:rPr>
      </w:pPr>
      <w:r>
        <w:rPr>
          <w:noProof/>
        </w:rPr>
        <w:drawing>
          <wp:inline distT="0" distB="0" distL="0" distR="0" wp14:anchorId="11194456" wp14:editId="0CB2561F">
            <wp:extent cx="4572000" cy="2743200"/>
            <wp:effectExtent l="0" t="0" r="0"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91AF74B" w14:textId="122A637D" w:rsidR="00094F9B" w:rsidRDefault="00F8392B" w:rsidP="009A190D">
      <w:pPr>
        <w:jc w:val="center"/>
        <w:rPr>
          <w:lang w:val="it-IT"/>
        </w:rPr>
      </w:pPr>
      <w:r>
        <w:rPr>
          <w:lang w:val="it-IT"/>
        </w:rPr>
        <w:t xml:space="preserve">Figura 4: </w:t>
      </w:r>
      <w:r w:rsidRPr="00F8392B">
        <w:rPr>
          <w:lang w:val="it-IT"/>
        </w:rPr>
        <w:t>Quota di PIL relativa al RE</w:t>
      </w:r>
      <w:r w:rsidR="00453A55">
        <w:rPr>
          <w:lang w:val="it-IT"/>
        </w:rPr>
        <w:t xml:space="preserve"> - Italia 2020</w:t>
      </w:r>
      <w:r w:rsidR="009A7CA3">
        <w:rPr>
          <w:lang w:val="it-IT"/>
        </w:rPr>
        <w:t xml:space="preserve"> </w:t>
      </w:r>
      <w:r w:rsidR="009A7CA3">
        <w:rPr>
          <w:rStyle w:val="FootnoteReference"/>
          <w:lang w:val="it-IT"/>
        </w:rPr>
        <w:footnoteReference w:id="5"/>
      </w:r>
    </w:p>
    <w:p w14:paraId="599BE0B4" w14:textId="1508B114" w:rsidR="009A190D" w:rsidRDefault="009A190D" w:rsidP="009A190D">
      <w:pPr>
        <w:jc w:val="both"/>
        <w:rPr>
          <w:lang w:val="it-IT"/>
        </w:rPr>
      </w:pPr>
    </w:p>
    <w:p w14:paraId="7FEA06C4" w14:textId="3794B7CC" w:rsidR="009A190D" w:rsidRPr="00696B8D" w:rsidRDefault="009A190D" w:rsidP="00E449C2">
      <w:pPr>
        <w:pStyle w:val="Heading3"/>
        <w:jc w:val="both"/>
        <w:rPr>
          <w:lang w:val="it-IT"/>
        </w:rPr>
      </w:pPr>
      <w:bookmarkStart w:id="7" w:name="_Toc100246226"/>
      <w:r w:rsidRPr="00696B8D">
        <w:rPr>
          <w:lang w:val="it-IT"/>
        </w:rPr>
        <w:t>RE è demand-driven</w:t>
      </w:r>
      <w:bookmarkEnd w:id="7"/>
    </w:p>
    <w:p w14:paraId="0A42E0B4" w14:textId="78A011CD" w:rsidR="00DD26D7" w:rsidRDefault="00DD26D7" w:rsidP="00E449C2">
      <w:pPr>
        <w:jc w:val="both"/>
        <w:rPr>
          <w:lang w:val="it-IT"/>
        </w:rPr>
      </w:pPr>
      <w:r>
        <w:rPr>
          <w:lang w:val="it-IT"/>
        </w:rPr>
        <w:t xml:space="preserve">Come si sviluppa il mercato immobiliare? Cosa determina la variazione dell’offerta di immobili? Vi sono quattro possibili spiegazioni, non mutualmente escludibili, il cui fil-rouge è che l’offerta di immobili è prevalentemente demand-driven. </w:t>
      </w:r>
    </w:p>
    <w:p w14:paraId="31E00CC0" w14:textId="21432B14" w:rsidR="00DD26D7" w:rsidRDefault="00DD26D7" w:rsidP="00E449C2">
      <w:pPr>
        <w:pStyle w:val="Heading4"/>
        <w:jc w:val="both"/>
        <w:rPr>
          <w:lang w:val="it-IT"/>
        </w:rPr>
      </w:pPr>
      <w:r>
        <w:rPr>
          <w:lang w:val="it-IT"/>
        </w:rPr>
        <w:t xml:space="preserve">Investimento Utility-driven </w:t>
      </w:r>
    </w:p>
    <w:p w14:paraId="28D857AA" w14:textId="068E67AE" w:rsidR="00DD26D7" w:rsidRDefault="00DD26D7" w:rsidP="00E449C2">
      <w:pPr>
        <w:jc w:val="both"/>
        <w:rPr>
          <w:lang w:val="it-IT"/>
        </w:rPr>
      </w:pPr>
      <w:r>
        <w:rPr>
          <w:lang w:val="it-IT"/>
        </w:rPr>
        <w:t xml:space="preserve">La prima teoria è che l’offerta di immobili non raggiungerà l’equilibrio offerta-domanda fintanto che l’utilità che gli acquirenti ricavano dall’ultima unità di immobile eguaglia il prezzo. Quindi fintanto che l’utilità </w:t>
      </w:r>
      <w:r>
        <w:rPr>
          <w:lang w:val="it-IT"/>
        </w:rPr>
        <w:lastRenderedPageBreak/>
        <w:t xml:space="preserve">marginale (MU) per ogni unità immobiliare è maggiore del prezzo per la stessa, vi sarà domanda da soddisfare e quindi l’offerta dovrà adeguarsi. </w:t>
      </w:r>
    </w:p>
    <w:p w14:paraId="202C26F9" w14:textId="4DD1C1D0" w:rsidR="00E45A27" w:rsidRDefault="00E45A27" w:rsidP="00E449C2">
      <w:pPr>
        <w:jc w:val="both"/>
        <w:rPr>
          <w:lang w:val="it-IT"/>
        </w:rPr>
      </w:pPr>
      <w:r>
        <w:rPr>
          <w:lang w:val="it-IT"/>
        </w:rPr>
        <w:t>Per esempio, se vi è un incremento della popolazione l’utilità marginale dello stock esistente di immobili aumenterà più del prezzo di equilibrio P</w:t>
      </w:r>
      <w:r>
        <w:rPr>
          <w:vertAlign w:val="subscript"/>
          <w:lang w:val="it-IT"/>
        </w:rPr>
        <w:t>e</w:t>
      </w:r>
      <w:r>
        <w:rPr>
          <w:lang w:val="it-IT"/>
        </w:rPr>
        <w:t xml:space="preserve"> presente nello steady state precedente. </w:t>
      </w:r>
      <w:r w:rsidR="00E449C2">
        <w:rPr>
          <w:lang w:val="it-IT"/>
        </w:rPr>
        <w:t xml:space="preserve">A quel punto, le imprese di costruzioni, spinte dai prezzi più alti, pomperanno l’offerta costruendo nuovi immobili. </w:t>
      </w:r>
    </w:p>
    <w:p w14:paraId="030528B3" w14:textId="57638BE7" w:rsidR="00E449C2" w:rsidRDefault="00E449C2" w:rsidP="00E449C2">
      <w:pPr>
        <w:jc w:val="both"/>
        <w:rPr>
          <w:lang w:val="it-IT"/>
        </w:rPr>
      </w:pPr>
      <w:r>
        <w:rPr>
          <w:lang w:val="it-IT"/>
        </w:rPr>
        <w:t>Aumentando l’offerta di immobili, l’utilità marginale scende finchè non arriva ad un prezzo di equilibrio MU = P</w:t>
      </w:r>
      <w:r>
        <w:rPr>
          <w:vertAlign w:val="subscript"/>
          <w:lang w:val="it-IT"/>
        </w:rPr>
        <w:t>e</w:t>
      </w:r>
      <w:r>
        <w:rPr>
          <w:lang w:val="it-IT"/>
        </w:rPr>
        <w:t>.</w:t>
      </w:r>
    </w:p>
    <w:p w14:paraId="1345EC9A" w14:textId="17D7C94D" w:rsidR="00E45A27" w:rsidRDefault="00E449C2" w:rsidP="00F119F7">
      <w:pPr>
        <w:jc w:val="center"/>
        <w:rPr>
          <w:lang w:val="it-IT"/>
        </w:rPr>
      </w:pPr>
      <w:r>
        <w:rPr>
          <w:noProof/>
        </w:rPr>
        <w:drawing>
          <wp:inline distT="0" distB="0" distL="0" distR="0" wp14:anchorId="275ECF79" wp14:editId="389C942D">
            <wp:extent cx="3089159" cy="20978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8422" t="46315" r="21081" b="21724"/>
                    <a:stretch/>
                  </pic:blipFill>
                  <pic:spPr bwMode="auto">
                    <a:xfrm>
                      <a:off x="0" y="0"/>
                      <a:ext cx="3090460" cy="2098748"/>
                    </a:xfrm>
                    <a:prstGeom prst="rect">
                      <a:avLst/>
                    </a:prstGeom>
                    <a:ln>
                      <a:noFill/>
                    </a:ln>
                    <a:extLst>
                      <a:ext uri="{53640926-AAD7-44D8-BBD7-CCE9431645EC}">
                        <a14:shadowObscured xmlns:a14="http://schemas.microsoft.com/office/drawing/2010/main"/>
                      </a:ext>
                    </a:extLst>
                  </pic:spPr>
                </pic:pic>
              </a:graphicData>
            </a:graphic>
          </wp:inline>
        </w:drawing>
      </w:r>
    </w:p>
    <w:p w14:paraId="48F382B2" w14:textId="4B7063A8" w:rsidR="00E449C2" w:rsidRDefault="002E0EA3" w:rsidP="00F119F7">
      <w:pPr>
        <w:pStyle w:val="Heading4"/>
        <w:jc w:val="both"/>
        <w:rPr>
          <w:lang w:val="it-IT"/>
        </w:rPr>
      </w:pPr>
      <w:r>
        <w:rPr>
          <w:lang w:val="it-IT"/>
        </w:rPr>
        <w:t>q</w:t>
      </w:r>
      <w:r w:rsidR="00E449C2">
        <w:rPr>
          <w:lang w:val="it-IT"/>
        </w:rPr>
        <w:t xml:space="preserve"> di Tobin</w:t>
      </w:r>
    </w:p>
    <w:p w14:paraId="441B659B" w14:textId="6934FC59" w:rsidR="00E449C2" w:rsidRDefault="00E449C2" w:rsidP="00F119F7">
      <w:pPr>
        <w:jc w:val="both"/>
        <w:rPr>
          <w:lang w:val="it-IT"/>
        </w:rPr>
      </w:pPr>
      <w:r>
        <w:rPr>
          <w:lang w:val="it-IT"/>
        </w:rPr>
        <w:t xml:space="preserve">Una alternativa alla teoria precedente è quella secondo cui gli investimenti verranno intrapresi se il </w:t>
      </w:r>
      <w:r w:rsidR="00071BFD">
        <w:rPr>
          <w:lang w:val="it-IT"/>
        </w:rPr>
        <w:t>rapporto</w:t>
      </w:r>
      <w:r>
        <w:rPr>
          <w:lang w:val="it-IT"/>
        </w:rPr>
        <w:t xml:space="preserve"> tra i prezzi delle case e i costi di costruzione è maggiore di 1. Questa è l’applicazione al Real Estate della q di Tobin. Nella formulazione tipica, il numeratore è il </w:t>
      </w:r>
      <w:r w:rsidRPr="00E449C2">
        <w:rPr>
          <w:lang w:val="it-IT"/>
        </w:rPr>
        <w:t>valore di mercato dell'impresa acquistata sul mercato finanziario</w:t>
      </w:r>
      <w:r>
        <w:rPr>
          <w:lang w:val="it-IT"/>
        </w:rPr>
        <w:t xml:space="preserve"> e il denominatore è il </w:t>
      </w:r>
      <w:r w:rsidRPr="00E449C2">
        <w:rPr>
          <w:lang w:val="it-IT"/>
        </w:rPr>
        <w:t>valore della stessa impresa se si volesse riacquistare il suo stock di capitale sul mercato dei beni</w:t>
      </w:r>
      <w:r>
        <w:rPr>
          <w:lang w:val="it-IT"/>
        </w:rPr>
        <w:t>.</w:t>
      </w:r>
    </w:p>
    <w:p w14:paraId="513BEC79" w14:textId="1CB18D9C" w:rsidR="000D4BE5" w:rsidRDefault="000D4BE5" w:rsidP="00F119F7">
      <w:pPr>
        <w:jc w:val="both"/>
        <w:rPr>
          <w:lang w:val="it-IT"/>
        </w:rPr>
      </w:pPr>
      <w:r>
        <w:rPr>
          <w:lang w:val="it-IT"/>
        </w:rPr>
        <w:t>Jud e Winkler</w:t>
      </w:r>
      <w:r>
        <w:rPr>
          <w:rStyle w:val="FootnoteReference"/>
          <w:lang w:val="it-IT"/>
        </w:rPr>
        <w:footnoteReference w:id="6"/>
      </w:r>
      <w:r w:rsidR="002E0EA3">
        <w:rPr>
          <w:lang w:val="it-IT"/>
        </w:rPr>
        <w:t xml:space="preserve"> hanno corroborato con dati empirici la teoria della q di Tobin </w:t>
      </w:r>
      <w:r w:rsidR="00B80503">
        <w:rPr>
          <w:lang w:val="it-IT"/>
        </w:rPr>
        <w:t>usando i dati sugli investimenti USA dal 1979 al 2000. La q di Tobin che hanno usato per condurre il loro studio era definita come segue:</w:t>
      </w:r>
    </w:p>
    <w:p w14:paraId="62925B88" w14:textId="45B3F01F" w:rsidR="00B80503" w:rsidRDefault="00B80503" w:rsidP="00F119F7">
      <w:pPr>
        <w:jc w:val="both"/>
        <w:rPr>
          <w:rFonts w:eastAsiaTheme="minorEastAsia"/>
          <w:lang w:val="it-IT"/>
        </w:rPr>
      </w:pPr>
      <m:oMathPara>
        <m:oMath>
          <m:r>
            <w:rPr>
              <w:rFonts w:ascii="Cambria Math" w:hAnsi="Cambria Math"/>
              <w:lang w:val="it-IT"/>
            </w:rPr>
            <m:t xml:space="preserve">q= </m:t>
          </m:r>
          <m:f>
            <m:fPr>
              <m:ctrlPr>
                <w:rPr>
                  <w:rFonts w:ascii="Cambria Math" w:hAnsi="Cambria Math"/>
                  <w:i/>
                  <w:lang w:val="it-IT"/>
                </w:rPr>
              </m:ctrlPr>
            </m:fPr>
            <m:num>
              <m:r>
                <w:rPr>
                  <w:rFonts w:ascii="Cambria Math" w:hAnsi="Cambria Math"/>
                  <w:lang w:val="it-IT"/>
                </w:rPr>
                <m:t>OFHEO price index for existing homes</m:t>
              </m:r>
            </m:num>
            <m:den>
              <m:r>
                <w:rPr>
                  <w:rFonts w:ascii="Cambria Math" w:hAnsi="Cambria Math"/>
                  <w:lang w:val="it-IT"/>
                </w:rPr>
                <m:t>Census Burea</m:t>
              </m:r>
              <m:sSup>
                <m:sSupPr>
                  <m:ctrlPr>
                    <w:rPr>
                      <w:rFonts w:ascii="Cambria Math" w:hAnsi="Cambria Math"/>
                      <w:i/>
                      <w:lang w:val="it-IT"/>
                    </w:rPr>
                  </m:ctrlPr>
                </m:sSupPr>
                <m:e>
                  <m:r>
                    <w:rPr>
                      <w:rFonts w:ascii="Cambria Math" w:hAnsi="Cambria Math"/>
                      <w:lang w:val="it-IT"/>
                    </w:rPr>
                    <m:t>u</m:t>
                  </m:r>
                </m:e>
                <m:sup>
                  <m:r>
                    <w:rPr>
                      <w:rFonts w:ascii="Cambria Math" w:hAnsi="Cambria Math"/>
                      <w:lang w:val="it-IT"/>
                    </w:rPr>
                    <m:t>'</m:t>
                  </m:r>
                </m:sup>
              </m:sSup>
              <m:r>
                <w:rPr>
                  <w:rFonts w:ascii="Cambria Math" w:hAnsi="Cambria Math"/>
                  <w:lang w:val="it-IT"/>
                </w:rPr>
                <m:t>s quality-adjusted series for new home prices</m:t>
              </m:r>
            </m:den>
          </m:f>
        </m:oMath>
      </m:oMathPara>
    </w:p>
    <w:p w14:paraId="6BA323E5" w14:textId="1AE8DCD8" w:rsidR="00B80503" w:rsidRDefault="00B80503" w:rsidP="00F119F7">
      <w:pPr>
        <w:jc w:val="both"/>
        <w:rPr>
          <w:rFonts w:eastAsiaTheme="minorEastAsia"/>
        </w:rPr>
      </w:pPr>
      <w:r w:rsidRPr="00B80503">
        <w:rPr>
          <w:rFonts w:eastAsiaTheme="minorEastAsia"/>
        </w:rPr>
        <w:t>dove OFHEO è l’acronimo di “Office of Federal Housing Enterprise Oversight</w:t>
      </w:r>
      <w:r>
        <w:rPr>
          <w:rFonts w:eastAsiaTheme="minorEastAsia"/>
        </w:rPr>
        <w:t>”.</w:t>
      </w:r>
    </w:p>
    <w:p w14:paraId="726D12C6" w14:textId="22364236" w:rsidR="00B80503" w:rsidRDefault="00B80503" w:rsidP="00F119F7">
      <w:pPr>
        <w:jc w:val="both"/>
        <w:rPr>
          <w:rFonts w:eastAsiaTheme="minorEastAsia"/>
          <w:lang w:val="it-IT"/>
        </w:rPr>
      </w:pPr>
      <w:r w:rsidRPr="00B80503">
        <w:rPr>
          <w:rFonts w:eastAsiaTheme="minorEastAsia"/>
          <w:lang w:val="it-IT"/>
        </w:rPr>
        <w:t xml:space="preserve">Il </w:t>
      </w:r>
      <w:r w:rsidR="00071BFD">
        <w:rPr>
          <w:rFonts w:eastAsiaTheme="minorEastAsia"/>
          <w:lang w:val="it-IT"/>
        </w:rPr>
        <w:t>rapporto</w:t>
      </w:r>
      <w:r w:rsidRPr="00B80503">
        <w:rPr>
          <w:rFonts w:eastAsiaTheme="minorEastAsia"/>
          <w:lang w:val="it-IT"/>
        </w:rPr>
        <w:t xml:space="preserve"> veniva poi </w:t>
      </w:r>
      <w:r>
        <w:rPr>
          <w:rFonts w:eastAsiaTheme="minorEastAsia"/>
          <w:lang w:val="it-IT"/>
        </w:rPr>
        <w:t xml:space="preserve">comparato con i permessi di costruzione, l’inizio dei lavori e le spese di investimento in nuove costruzioni nel periodo considerato. </w:t>
      </w:r>
    </w:p>
    <w:p w14:paraId="1BFEEE70" w14:textId="5F5567A9" w:rsidR="00232A5D" w:rsidRDefault="00232A5D" w:rsidP="00F119F7">
      <w:pPr>
        <w:jc w:val="both"/>
        <w:rPr>
          <w:rFonts w:eastAsiaTheme="minorEastAsia"/>
          <w:lang w:val="it-IT"/>
        </w:rPr>
      </w:pPr>
      <w:r>
        <w:rPr>
          <w:rFonts w:eastAsiaTheme="minorEastAsia"/>
          <w:lang w:val="it-IT"/>
        </w:rPr>
        <w:t xml:space="preserve">Gli autori hanno concluso il loro studio facendo notare come il mercato immobiliare funzioni proprio come Tobin ha teorizzato. L’offerta di immobili si adegua alla domanda costruendo più edifici quando i prezzi degli immobili esistenti superano quelli delle nuove costruzioni. </w:t>
      </w:r>
    </w:p>
    <w:p w14:paraId="6A7698FB" w14:textId="7599B56B" w:rsidR="00232A5D" w:rsidRDefault="00232A5D" w:rsidP="00F119F7">
      <w:pPr>
        <w:jc w:val="both"/>
        <w:rPr>
          <w:rFonts w:eastAsiaTheme="minorEastAsia"/>
          <w:lang w:val="it-IT"/>
        </w:rPr>
      </w:pPr>
      <w:r>
        <w:rPr>
          <w:rFonts w:eastAsiaTheme="minorEastAsia"/>
          <w:lang w:val="it-IT"/>
        </w:rPr>
        <w:t xml:space="preserve">Da non confondere questa teoria con l’osservazione empirica dei prezzi dei nuovi immobili che solitamente hanno prezzi maggiori rispetto a quelli più vecchi. </w:t>
      </w:r>
    </w:p>
    <w:p w14:paraId="564ADA72" w14:textId="46621A28" w:rsidR="00232A5D" w:rsidRDefault="00232A5D" w:rsidP="00F119F7">
      <w:pPr>
        <w:jc w:val="both"/>
        <w:rPr>
          <w:rFonts w:eastAsiaTheme="minorEastAsia"/>
          <w:lang w:val="it-IT"/>
        </w:rPr>
      </w:pPr>
      <w:r>
        <w:rPr>
          <w:rFonts w:eastAsiaTheme="minorEastAsia"/>
          <w:lang w:val="it-IT"/>
        </w:rPr>
        <w:t xml:space="preserve">Questo perché gli immobili nuovi sono tecnologicamente più avanzati e hanno una vita attesa maggiore. Tuttavia la loro costruzione comporta un aumento dell’offerta e quindi sul lungo termine i prezzi si adeguano fino a riportare la q di Tobin ad un valore </w:t>
      </w:r>
      <w:r>
        <w:rPr>
          <w:rFonts w:eastAsiaTheme="minorEastAsia" w:cstheme="minorHAnsi"/>
          <w:lang w:val="it-IT"/>
        </w:rPr>
        <w:t xml:space="preserve">≤ </w:t>
      </w:r>
      <w:r>
        <w:rPr>
          <w:rFonts w:eastAsiaTheme="minorEastAsia"/>
          <w:lang w:val="it-IT"/>
        </w:rPr>
        <w:t>1.</w:t>
      </w:r>
    </w:p>
    <w:p w14:paraId="3C9245F3" w14:textId="49BDCFE9" w:rsidR="00232A5D" w:rsidRDefault="00232A5D" w:rsidP="00F119F7">
      <w:pPr>
        <w:pStyle w:val="Heading4"/>
        <w:jc w:val="both"/>
        <w:rPr>
          <w:rFonts w:eastAsiaTheme="minorEastAsia"/>
          <w:lang w:val="it-IT"/>
        </w:rPr>
      </w:pPr>
      <w:r>
        <w:rPr>
          <w:rFonts w:eastAsiaTheme="minorEastAsia"/>
          <w:lang w:val="it-IT"/>
        </w:rPr>
        <w:lastRenderedPageBreak/>
        <w:t>Copertura dall’inflazione</w:t>
      </w:r>
    </w:p>
    <w:p w14:paraId="2AD7BB4C" w14:textId="4793FC96" w:rsidR="00232A5D" w:rsidRDefault="00232A5D" w:rsidP="00F119F7">
      <w:pPr>
        <w:jc w:val="both"/>
        <w:rPr>
          <w:lang w:val="it-IT"/>
        </w:rPr>
      </w:pPr>
      <w:r>
        <w:rPr>
          <w:lang w:val="it-IT"/>
        </w:rPr>
        <w:t xml:space="preserve">Dal momento che gli immobili vengono considerati rifugio dall’inflazione, in presenza di politiche monetarie fuori controllo la domanda di immobili si alza vertiginosamente portando con sé l’offerta. </w:t>
      </w:r>
    </w:p>
    <w:p w14:paraId="134DCFA0" w14:textId="7C563306" w:rsidR="00232A5D" w:rsidRDefault="00232A5D" w:rsidP="00F119F7">
      <w:pPr>
        <w:jc w:val="both"/>
        <w:rPr>
          <w:lang w:val="it-IT"/>
        </w:rPr>
      </w:pPr>
      <w:r>
        <w:rPr>
          <w:lang w:val="it-IT"/>
        </w:rPr>
        <w:t xml:space="preserve">Infatti vi sono almeno </w:t>
      </w:r>
      <w:r w:rsidR="006046CD">
        <w:rPr>
          <w:lang w:val="it-IT"/>
        </w:rPr>
        <w:t>quattro</w:t>
      </w:r>
      <w:r>
        <w:rPr>
          <w:lang w:val="it-IT"/>
        </w:rPr>
        <w:t xml:space="preserve"> ragioni per cui il mercato immobiliare viene usato per </w:t>
      </w:r>
      <w:r w:rsidR="006771CC">
        <w:rPr>
          <w:lang w:val="it-IT"/>
        </w:rPr>
        <w:t>coprirsi</w:t>
      </w:r>
      <w:r>
        <w:rPr>
          <w:lang w:val="it-IT"/>
        </w:rPr>
        <w:t xml:space="preserve"> dall’inflazione</w:t>
      </w:r>
      <w:r w:rsidR="006046CD">
        <w:rPr>
          <w:rStyle w:val="FootnoteReference"/>
          <w:lang w:val="it-IT"/>
        </w:rPr>
        <w:footnoteReference w:id="7"/>
      </w:r>
      <w:r>
        <w:rPr>
          <w:lang w:val="it-IT"/>
        </w:rPr>
        <w:t>:</w:t>
      </w:r>
    </w:p>
    <w:p w14:paraId="4664C50F" w14:textId="2A00529B" w:rsidR="00232A5D" w:rsidRDefault="00232A5D" w:rsidP="005879DB">
      <w:pPr>
        <w:pStyle w:val="ListParagraph"/>
        <w:numPr>
          <w:ilvl w:val="0"/>
          <w:numId w:val="4"/>
        </w:numPr>
        <w:jc w:val="both"/>
        <w:rPr>
          <w:lang w:val="it-IT"/>
        </w:rPr>
      </w:pPr>
      <w:r>
        <w:rPr>
          <w:lang w:val="it-IT"/>
        </w:rPr>
        <w:t>I costi di costruzione tendono ad aumentare per via dell’inflazione</w:t>
      </w:r>
    </w:p>
    <w:p w14:paraId="696DD11C" w14:textId="0279F6A8" w:rsidR="00232A5D" w:rsidRDefault="00232A5D" w:rsidP="005879DB">
      <w:pPr>
        <w:pStyle w:val="ListParagraph"/>
        <w:numPr>
          <w:ilvl w:val="0"/>
          <w:numId w:val="4"/>
        </w:numPr>
        <w:jc w:val="both"/>
        <w:rPr>
          <w:lang w:val="it-IT"/>
        </w:rPr>
      </w:pPr>
      <w:r>
        <w:rPr>
          <w:lang w:val="it-IT"/>
        </w:rPr>
        <w:t>Gli affitti aumentano quando il valore immobiliare aumenta</w:t>
      </w:r>
    </w:p>
    <w:p w14:paraId="4A47246A" w14:textId="474806DE" w:rsidR="00232A5D" w:rsidRPr="00EA4B92" w:rsidRDefault="00232A5D" w:rsidP="005879DB">
      <w:pPr>
        <w:pStyle w:val="ListParagraph"/>
        <w:numPr>
          <w:ilvl w:val="0"/>
          <w:numId w:val="4"/>
        </w:numPr>
        <w:jc w:val="both"/>
        <w:rPr>
          <w:lang w:val="it-IT"/>
        </w:rPr>
      </w:pPr>
      <w:r>
        <w:rPr>
          <w:lang w:val="it-IT"/>
        </w:rPr>
        <w:t>Quando domanda e offerta sono equilibrate, le forze dell’equilibrio di mercato tendono ad eguagliare</w:t>
      </w:r>
      <w:r w:rsidR="00EA4B92">
        <w:rPr>
          <w:lang w:val="it-IT"/>
        </w:rPr>
        <w:t xml:space="preserve"> </w:t>
      </w:r>
      <w:r w:rsidRPr="00EA4B92">
        <w:rPr>
          <w:lang w:val="it-IT"/>
        </w:rPr>
        <w:t>il valore degli edifici con il loro costo</w:t>
      </w:r>
    </w:p>
    <w:p w14:paraId="42ABAD89" w14:textId="4A0DD690" w:rsidR="006046CD" w:rsidRPr="006046CD" w:rsidRDefault="006046CD" w:rsidP="005879DB">
      <w:pPr>
        <w:pStyle w:val="ListParagraph"/>
        <w:numPr>
          <w:ilvl w:val="0"/>
          <w:numId w:val="4"/>
        </w:numPr>
        <w:jc w:val="both"/>
        <w:rPr>
          <w:lang w:val="it-IT"/>
        </w:rPr>
      </w:pPr>
      <w:r>
        <w:rPr>
          <w:lang w:val="it-IT"/>
        </w:rPr>
        <w:t xml:space="preserve">I contratti di affitto possono essere indicizzati all’inflazione. </w:t>
      </w:r>
    </w:p>
    <w:p w14:paraId="3286762E" w14:textId="72BF36E9" w:rsidR="00232A5D" w:rsidRDefault="006771CC" w:rsidP="00F119F7">
      <w:pPr>
        <w:pStyle w:val="Heading2"/>
        <w:jc w:val="both"/>
        <w:rPr>
          <w:rFonts w:eastAsiaTheme="minorEastAsia"/>
          <w:lang w:val="it-IT"/>
        </w:rPr>
      </w:pPr>
      <w:bookmarkStart w:id="8" w:name="_Toc100246227"/>
      <w:r>
        <w:rPr>
          <w:rFonts w:eastAsiaTheme="minorEastAsia"/>
          <w:lang w:val="it-IT"/>
        </w:rPr>
        <w:t>La crescita del RE negli anni</w:t>
      </w:r>
      <w:r w:rsidR="00983BE6">
        <w:rPr>
          <w:rFonts w:eastAsiaTheme="minorEastAsia"/>
          <w:lang w:val="it-IT"/>
        </w:rPr>
        <w:t xml:space="preserve"> </w:t>
      </w:r>
      <w:r w:rsidR="00983BE6" w:rsidRPr="00983BE6">
        <w:rPr>
          <w:rFonts w:eastAsiaTheme="minorEastAsia"/>
          <w:lang w:val="it-IT"/>
        </w:rPr>
        <w:sym w:font="Wingdings" w:char="F0E0"/>
      </w:r>
      <w:r w:rsidR="00983BE6">
        <w:rPr>
          <w:rFonts w:eastAsiaTheme="minorEastAsia"/>
          <w:lang w:val="it-IT"/>
        </w:rPr>
        <w:t xml:space="preserve"> </w:t>
      </w:r>
      <w:r w:rsidR="00983BE6" w:rsidRPr="00983BE6">
        <w:rPr>
          <w:rFonts w:eastAsiaTheme="minorEastAsia"/>
          <w:highlight w:val="yellow"/>
          <w:lang w:val="it-IT"/>
        </w:rPr>
        <w:t>riscrivere in base a https://kth.diva-portal.org/smash/get/diva2:1576728/FULLTEXT01.pdf</w:t>
      </w:r>
      <w:bookmarkEnd w:id="8"/>
    </w:p>
    <w:p w14:paraId="7607A210" w14:textId="77777777" w:rsidR="00420145" w:rsidRPr="00420145" w:rsidRDefault="00420145" w:rsidP="00420145">
      <w:pPr>
        <w:rPr>
          <w:lang w:val="it-IT"/>
        </w:rPr>
      </w:pPr>
    </w:p>
    <w:p w14:paraId="603281B7" w14:textId="3502F415" w:rsidR="00CF5367" w:rsidRDefault="00596936" w:rsidP="00F119F7">
      <w:pPr>
        <w:jc w:val="both"/>
        <w:rPr>
          <w:color w:val="FF0000"/>
          <w:lang w:val="it-IT"/>
        </w:rPr>
      </w:pPr>
      <w:r>
        <w:rPr>
          <w:lang w:val="it-IT"/>
        </w:rPr>
        <w:t>Il RE rappresenta una porzione sostanziale della ricc</w:t>
      </w:r>
      <w:r w:rsidR="00C92D96">
        <w:rPr>
          <w:lang w:val="it-IT"/>
        </w:rPr>
        <w:t>hezza di una nazione, nonostante sia u</w:t>
      </w:r>
      <w:r w:rsidR="00EF6AA0">
        <w:rPr>
          <w:lang w:val="it-IT"/>
        </w:rPr>
        <w:t>na asset-class molto illiquida.</w:t>
      </w:r>
    </w:p>
    <w:p w14:paraId="1745390A" w14:textId="1AC061B9" w:rsidR="00D60A39" w:rsidRDefault="00D60A39" w:rsidP="00F119F7">
      <w:pPr>
        <w:jc w:val="both"/>
        <w:rPr>
          <w:lang w:val="it-IT"/>
        </w:rPr>
      </w:pPr>
      <w:r w:rsidRPr="00EF6AA0">
        <w:rPr>
          <w:lang w:val="it-IT"/>
        </w:rPr>
        <w:t>Negli USA il valore degli immobili posseduti dalle famiglie e dalle organizzazioni non-profit a fine 2021 ammonta a $42.4 trilioni</w:t>
      </w:r>
      <w:r w:rsidRPr="00EF6AA0">
        <w:rPr>
          <w:rStyle w:val="FootnoteReference"/>
          <w:lang w:val="it-IT"/>
        </w:rPr>
        <w:footnoteReference w:id="8"/>
      </w:r>
      <w:r w:rsidRPr="00EF6AA0">
        <w:rPr>
          <w:lang w:val="it-IT"/>
        </w:rPr>
        <w:t>, mentre il valore dei directly held Corporate Equities ammontava a $32.5 trilioni</w:t>
      </w:r>
      <w:r w:rsidRPr="00EF6AA0">
        <w:rPr>
          <w:rStyle w:val="FootnoteReference"/>
          <w:lang w:val="it-IT"/>
        </w:rPr>
        <w:footnoteReference w:id="9"/>
      </w:r>
      <w:r w:rsidRPr="00EF6AA0">
        <w:rPr>
          <w:lang w:val="it-IT"/>
        </w:rPr>
        <w:t xml:space="preserve">. </w:t>
      </w:r>
    </w:p>
    <w:p w14:paraId="6171BC6A" w14:textId="3EE0F2E8" w:rsidR="00EF6AA0" w:rsidRPr="00EF6AA0" w:rsidRDefault="00653D7F" w:rsidP="00EF6AA0">
      <w:pPr>
        <w:jc w:val="center"/>
        <w:rPr>
          <w:lang w:val="it-IT"/>
        </w:rPr>
      </w:pPr>
      <w:r>
        <w:rPr>
          <w:noProof/>
        </w:rPr>
        <w:drawing>
          <wp:inline distT="0" distB="0" distL="0" distR="0" wp14:anchorId="42B7C016" wp14:editId="3A1FDA42">
            <wp:extent cx="4480560" cy="1840230"/>
            <wp:effectExtent l="0" t="0" r="15240" b="762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3975A3E8" w14:textId="6ABDF038" w:rsidR="006771CC" w:rsidRDefault="00B57B02" w:rsidP="00F119F7">
      <w:pPr>
        <w:jc w:val="both"/>
        <w:rPr>
          <w:lang w:val="it-IT"/>
        </w:rPr>
      </w:pPr>
      <w:r>
        <w:rPr>
          <w:lang w:val="it-IT"/>
        </w:rPr>
        <w:t xml:space="preserve">Dal momento che il settore Real Estate è caratterizzato da una totale decentralizzazione degli scambi, è difficile tenere traccia dei rendimenti nel corso degli anni. </w:t>
      </w:r>
    </w:p>
    <w:p w14:paraId="13B57F58" w14:textId="53A4508D" w:rsidR="00C92D96" w:rsidRDefault="00C92D96" w:rsidP="00F119F7">
      <w:pPr>
        <w:jc w:val="both"/>
        <w:rPr>
          <w:lang w:val="it-IT"/>
        </w:rPr>
      </w:pPr>
      <w:r>
        <w:rPr>
          <w:lang w:val="it-IT"/>
        </w:rPr>
        <w:t xml:space="preserve">Gli indici immobiliari, come il S&amp;P/Case-Shiller (SCS), sono aggiornati mensilmente e quindi non riescono a dare una indicazione precisa, di alta frequenza, dei movimenti del mercato. </w:t>
      </w:r>
    </w:p>
    <w:p w14:paraId="22BE15F1" w14:textId="715C8428" w:rsidR="00CF52BE" w:rsidRDefault="00E93E61" w:rsidP="00F119F7">
      <w:pPr>
        <w:jc w:val="both"/>
        <w:rPr>
          <w:lang w:val="it-IT"/>
        </w:rPr>
      </w:pPr>
      <w:r>
        <w:rPr>
          <w:lang w:val="it-IT"/>
        </w:rPr>
        <w:t xml:space="preserve">Le proprietà immobiliari possono essere detenute direttamente o indirettamente attraverso l’uso di quote di entità che detengono a loro volta degli immobili. </w:t>
      </w:r>
    </w:p>
    <w:p w14:paraId="04CF4BDB" w14:textId="2BE96FAB" w:rsidR="00CF52BE" w:rsidRDefault="00C92D96" w:rsidP="00F119F7">
      <w:pPr>
        <w:jc w:val="both"/>
        <w:rPr>
          <w:lang w:val="it-IT"/>
        </w:rPr>
      </w:pPr>
      <w:r>
        <w:rPr>
          <w:lang w:val="it-IT"/>
        </w:rPr>
        <w:t>Gli unici veicoli veramente liquidi, che hanno una relazione con il RE, sono i “Real Estate Investment Trust” o REIT. I REIT infatti sono quotati sui maggiori mercati e vengono scambiati continuamente.</w:t>
      </w:r>
      <w:r w:rsidR="00CF52BE">
        <w:rPr>
          <w:lang w:val="it-IT"/>
        </w:rPr>
        <w:t xml:space="preserve"> Si tratta di trusts il cui compito è quello di detenere e gestire patrimoni immobiliari.</w:t>
      </w:r>
    </w:p>
    <w:p w14:paraId="772033E2" w14:textId="32F973AF" w:rsidR="00E93E61" w:rsidRDefault="00E93E61" w:rsidP="00F119F7">
      <w:pPr>
        <w:jc w:val="both"/>
        <w:rPr>
          <w:lang w:val="it-IT"/>
        </w:rPr>
      </w:pPr>
      <w:r>
        <w:rPr>
          <w:lang w:val="it-IT"/>
        </w:rPr>
        <w:lastRenderedPageBreak/>
        <w:t>Presi come</w:t>
      </w:r>
      <w:r w:rsidR="00C92D96">
        <w:rPr>
          <w:lang w:val="it-IT"/>
        </w:rPr>
        <w:t xml:space="preserve"> proxy, i REIT rendono possibile osservare il comportamento dei prezzi del mercato immobiliare reale.</w:t>
      </w:r>
      <w:r w:rsidR="0082563B">
        <w:rPr>
          <w:rStyle w:val="FootnoteReference"/>
          <w:lang w:val="it-IT"/>
        </w:rPr>
        <w:footnoteReference w:id="10"/>
      </w:r>
      <w:r w:rsidR="0082563B">
        <w:rPr>
          <w:lang w:val="it-IT"/>
        </w:rPr>
        <w:t xml:space="preserve"> </w:t>
      </w:r>
      <w:r w:rsidR="0082563B">
        <w:rPr>
          <w:rStyle w:val="FootnoteReference"/>
          <w:lang w:val="it-IT"/>
        </w:rPr>
        <w:footnoteReference w:id="11"/>
      </w:r>
    </w:p>
    <w:p w14:paraId="0E377AC7" w14:textId="71FFBDDC" w:rsidR="0040094F" w:rsidRDefault="00801AE2" w:rsidP="00F119F7">
      <w:pPr>
        <w:jc w:val="both"/>
        <w:rPr>
          <w:lang w:val="it-IT"/>
        </w:rPr>
      </w:pPr>
      <w:r>
        <w:rPr>
          <w:lang w:val="it-IT"/>
        </w:rPr>
        <w:t xml:space="preserve">Per fare ciò si prende in considerazione il </w:t>
      </w:r>
      <w:r w:rsidR="005531A5" w:rsidRPr="005531A5">
        <w:rPr>
          <w:lang w:val="it-IT"/>
        </w:rPr>
        <w:t>FTSE Nareit US Real Estate Index</w:t>
      </w:r>
      <w:r w:rsidR="005531A5">
        <w:rPr>
          <w:lang w:val="it-IT"/>
        </w:rPr>
        <w:t xml:space="preserve"> che è un indice creato dalla NAREIT che è un’associazione </w:t>
      </w:r>
      <w:r w:rsidR="0040094F">
        <w:rPr>
          <w:lang w:val="it-IT"/>
        </w:rPr>
        <w:t xml:space="preserve">americana che si occupa di lobbying del mercato REIT, con circa 190 REITs incorporati </w:t>
      </w:r>
      <w:r w:rsidR="00D257FD">
        <w:rPr>
          <w:lang w:val="it-IT"/>
        </w:rPr>
        <w:t>e</w:t>
      </w:r>
      <w:r w:rsidR="0040094F">
        <w:rPr>
          <w:lang w:val="it-IT"/>
        </w:rPr>
        <w:t xml:space="preserve"> una market cap di $1.5 trilioni.</w:t>
      </w:r>
    </w:p>
    <w:p w14:paraId="6F03A5C0" w14:textId="786E7EF6" w:rsidR="00007004" w:rsidRDefault="00E93E61" w:rsidP="00E77A72">
      <w:pPr>
        <w:jc w:val="center"/>
        <w:rPr>
          <w:lang w:val="it-IT"/>
        </w:rPr>
      </w:pPr>
      <w:r>
        <w:rPr>
          <w:noProof/>
        </w:rPr>
        <w:drawing>
          <wp:inline distT="0" distB="0" distL="0" distR="0" wp14:anchorId="2DB92DF3" wp14:editId="34248A63">
            <wp:extent cx="4572000" cy="2743200"/>
            <wp:effectExtent l="0" t="0" r="0" b="0"/>
            <wp:docPr id="56" name="Chart 56">
              <a:extLst xmlns:a="http://schemas.openxmlformats.org/drawingml/2006/main">
                <a:ext uri="{FF2B5EF4-FFF2-40B4-BE49-F238E27FC236}">
                  <a16:creationId xmlns:a16="http://schemas.microsoft.com/office/drawing/2014/main" id="{287D3AFF-5E27-42C2-A643-C28B459AD77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4209914A" w14:textId="04178958" w:rsidR="00E77A72" w:rsidRDefault="00E77A72" w:rsidP="00E77A72">
      <w:pPr>
        <w:jc w:val="both"/>
        <w:rPr>
          <w:lang w:val="it-IT"/>
        </w:rPr>
      </w:pPr>
    </w:p>
    <w:p w14:paraId="15FCB70F" w14:textId="5A51D621" w:rsidR="00E77A72" w:rsidRDefault="00E77A72" w:rsidP="00E77A72">
      <w:pPr>
        <w:jc w:val="both"/>
        <w:rPr>
          <w:lang w:val="it-IT"/>
        </w:rPr>
      </w:pPr>
      <w:r w:rsidRPr="00E77A72">
        <w:rPr>
          <w:lang w:val="it-IT"/>
        </w:rPr>
        <w:t xml:space="preserve">Con un </w:t>
      </w:r>
      <w:r w:rsidR="00D257FD">
        <w:rPr>
          <w:lang w:val="it-IT"/>
        </w:rPr>
        <w:t xml:space="preserve">average </w:t>
      </w:r>
      <w:r w:rsidRPr="00E77A72">
        <w:rPr>
          <w:lang w:val="it-IT"/>
        </w:rPr>
        <w:t xml:space="preserve">risk-adjusted return del 17.8% è </w:t>
      </w:r>
      <w:r>
        <w:rPr>
          <w:lang w:val="it-IT"/>
        </w:rPr>
        <w:t>facile notare che i NAREIT hanno storicamente un profilo rischio/rendimento migliore rispetto all’indice azionario di riferimento S&amp;P 500 che ha un</w:t>
      </w:r>
      <w:r w:rsidR="00D257FD">
        <w:rPr>
          <w:lang w:val="it-IT"/>
        </w:rPr>
        <w:t xml:space="preserve"> average</w:t>
      </w:r>
      <w:r>
        <w:rPr>
          <w:lang w:val="it-IT"/>
        </w:rPr>
        <w:t xml:space="preserve"> risk-adjusted return del 16.3% nel periodo 1/12/1971-1/02/2022.</w:t>
      </w:r>
    </w:p>
    <w:p w14:paraId="109088DB" w14:textId="2A5DD82E" w:rsidR="00670595" w:rsidRPr="00E77A72" w:rsidRDefault="007F468F" w:rsidP="00E77A72">
      <w:pPr>
        <w:jc w:val="both"/>
        <w:rPr>
          <w:lang w:val="it-IT"/>
        </w:rPr>
      </w:pPr>
      <w:r>
        <w:rPr>
          <w:lang w:val="it-IT"/>
        </w:rPr>
        <w:t>Tuttavia,</w:t>
      </w:r>
      <w:r w:rsidR="007C65E2">
        <w:rPr>
          <w:lang w:val="it-IT"/>
        </w:rPr>
        <w:t xml:space="preserve"> è necessario inserire una nota metodologica: i REITs non sono dei perfetti sostituti, vengono solo usati come proxy. Questo perché l’apprezzamento di indici come il </w:t>
      </w:r>
      <w:r w:rsidR="007C65E2" w:rsidRPr="007C65E2">
        <w:rPr>
          <w:lang w:val="it-IT"/>
        </w:rPr>
        <w:t>FTSE Nareit US Real Estate Index</w:t>
      </w:r>
      <w:r w:rsidR="007C65E2">
        <w:rPr>
          <w:lang w:val="it-IT"/>
        </w:rPr>
        <w:t xml:space="preserve"> deriva</w:t>
      </w:r>
      <w:r>
        <w:rPr>
          <w:lang w:val="it-IT"/>
        </w:rPr>
        <w:t>no</w:t>
      </w:r>
      <w:r w:rsidR="007C65E2">
        <w:rPr>
          <w:lang w:val="it-IT"/>
        </w:rPr>
        <w:t xml:space="preserve"> </w:t>
      </w:r>
      <w:r>
        <w:rPr>
          <w:lang w:val="it-IT"/>
        </w:rPr>
        <w:t>principalmente</w:t>
      </w:r>
      <w:r w:rsidR="007C65E2">
        <w:rPr>
          <w:lang w:val="it-IT"/>
        </w:rPr>
        <w:t xml:space="preserve"> da valutazioni e stime più che dalle transazioni. Inoltre, molti immobili vengono valutati solo annualmente</w:t>
      </w:r>
      <w:r>
        <w:rPr>
          <w:lang w:val="it-IT"/>
        </w:rPr>
        <w:t>, riducendo così ulteriormente l’apparente volatilità dei prezzi. Questa limatura migliora ingiustificatamente il profilo di rischio-rendimento e smorza la correlazione con le altre asset-class.</w:t>
      </w:r>
      <w:r>
        <w:rPr>
          <w:rStyle w:val="FootnoteReference"/>
          <w:lang w:val="it-IT"/>
        </w:rPr>
        <w:footnoteReference w:id="12"/>
      </w:r>
    </w:p>
    <w:p w14:paraId="031D7114" w14:textId="6F3E9C2B" w:rsidR="009605CE" w:rsidRPr="00845990" w:rsidRDefault="00845990" w:rsidP="00845990">
      <w:pPr>
        <w:pStyle w:val="Heading2"/>
        <w:rPr>
          <w:lang w:val="it-IT"/>
        </w:rPr>
      </w:pPr>
      <w:bookmarkStart w:id="9" w:name="_Toc100246228"/>
      <w:r w:rsidRPr="00845990">
        <w:rPr>
          <w:lang w:val="it-IT"/>
        </w:rPr>
        <w:t xml:space="preserve">Regolamentazione </w:t>
      </w:r>
      <w:r w:rsidR="003E296D">
        <w:rPr>
          <w:lang w:val="it-IT"/>
        </w:rPr>
        <w:t>fondi di investimento immobiliare</w:t>
      </w:r>
      <w:bookmarkEnd w:id="9"/>
    </w:p>
    <w:p w14:paraId="58FB2BD6" w14:textId="4BC3E0F0" w:rsidR="00845990" w:rsidRDefault="00845990" w:rsidP="00845990">
      <w:pPr>
        <w:rPr>
          <w:lang w:val="it-IT"/>
        </w:rPr>
      </w:pPr>
      <w:r>
        <w:rPr>
          <w:lang w:val="it-IT"/>
        </w:rPr>
        <w:t>L’art. 32-</w:t>
      </w:r>
      <w:r>
        <w:rPr>
          <w:i/>
          <w:lang w:val="it-IT"/>
        </w:rPr>
        <w:t xml:space="preserve">quater </w:t>
      </w:r>
      <w:r>
        <w:rPr>
          <w:lang w:val="it-IT"/>
        </w:rPr>
        <w:t xml:space="preserve">TUF riserva l’esercizio in via professionale di gestione collettiva del risparmio alle SGR, alle SICAV, alle SICAF, alle società di gestione UE che gestiscono OICVM italiani, ai GEFIA UE che gestiscono un FIA italiano, attribuendo alla Banca d’Italia, sentita la Consob, il potere di adottare norme di attuazione, nel rispetto delle disposizioni comunitarie. </w:t>
      </w:r>
    </w:p>
    <w:p w14:paraId="34994449" w14:textId="255930F5" w:rsidR="00845990" w:rsidRDefault="00845990" w:rsidP="00845990">
      <w:pPr>
        <w:rPr>
          <w:lang w:val="it-IT"/>
        </w:rPr>
      </w:pPr>
      <w:r>
        <w:rPr>
          <w:lang w:val="it-IT"/>
        </w:rPr>
        <w:t xml:space="preserve">Secondo il TUF, il servizio di gestione collettiva del risparmio si realizza attraverso la gestione di OICR e dei relativi rischi (art. 1, lett. n.). Tale attività è svolta direttamente dal gestore, ferma restando la possibilità di delegare a terzi specifiche funzioni nei limiti previsti dall’ordinamento. </w:t>
      </w:r>
    </w:p>
    <w:p w14:paraId="69B7E498" w14:textId="65A7FF08" w:rsidR="00C13DB9" w:rsidRDefault="00C13DB9" w:rsidP="00C13DB9">
      <w:pPr>
        <w:pStyle w:val="Heading3"/>
        <w:rPr>
          <w:lang w:val="it-IT"/>
        </w:rPr>
      </w:pPr>
      <w:bookmarkStart w:id="10" w:name="_Toc100246229"/>
      <w:r>
        <w:rPr>
          <w:lang w:val="it-IT"/>
        </w:rPr>
        <w:t>Gli OICR</w:t>
      </w:r>
      <w:bookmarkEnd w:id="10"/>
    </w:p>
    <w:p w14:paraId="2A68A710" w14:textId="44EA4B45" w:rsidR="00845990" w:rsidRDefault="00845990" w:rsidP="00845990">
      <w:pPr>
        <w:rPr>
          <w:lang w:val="it-IT"/>
        </w:rPr>
      </w:pPr>
      <w:r>
        <w:rPr>
          <w:lang w:val="it-IT"/>
        </w:rPr>
        <w:t>L’articolo 1, comma 1, lettera k del TUF fornisce la definizione di OICR: “</w:t>
      </w:r>
      <w:r w:rsidRPr="00845990">
        <w:rPr>
          <w:i/>
          <w:lang w:val="it-IT"/>
        </w:rPr>
        <w:t xml:space="preserve">l'organismo istituito per la prestazione del servizio di gestione collettiva del risparmio, il cui patrimonio è raccolto tra una pluralità di </w:t>
      </w:r>
      <w:r w:rsidRPr="00845990">
        <w:rPr>
          <w:i/>
          <w:lang w:val="it-IT"/>
        </w:rPr>
        <w:lastRenderedPageBreak/>
        <w:t>investitori mediante l'emissione e l'offerta di quote o azioni, gestito in monte nell'interesse degli investitori e in autonomia dai medesimi nonché investito in strumenti finanziari, crediti, inclusi quelli erogati, a favore di soggetti diversi da consumatori, a valere sul patrimonio dell'OICR, partecipazioni o altri beni mobili o immobili, in base a una politica di investimento predeterminata</w:t>
      </w:r>
      <w:r>
        <w:rPr>
          <w:lang w:val="it-IT"/>
        </w:rPr>
        <w:t>”.</w:t>
      </w:r>
    </w:p>
    <w:p w14:paraId="6B5678E5" w14:textId="5FC39EB9" w:rsidR="00845990" w:rsidRDefault="00845990" w:rsidP="00845990">
      <w:pPr>
        <w:rPr>
          <w:lang w:val="it-IT"/>
        </w:rPr>
      </w:pPr>
      <w:r>
        <w:rPr>
          <w:lang w:val="it-IT"/>
        </w:rPr>
        <w:t xml:space="preserve">Vi sono diversi tipi di OICR: aperti/chiusi, OICVM italiani/OICVM UE, FIA italiani/FIA italiani riservati, </w:t>
      </w:r>
      <w:r w:rsidR="00BE26DD">
        <w:rPr>
          <w:lang w:val="it-IT"/>
        </w:rPr>
        <w:t xml:space="preserve">FIA </w:t>
      </w:r>
      <w:r>
        <w:rPr>
          <w:lang w:val="it-IT"/>
        </w:rPr>
        <w:t>UE/non UE.</w:t>
      </w:r>
    </w:p>
    <w:p w14:paraId="2EC6294D" w14:textId="020054FA" w:rsidR="00845990" w:rsidRDefault="00845990" w:rsidP="00845990">
      <w:pPr>
        <w:rPr>
          <w:lang w:val="it-IT"/>
        </w:rPr>
      </w:pPr>
      <w:r>
        <w:rPr>
          <w:lang w:val="it-IT"/>
        </w:rPr>
        <w:t>OICR aperto: “</w:t>
      </w:r>
      <w:r w:rsidRPr="00845990">
        <w:rPr>
          <w:i/>
          <w:lang w:val="it-IT"/>
        </w:rPr>
        <w:t>l’OICR i cui partecipanti hanno il diritto di chiedere il rimborso delle quote o azioni a valere sul patrimonio dello stesso, secondo le modalità e con la frequenza previste dal regolamento, dallo statuto e dalla documentazione d’offerta dell’OICR</w:t>
      </w:r>
      <w:r>
        <w:rPr>
          <w:lang w:val="it-IT"/>
        </w:rPr>
        <w:t>”;</w:t>
      </w:r>
    </w:p>
    <w:p w14:paraId="26ED8B28" w14:textId="331EE6FA" w:rsidR="00845990" w:rsidRDefault="00845990" w:rsidP="00845990">
      <w:pPr>
        <w:rPr>
          <w:lang w:val="it-IT"/>
        </w:rPr>
      </w:pPr>
      <w:r w:rsidRPr="00845990">
        <w:rPr>
          <w:lang w:val="it-IT"/>
        </w:rPr>
        <w:t xml:space="preserve">OICR </w:t>
      </w:r>
      <w:r>
        <w:rPr>
          <w:lang w:val="it-IT"/>
        </w:rPr>
        <w:t>chiuso</w:t>
      </w:r>
      <w:r w:rsidRPr="00845990">
        <w:rPr>
          <w:lang w:val="it-IT"/>
        </w:rPr>
        <w:t>: “</w:t>
      </w:r>
      <w:r w:rsidRPr="00845990">
        <w:rPr>
          <w:i/>
          <w:lang w:val="it-IT"/>
        </w:rPr>
        <w:t>l’OICR diverso da quello aperto</w:t>
      </w:r>
      <w:r w:rsidRPr="00845990">
        <w:rPr>
          <w:lang w:val="it-IT"/>
        </w:rPr>
        <w:t>”;</w:t>
      </w:r>
    </w:p>
    <w:p w14:paraId="438FD2BF" w14:textId="35FF3394" w:rsidR="00845990" w:rsidRDefault="00BE26DD" w:rsidP="00BE26DD">
      <w:pPr>
        <w:rPr>
          <w:lang w:val="it-IT"/>
        </w:rPr>
      </w:pPr>
      <w:r>
        <w:rPr>
          <w:lang w:val="it-IT"/>
        </w:rPr>
        <w:t>OICVM italiani: “</w:t>
      </w:r>
      <w:r w:rsidRPr="00BE26DD">
        <w:rPr>
          <w:i/>
          <w:lang w:val="it-IT"/>
        </w:rPr>
        <w:t>il fondo comune di investimento e la Sicav rientranti nell’ambito di applicazione della direttiva 2009/65/CE</w:t>
      </w:r>
      <w:r>
        <w:rPr>
          <w:lang w:val="it-IT"/>
        </w:rPr>
        <w:t>.” Per la citata direttiva per OICVM si intendono gli organismi:</w:t>
      </w:r>
    </w:p>
    <w:p w14:paraId="1A6A7F2C" w14:textId="796C8DB7" w:rsidR="00BE26DD" w:rsidRDefault="00BE26DD" w:rsidP="005879DB">
      <w:pPr>
        <w:pStyle w:val="ListParagraph"/>
        <w:numPr>
          <w:ilvl w:val="0"/>
          <w:numId w:val="5"/>
        </w:numPr>
        <w:rPr>
          <w:lang w:val="it-IT"/>
        </w:rPr>
      </w:pPr>
      <w:r w:rsidRPr="00BE26DD">
        <w:rPr>
          <w:lang w:val="it-IT"/>
        </w:rPr>
        <w:t>il cui oggetto esclusivo è l’investimento collettivo dei capitali raccolti presso il pubblico in v</w:t>
      </w:r>
      <w:r>
        <w:rPr>
          <w:lang w:val="it-IT"/>
        </w:rPr>
        <w:t>alori mobiliari o in altre atti</w:t>
      </w:r>
      <w:r w:rsidRPr="00BE26DD">
        <w:rPr>
          <w:lang w:val="it-IT"/>
        </w:rPr>
        <w:t>vità finanziarie liquide di cui all’articolo 50, paragrafo 1, e il cui funzionamento è soggetto al principio della ripartizione dei rischi;</w:t>
      </w:r>
    </w:p>
    <w:p w14:paraId="5485A7A1" w14:textId="3498A4CD" w:rsidR="00BE26DD" w:rsidRDefault="00BE26DD" w:rsidP="005879DB">
      <w:pPr>
        <w:pStyle w:val="ListParagraph"/>
        <w:numPr>
          <w:ilvl w:val="0"/>
          <w:numId w:val="5"/>
        </w:numPr>
        <w:rPr>
          <w:lang w:val="it-IT"/>
        </w:rPr>
      </w:pPr>
      <w:r>
        <w:rPr>
          <w:lang w:val="it-IT"/>
        </w:rPr>
        <w:t xml:space="preserve">le cui quote </w:t>
      </w:r>
      <w:r w:rsidRPr="00BE26DD">
        <w:rPr>
          <w:lang w:val="it-IT"/>
        </w:rPr>
        <w:t>sono, su richiesta dei detentori, riacquistate o rimborsate, direttamente o ind</w:t>
      </w:r>
      <w:r>
        <w:rPr>
          <w:lang w:val="it-IT"/>
        </w:rPr>
        <w:t>irettamente, a valere sul patri</w:t>
      </w:r>
      <w:r w:rsidRPr="00BE26DD">
        <w:rPr>
          <w:lang w:val="it-IT"/>
        </w:rPr>
        <w:t>monio dei suddetti organismi. È</w:t>
      </w:r>
      <w:r>
        <w:rPr>
          <w:lang w:val="it-IT"/>
        </w:rPr>
        <w:t xml:space="preserve"> assimilato a tali riacquisti o </w:t>
      </w:r>
      <w:r w:rsidRPr="00BE26DD">
        <w:rPr>
          <w:lang w:val="it-IT"/>
        </w:rPr>
        <w:t>rimborsi il fatto che un OICVM agisca per impedire che il valore delle sue quote sul mercato si allontani sensibilmente dal valore patrimoniale netto</w:t>
      </w:r>
      <w:r>
        <w:rPr>
          <w:lang w:val="it-IT"/>
        </w:rPr>
        <w:t>.</w:t>
      </w:r>
    </w:p>
    <w:p w14:paraId="5EF72D47" w14:textId="67DF6E90" w:rsidR="00BE26DD" w:rsidRDefault="00BE26DD" w:rsidP="00BE26DD">
      <w:pPr>
        <w:rPr>
          <w:lang w:val="it-IT"/>
        </w:rPr>
      </w:pPr>
      <w:r>
        <w:rPr>
          <w:lang w:val="it-IT"/>
        </w:rPr>
        <w:t>OICVM europei: “</w:t>
      </w:r>
      <w:r w:rsidRPr="00BE26DD">
        <w:rPr>
          <w:i/>
          <w:lang w:val="it-IT"/>
        </w:rPr>
        <w:t>gli OICR rientranti nell’ambito di applicazione della direttiva 2009/65/CE, costituiti in uno Stato dell’UE diverso dall’Italia</w:t>
      </w:r>
      <w:r>
        <w:rPr>
          <w:lang w:val="it-IT"/>
        </w:rPr>
        <w:t>”;</w:t>
      </w:r>
    </w:p>
    <w:p w14:paraId="01A168A7" w14:textId="5867EDCC" w:rsidR="00BE26DD" w:rsidRDefault="00BE26DD" w:rsidP="00BE26DD">
      <w:pPr>
        <w:rPr>
          <w:lang w:val="it-IT"/>
        </w:rPr>
      </w:pPr>
      <w:r>
        <w:rPr>
          <w:lang w:val="it-IT"/>
        </w:rPr>
        <w:t>FIA italiano: “</w:t>
      </w:r>
      <w:r w:rsidRPr="00BE26DD">
        <w:rPr>
          <w:i/>
          <w:lang w:val="it-IT"/>
        </w:rPr>
        <w:t>il fondo comune di investimento, la Sicav e la Sicaf rientranti nell’ambito di applicazione della direttiva 2011/61/UE</w:t>
      </w:r>
      <w:r>
        <w:rPr>
          <w:lang w:val="it-IT"/>
        </w:rPr>
        <w:t>”;</w:t>
      </w:r>
    </w:p>
    <w:p w14:paraId="4C99DA55" w14:textId="1E6B6BB8" w:rsidR="00BE26DD" w:rsidRDefault="00BE26DD" w:rsidP="00BE26DD">
      <w:pPr>
        <w:rPr>
          <w:lang w:val="it-IT"/>
        </w:rPr>
      </w:pPr>
      <w:r>
        <w:rPr>
          <w:lang w:val="it-IT"/>
        </w:rPr>
        <w:t>FIA italiano riservato: “</w:t>
      </w:r>
      <w:r w:rsidRPr="00BE26DD">
        <w:rPr>
          <w:i/>
          <w:lang w:val="it-IT"/>
        </w:rPr>
        <w:t>il FIA italiano la cui partecipazione è riservata a investitori professionali e alle categorie di investitori individuate dal regolamento di cui all’articolo 39</w:t>
      </w:r>
      <w:r>
        <w:rPr>
          <w:lang w:val="it-IT"/>
        </w:rPr>
        <w:t>”;</w:t>
      </w:r>
    </w:p>
    <w:p w14:paraId="6E876163" w14:textId="1BA74584" w:rsidR="00BE26DD" w:rsidRDefault="00BE26DD" w:rsidP="00BE26DD">
      <w:pPr>
        <w:rPr>
          <w:lang w:val="it-IT"/>
        </w:rPr>
      </w:pPr>
      <w:r w:rsidRPr="00BE26DD">
        <w:rPr>
          <w:lang w:val="it-IT"/>
        </w:rPr>
        <w:t>FIA UE</w:t>
      </w:r>
      <w:r>
        <w:rPr>
          <w:lang w:val="it-IT"/>
        </w:rPr>
        <w:t>: “</w:t>
      </w:r>
      <w:r w:rsidRPr="00BE26DD">
        <w:rPr>
          <w:i/>
          <w:lang w:val="it-IT"/>
        </w:rPr>
        <w:t>gli OICR rientranti nell’ambito di applicazione della direttiva 2011/61/UE, costituiti in uno Stato dell’UE diverso dall’Italia</w:t>
      </w:r>
      <w:r>
        <w:rPr>
          <w:lang w:val="it-IT"/>
        </w:rPr>
        <w:t>”;</w:t>
      </w:r>
    </w:p>
    <w:p w14:paraId="22BD0686" w14:textId="261A8C71" w:rsidR="00BE26DD" w:rsidRDefault="00BE26DD" w:rsidP="00BE26DD">
      <w:pPr>
        <w:rPr>
          <w:lang w:val="it-IT"/>
        </w:rPr>
      </w:pPr>
      <w:r>
        <w:rPr>
          <w:lang w:val="it-IT"/>
        </w:rPr>
        <w:t>FIA non UE: “</w:t>
      </w:r>
      <w:r w:rsidRPr="00BE26DD">
        <w:rPr>
          <w:i/>
          <w:lang w:val="it-IT"/>
        </w:rPr>
        <w:t>gli OICR rientranti nell’ambito di applicazione della direttiva 2011/61/UE, costituiti in uno Stato non appartenente all’UE</w:t>
      </w:r>
      <w:r>
        <w:rPr>
          <w:lang w:val="it-IT"/>
        </w:rPr>
        <w:t>”;</w:t>
      </w:r>
    </w:p>
    <w:p w14:paraId="638AA304" w14:textId="029693E9" w:rsidR="00BE26DD" w:rsidRDefault="00C13DB9" w:rsidP="00C13DB9">
      <w:pPr>
        <w:pStyle w:val="Heading3"/>
        <w:rPr>
          <w:lang w:val="it-IT"/>
        </w:rPr>
      </w:pPr>
      <w:bookmarkStart w:id="11" w:name="_Toc100246230"/>
      <w:r>
        <w:rPr>
          <w:lang w:val="it-IT"/>
        </w:rPr>
        <w:t>Caratteri generali</w:t>
      </w:r>
      <w:bookmarkEnd w:id="11"/>
    </w:p>
    <w:p w14:paraId="3ABA4C1D" w14:textId="47F82EB1" w:rsidR="00C13DB9" w:rsidRPr="00C13DB9" w:rsidRDefault="00C13DB9" w:rsidP="00C13DB9">
      <w:pPr>
        <w:rPr>
          <w:lang w:val="it-IT"/>
        </w:rPr>
      </w:pPr>
      <w:r w:rsidRPr="00C13DB9">
        <w:rPr>
          <w:lang w:val="it-IT"/>
        </w:rPr>
        <w:t>Il servizio di gestione collettiva del rispa</w:t>
      </w:r>
      <w:r>
        <w:rPr>
          <w:lang w:val="it-IT"/>
        </w:rPr>
        <w:t xml:space="preserve">rmio è svolto con carattere di </w:t>
      </w:r>
      <w:r w:rsidRPr="00C13DB9">
        <w:rPr>
          <w:lang w:val="it-IT"/>
        </w:rPr>
        <w:t>professionalità ed è, pertanto, organizzato per essere e</w:t>
      </w:r>
      <w:r>
        <w:rPr>
          <w:lang w:val="it-IT"/>
        </w:rPr>
        <w:t xml:space="preserve">sercitato nei confronti di una </w:t>
      </w:r>
      <w:r w:rsidRPr="00C13DB9">
        <w:rPr>
          <w:lang w:val="it-IT"/>
        </w:rPr>
        <w:t xml:space="preserve">platea indeterminata di soggetti in modo sistematico e non meramente occasionale. </w:t>
      </w:r>
    </w:p>
    <w:p w14:paraId="2589F8C8" w14:textId="6A636D0E" w:rsidR="00C13DB9" w:rsidRDefault="00C13DB9" w:rsidP="00C13DB9">
      <w:pPr>
        <w:rPr>
          <w:lang w:val="it-IT"/>
        </w:rPr>
      </w:pPr>
      <w:r w:rsidRPr="00C13DB9">
        <w:rPr>
          <w:lang w:val="it-IT"/>
        </w:rPr>
        <w:t>La gestione collettiva del risparmio si caratt</w:t>
      </w:r>
      <w:r>
        <w:rPr>
          <w:lang w:val="it-IT"/>
        </w:rPr>
        <w:t xml:space="preserve">erizza, in particolare, per la </w:t>
      </w:r>
      <w:r w:rsidRPr="00C13DB9">
        <w:rPr>
          <w:lang w:val="it-IT"/>
        </w:rPr>
        <w:t>sussistenza di tre elementi tra loro strettamente connessi:</w:t>
      </w:r>
    </w:p>
    <w:p w14:paraId="035BA435" w14:textId="4ED90D39" w:rsidR="00C13DB9" w:rsidRDefault="00C13DB9" w:rsidP="005879DB">
      <w:pPr>
        <w:pStyle w:val="ListParagraph"/>
        <w:numPr>
          <w:ilvl w:val="0"/>
          <w:numId w:val="6"/>
        </w:numPr>
        <w:rPr>
          <w:lang w:val="it-IT"/>
        </w:rPr>
      </w:pPr>
      <w:r>
        <w:rPr>
          <w:lang w:val="it-IT"/>
        </w:rPr>
        <w:t>gestione di un patrimonio;</w:t>
      </w:r>
    </w:p>
    <w:p w14:paraId="4FB240B3" w14:textId="5DB293FB" w:rsidR="00C13DB9" w:rsidRDefault="00C13DB9" w:rsidP="005879DB">
      <w:pPr>
        <w:pStyle w:val="ListParagraph"/>
        <w:numPr>
          <w:ilvl w:val="0"/>
          <w:numId w:val="6"/>
        </w:numPr>
        <w:rPr>
          <w:lang w:val="it-IT"/>
        </w:rPr>
      </w:pPr>
      <w:r>
        <w:rPr>
          <w:lang w:val="it-IT"/>
        </w:rPr>
        <w:t>gestione dei rischi di tale patrimonio;</w:t>
      </w:r>
    </w:p>
    <w:p w14:paraId="1C7E1AD6" w14:textId="088C4CA1" w:rsidR="00C13DB9" w:rsidRDefault="00C13DB9" w:rsidP="005879DB">
      <w:pPr>
        <w:pStyle w:val="ListParagraph"/>
        <w:numPr>
          <w:ilvl w:val="0"/>
          <w:numId w:val="6"/>
        </w:numPr>
        <w:rPr>
          <w:lang w:val="it-IT"/>
        </w:rPr>
      </w:pPr>
      <w:r>
        <w:rPr>
          <w:lang w:val="it-IT"/>
        </w:rPr>
        <w:t>carattere collettivo dell’attività, caratterizzata dalla gestione di OICR.</w:t>
      </w:r>
    </w:p>
    <w:p w14:paraId="41D77F22" w14:textId="2CA21957" w:rsidR="00735E6B" w:rsidRDefault="00C13DB9" w:rsidP="00C13DB9">
      <w:pPr>
        <w:rPr>
          <w:lang w:val="it-IT"/>
        </w:rPr>
      </w:pPr>
      <w:r>
        <w:rPr>
          <w:lang w:val="it-IT"/>
        </w:rPr>
        <w:t xml:space="preserve">Il fine della </w:t>
      </w:r>
      <w:r w:rsidR="00735E6B">
        <w:rPr>
          <w:lang w:val="it-IT"/>
        </w:rPr>
        <w:t xml:space="preserve">gestione collettiva è quello di </w:t>
      </w:r>
      <w:r w:rsidR="00735E6B" w:rsidRPr="00735E6B">
        <w:rPr>
          <w:lang w:val="it-IT"/>
        </w:rPr>
        <w:t>generare un rendimento per gli investitori derivante dall’acquisto, dalla detenzione o dalla vendita delle attività in cui è investito il patrimonio stesso e dalle operazioni volte a ottimizzare o incrementare il valore delle suddette attività.</w:t>
      </w:r>
    </w:p>
    <w:p w14:paraId="104725D2" w14:textId="61B2F260" w:rsidR="00C13DB9" w:rsidRDefault="00C13DB9" w:rsidP="00C13DB9">
      <w:pPr>
        <w:rPr>
          <w:lang w:val="it-IT"/>
        </w:rPr>
      </w:pPr>
      <w:r>
        <w:rPr>
          <w:lang w:val="it-IT"/>
        </w:rPr>
        <w:lastRenderedPageBreak/>
        <w:t xml:space="preserve">È richiesto che il gestore valuti, </w:t>
      </w:r>
      <w:r w:rsidRPr="00C13DB9">
        <w:rPr>
          <w:lang w:val="it-IT"/>
        </w:rPr>
        <w:t>prima dell’investimento e nel continuo</w:t>
      </w:r>
      <w:r>
        <w:rPr>
          <w:lang w:val="it-IT"/>
        </w:rPr>
        <w:t xml:space="preserve">, la coerenza delle singole </w:t>
      </w:r>
      <w:r w:rsidRPr="00C13DB9">
        <w:rPr>
          <w:lang w:val="it-IT"/>
        </w:rPr>
        <w:t>operazioni e del portafoglio nel suo complesso con gli obiettivi della gestione</w:t>
      </w:r>
      <w:r>
        <w:rPr>
          <w:lang w:val="it-IT"/>
        </w:rPr>
        <w:t xml:space="preserve">, la disciplina di riferimento o i limiti prudenziali previsti dal regolamento o dallo statuto. </w:t>
      </w:r>
    </w:p>
    <w:p w14:paraId="304E9F90" w14:textId="0944B160" w:rsidR="001B6483" w:rsidRPr="001B6483" w:rsidRDefault="001B6483" w:rsidP="001B6483">
      <w:pPr>
        <w:pStyle w:val="Heading1"/>
        <w:rPr>
          <w:lang w:val="it-IT"/>
        </w:rPr>
      </w:pPr>
      <w:bookmarkStart w:id="12" w:name="_Toc100246231"/>
      <w:r w:rsidRPr="001B6483">
        <w:rPr>
          <w:lang w:val="it-IT"/>
        </w:rPr>
        <w:t>Capitolo 2</w:t>
      </w:r>
      <w:bookmarkEnd w:id="12"/>
    </w:p>
    <w:p w14:paraId="0FFDA7AF" w14:textId="42D63F6B" w:rsidR="00AF709F" w:rsidRDefault="00AF709F" w:rsidP="00BF1C60">
      <w:pPr>
        <w:pStyle w:val="Heading2"/>
        <w:rPr>
          <w:lang w:val="it-IT"/>
        </w:rPr>
      </w:pPr>
      <w:bookmarkStart w:id="13" w:name="_Toc100246232"/>
      <w:r w:rsidRPr="00AF709F">
        <w:rPr>
          <w:lang w:val="it-IT"/>
        </w:rPr>
        <w:t>Efficienza del mercato immobiliare</w:t>
      </w:r>
      <w:bookmarkEnd w:id="13"/>
    </w:p>
    <w:p w14:paraId="70C10DC2" w14:textId="77777777" w:rsidR="00BF1C60" w:rsidRPr="00BF1C60" w:rsidRDefault="00BF1C60" w:rsidP="00BF1C60">
      <w:pPr>
        <w:rPr>
          <w:lang w:val="it-IT"/>
        </w:rPr>
      </w:pPr>
    </w:p>
    <w:p w14:paraId="49A49FDA" w14:textId="5DFEA98C" w:rsidR="00AF709F" w:rsidRDefault="00AF709F" w:rsidP="00C454AC">
      <w:pPr>
        <w:jc w:val="both"/>
        <w:rPr>
          <w:lang w:val="it-IT"/>
        </w:rPr>
      </w:pPr>
      <w:r>
        <w:rPr>
          <w:lang w:val="it-IT"/>
        </w:rPr>
        <w:t xml:space="preserve">Il concetto di efficienza è fondamentale per capire l’economia del mercato. Gli economisti descrivono l’efficienza come l’ottima allocazione delle risorse tra due o più individui di beni i quali presentano diverse utilità. La teoria sostiene che </w:t>
      </w:r>
      <w:r w:rsidRPr="00AF709F">
        <w:rPr>
          <w:lang w:val="it-IT"/>
        </w:rPr>
        <w:t xml:space="preserve">una particolare allocazione di beni è considerabile pareto-efficiente o ottima in termini paretiani quando non esiste una modifica della stessa capace di </w:t>
      </w:r>
      <w:r>
        <w:rPr>
          <w:lang w:val="it-IT"/>
        </w:rPr>
        <w:t>migliorare la condizione di un soggetto senza</w:t>
      </w:r>
      <w:r w:rsidR="00510439">
        <w:rPr>
          <w:lang w:val="it-IT"/>
        </w:rPr>
        <w:t xml:space="preserve"> peggiorare quella di un altro.</w:t>
      </w:r>
    </w:p>
    <w:p w14:paraId="0DBB532D" w14:textId="01A12B3B" w:rsidR="00510439" w:rsidRDefault="00510439" w:rsidP="00C454AC">
      <w:pPr>
        <w:jc w:val="both"/>
        <w:rPr>
          <w:lang w:val="it-IT"/>
        </w:rPr>
      </w:pPr>
      <w:r>
        <w:rPr>
          <w:lang w:val="it-IT"/>
        </w:rPr>
        <w:t xml:space="preserve">La letteratura economica identifica tre distinte (ma correlate) tipologie di efficienza: informativa, allocativa e operativa. </w:t>
      </w:r>
    </w:p>
    <w:p w14:paraId="19EB0AB4" w14:textId="2814DCFC" w:rsidR="00510439" w:rsidRDefault="00510439" w:rsidP="00C454AC">
      <w:pPr>
        <w:jc w:val="both"/>
        <w:rPr>
          <w:lang w:val="it-IT"/>
        </w:rPr>
      </w:pPr>
      <w:r>
        <w:rPr>
          <w:lang w:val="it-IT"/>
        </w:rPr>
        <w:t>Un mercato efficiente, come definito da Fama</w:t>
      </w:r>
      <w:r>
        <w:rPr>
          <w:rStyle w:val="FootnoteReference"/>
          <w:lang w:val="it-IT"/>
        </w:rPr>
        <w:footnoteReference w:id="13"/>
      </w:r>
      <w:r>
        <w:rPr>
          <w:lang w:val="it-IT"/>
        </w:rPr>
        <w:t xml:space="preserve"> implica che tutti i prezzi di mercato riflettano istantaneamente e in pieno tutte le informazioni rilevanti disponibili. Grossman e Stiglitz</w:t>
      </w:r>
      <w:r>
        <w:rPr>
          <w:rStyle w:val="FootnoteReference"/>
          <w:lang w:val="it-IT"/>
        </w:rPr>
        <w:footnoteReference w:id="14"/>
      </w:r>
      <w:r>
        <w:rPr>
          <w:lang w:val="it-IT"/>
        </w:rPr>
        <w:t xml:space="preserve"> dimostrano come, </w:t>
      </w:r>
      <w:r w:rsidR="00EA4B92">
        <w:rPr>
          <w:lang w:val="it-IT"/>
        </w:rPr>
        <w:t>affinché</w:t>
      </w:r>
      <w:r>
        <w:rPr>
          <w:lang w:val="it-IT"/>
        </w:rPr>
        <w:t xml:space="preserve"> i mercati siano pienamente efficienti, non vi debbano essere costi associati all’ottenimento delle informazioni o all’esecuzione degli ordini. Un’altra definizione di efficienza del mercato è quella secondo cui i prezzi riflettono le informazioni disponibili fino al punt</w:t>
      </w:r>
      <w:r w:rsidR="00071BFD">
        <w:rPr>
          <w:lang w:val="it-IT"/>
        </w:rPr>
        <w:t>o in cui i benefici marginali dell’</w:t>
      </w:r>
      <w:r>
        <w:rPr>
          <w:lang w:val="it-IT"/>
        </w:rPr>
        <w:t>agire in base all’informazione sovrastano i costi marginali.</w:t>
      </w:r>
    </w:p>
    <w:p w14:paraId="31FFB81E" w14:textId="65D96049" w:rsidR="00510439" w:rsidRDefault="00510439" w:rsidP="00C454AC">
      <w:pPr>
        <w:jc w:val="both"/>
        <w:rPr>
          <w:lang w:val="it-IT"/>
        </w:rPr>
      </w:pPr>
      <w:r>
        <w:rPr>
          <w:lang w:val="it-IT"/>
        </w:rPr>
        <w:t xml:space="preserve">Se i prezzi riflettono in pieno le informazioni disponibili, tutte le risorse che investono nel mercato verranno allocate nel modo più produttivo, ovvero nei beni che danno il rendimento più alto rispetto al rischio corrispondente. </w:t>
      </w:r>
    </w:p>
    <w:p w14:paraId="6994E624" w14:textId="6A9138A5" w:rsidR="00ED52C9" w:rsidRDefault="00ED52C9" w:rsidP="00C454AC">
      <w:pPr>
        <w:jc w:val="both"/>
        <w:rPr>
          <w:lang w:val="it-IT"/>
        </w:rPr>
      </w:pPr>
      <w:r>
        <w:rPr>
          <w:lang w:val="it-IT"/>
        </w:rPr>
        <w:t xml:space="preserve">La teoria dell’efficienza del mercato è l’applicazione del teorema del “profitto zero” di un’economia perfettamente competitiva. </w:t>
      </w:r>
      <w:r w:rsidR="00EA4B92">
        <w:rPr>
          <w:lang w:val="it-IT"/>
        </w:rPr>
        <w:t>Infatti,</w:t>
      </w:r>
      <w:r>
        <w:rPr>
          <w:lang w:val="it-IT"/>
        </w:rPr>
        <w:t xml:space="preserve"> in un mercato perfettamente competitivo ogni informazione viene scontata prontamente da tutti gli attori del mercato e ciò non dà spazio allo sfruttamento di profitti.</w:t>
      </w:r>
    </w:p>
    <w:p w14:paraId="59050C2F" w14:textId="4CCCCB91" w:rsidR="00510439" w:rsidRDefault="001C47B1" w:rsidP="00C454AC">
      <w:pPr>
        <w:jc w:val="both"/>
        <w:rPr>
          <w:lang w:val="it-IT"/>
        </w:rPr>
      </w:pPr>
      <w:r>
        <w:rPr>
          <w:lang w:val="it-IT"/>
        </w:rPr>
        <w:t xml:space="preserve">Il concetto di arbitraggio e di aspettative razionali rappresentano i concetti di investimento primari necessari per supportare l’ipotesi di efficienza del mercato. </w:t>
      </w:r>
      <w:r w:rsidR="00EA4B92">
        <w:rPr>
          <w:lang w:val="it-IT"/>
        </w:rPr>
        <w:t>Infatti,</w:t>
      </w:r>
      <w:r>
        <w:rPr>
          <w:lang w:val="it-IT"/>
        </w:rPr>
        <w:t xml:space="preserve"> garantiscono che le nuove informazioni rilevanti siano scontate prontam</w:t>
      </w:r>
      <w:r w:rsidR="0029512C">
        <w:rPr>
          <w:lang w:val="it-IT"/>
        </w:rPr>
        <w:t>ente nei prezzi.</w:t>
      </w:r>
    </w:p>
    <w:p w14:paraId="287BD6CA" w14:textId="7A2E11D4" w:rsidR="00F86195" w:rsidRDefault="00C454AC" w:rsidP="00C454AC">
      <w:pPr>
        <w:jc w:val="both"/>
        <w:rPr>
          <w:lang w:val="it-IT"/>
        </w:rPr>
      </w:pPr>
      <w:r>
        <w:rPr>
          <w:lang w:val="it-IT"/>
        </w:rPr>
        <w:t xml:space="preserve">Dal momento che in un mercato efficiente tutte le informazioni disponibili vengono incorporate nei prezzi delle azioni. Un’implicazione dell’ipotesi di mercato efficiente è che i prezzi seguono un random walk </w:t>
      </w:r>
    </w:p>
    <w:p w14:paraId="2AF53E2A" w14:textId="3972305E" w:rsidR="00C454AC" w:rsidRDefault="00004AB9" w:rsidP="00C454AC">
      <w:pPr>
        <w:jc w:val="both"/>
        <w:rPr>
          <w:lang w:val="it-IT"/>
        </w:rPr>
      </w:pPr>
      <m:oMathPara>
        <m:oMath>
          <m:sSub>
            <m:sSubPr>
              <m:ctrlPr>
                <w:rPr>
                  <w:rFonts w:ascii="Cambria Math" w:hAnsi="Cambria Math"/>
                  <w:i/>
                  <w:lang w:val="it-IT"/>
                </w:rPr>
              </m:ctrlPr>
            </m:sSubPr>
            <m:e>
              <m:r>
                <w:rPr>
                  <w:rFonts w:ascii="Cambria Math" w:hAnsi="Cambria Math"/>
                  <w:lang w:val="it-IT"/>
                </w:rPr>
                <m:t>p</m:t>
              </m:r>
            </m:e>
            <m:sub>
              <m:r>
                <w:rPr>
                  <w:rFonts w:ascii="Cambria Math" w:hAnsi="Cambria Math"/>
                  <w:lang w:val="it-IT"/>
                </w:rPr>
                <m:t>t+1</m:t>
              </m:r>
            </m:sub>
          </m:sSub>
          <m:r>
            <w:rPr>
              <w:rFonts w:ascii="Cambria Math" w:hAnsi="Cambria Math"/>
              <w:lang w:val="it-IT"/>
            </w:rPr>
            <m:t>-</m:t>
          </m:r>
          <m:sSub>
            <m:sSubPr>
              <m:ctrlPr>
                <w:rPr>
                  <w:rFonts w:ascii="Cambria Math" w:hAnsi="Cambria Math"/>
                  <w:i/>
                  <w:lang w:val="it-IT"/>
                </w:rPr>
              </m:ctrlPr>
            </m:sSubPr>
            <m:e>
              <m:r>
                <w:rPr>
                  <w:rFonts w:ascii="Cambria Math" w:hAnsi="Cambria Math"/>
                  <w:lang w:val="it-IT"/>
                </w:rPr>
                <m:t>p</m:t>
              </m:r>
            </m:e>
            <m:sub>
              <m:r>
                <w:rPr>
                  <w:rFonts w:ascii="Cambria Math" w:hAnsi="Cambria Math"/>
                  <w:lang w:val="it-IT"/>
                </w:rPr>
                <m:t>t</m:t>
              </m:r>
            </m:sub>
          </m:sSub>
          <m:r>
            <w:rPr>
              <w:rFonts w:ascii="Cambria Math" w:hAnsi="Cambria Math"/>
              <w:lang w:val="it-IT"/>
            </w:rPr>
            <m:t>=</m:t>
          </m:r>
          <m:sSub>
            <m:sSubPr>
              <m:ctrlPr>
                <w:rPr>
                  <w:rFonts w:ascii="Cambria Math" w:hAnsi="Cambria Math"/>
                  <w:i/>
                  <w:lang w:val="it-IT"/>
                </w:rPr>
              </m:ctrlPr>
            </m:sSubPr>
            <m:e>
              <m:r>
                <w:rPr>
                  <w:rFonts w:ascii="Cambria Math" w:hAnsi="Cambria Math"/>
                  <w:lang w:val="it-IT"/>
                </w:rPr>
                <m:t>ε</m:t>
              </m:r>
            </m:e>
            <m:sub>
              <m:r>
                <w:rPr>
                  <w:rFonts w:ascii="Cambria Math" w:hAnsi="Cambria Math"/>
                  <w:lang w:val="it-IT"/>
                </w:rPr>
                <m:t>t+1</m:t>
              </m:r>
            </m:sub>
          </m:sSub>
        </m:oMath>
      </m:oMathPara>
    </w:p>
    <w:p w14:paraId="2C595567" w14:textId="00FCD93E" w:rsidR="00C454AC" w:rsidRDefault="00C454AC" w:rsidP="00C454AC">
      <w:pPr>
        <w:jc w:val="both"/>
        <w:rPr>
          <w:lang w:val="it-IT"/>
        </w:rPr>
      </w:pPr>
      <w:r>
        <w:rPr>
          <w:lang w:val="it-IT"/>
        </w:rPr>
        <w:t>O più genericamente una Martingale</w:t>
      </w:r>
    </w:p>
    <w:p w14:paraId="7F26CFA0" w14:textId="0578923E" w:rsidR="00C454AC" w:rsidRDefault="00C454AC" w:rsidP="00C454AC">
      <w:pPr>
        <w:jc w:val="center"/>
        <w:rPr>
          <w:lang w:val="it-IT"/>
        </w:rPr>
      </w:pPr>
      <m:oMath>
        <m:r>
          <w:rPr>
            <w:rFonts w:ascii="Cambria Math" w:hAnsi="Cambria Math"/>
            <w:lang w:val="it-IT"/>
          </w:rPr>
          <m:t>E</m:t>
        </m:r>
        <m:d>
          <m:dPr>
            <m:endChr m:val="|"/>
            <m:ctrlPr>
              <w:rPr>
                <w:rFonts w:ascii="Cambria Math" w:hAnsi="Cambria Math"/>
                <w:i/>
                <w:lang w:val="it-IT"/>
              </w:rPr>
            </m:ctrlPr>
          </m:dPr>
          <m:e>
            <m:sSub>
              <m:sSubPr>
                <m:ctrlPr>
                  <w:rPr>
                    <w:rFonts w:ascii="Cambria Math" w:hAnsi="Cambria Math"/>
                    <w:i/>
                    <w:lang w:val="it-IT"/>
                  </w:rPr>
                </m:ctrlPr>
              </m:sSubPr>
              <m:e>
                <m:r>
                  <w:rPr>
                    <w:rFonts w:ascii="Cambria Math" w:hAnsi="Cambria Math"/>
                    <w:lang w:val="it-IT"/>
                  </w:rPr>
                  <m:t>p</m:t>
                </m:r>
              </m:e>
              <m:sub>
                <m:r>
                  <w:rPr>
                    <w:rFonts w:ascii="Cambria Math" w:hAnsi="Cambria Math"/>
                    <w:lang w:val="it-IT"/>
                  </w:rPr>
                  <m:t>t+1</m:t>
                </m:r>
              </m:sub>
            </m:sSub>
            <m:r>
              <w:rPr>
                <w:rFonts w:ascii="Cambria Math" w:hAnsi="Cambria Math"/>
                <w:lang w:val="it-IT"/>
              </w:rPr>
              <m:t>-</m:t>
            </m:r>
            <m:sSub>
              <m:sSubPr>
                <m:ctrlPr>
                  <w:rPr>
                    <w:rFonts w:ascii="Cambria Math" w:hAnsi="Cambria Math"/>
                    <w:i/>
                    <w:lang w:val="it-IT"/>
                  </w:rPr>
                </m:ctrlPr>
              </m:sSubPr>
              <m:e>
                <m:r>
                  <w:rPr>
                    <w:rFonts w:ascii="Cambria Math" w:hAnsi="Cambria Math"/>
                    <w:lang w:val="it-IT"/>
                  </w:rPr>
                  <m:t>p</m:t>
                </m:r>
              </m:e>
              <m:sub>
                <m:r>
                  <w:rPr>
                    <w:rFonts w:ascii="Cambria Math" w:hAnsi="Cambria Math"/>
                    <w:lang w:val="it-IT"/>
                  </w:rPr>
                  <m:t>t</m:t>
                </m:r>
              </m:sub>
            </m:sSub>
            <m:r>
              <w:rPr>
                <w:rFonts w:ascii="Cambria Math" w:eastAsiaTheme="minorEastAsia" w:hAnsi="Cambria Math"/>
                <w:lang w:val="it-IT"/>
              </w:rPr>
              <m:t xml:space="preserve"> </m:t>
            </m:r>
            <m:ctrlPr>
              <w:rPr>
                <w:rFonts w:ascii="Cambria Math" w:eastAsiaTheme="minorEastAsia" w:hAnsi="Cambria Math"/>
                <w:i/>
                <w:lang w:val="it-IT"/>
              </w:rPr>
            </m:ctrlPr>
          </m:e>
        </m:d>
        <m:r>
          <w:rPr>
            <w:rFonts w:ascii="Cambria Math" w:eastAsiaTheme="minorEastAsia" w:hAnsi="Cambria Math"/>
            <w:lang w:val="it-IT"/>
          </w:rPr>
          <m:t xml:space="preserve"> </m:t>
        </m:r>
        <m:sSub>
          <m:sSubPr>
            <m:ctrlPr>
              <w:rPr>
                <w:rFonts w:ascii="Cambria Math" w:eastAsiaTheme="minorEastAsia" w:hAnsi="Cambria Math"/>
                <w:i/>
                <w:lang w:val="it-IT"/>
              </w:rPr>
            </m:ctrlPr>
          </m:sSubPr>
          <m:e>
            <m:r>
              <w:rPr>
                <w:rFonts w:ascii="Cambria Math" w:eastAsiaTheme="minorEastAsia" w:hAnsi="Cambria Math"/>
                <w:lang w:val="it-IT"/>
              </w:rPr>
              <m:t>Ω</m:t>
            </m:r>
          </m:e>
          <m:sub>
            <m:r>
              <w:rPr>
                <w:rFonts w:ascii="Cambria Math" w:eastAsiaTheme="minorEastAsia" w:hAnsi="Cambria Math"/>
                <w:lang w:val="it-IT"/>
              </w:rPr>
              <m:t>t</m:t>
            </m:r>
          </m:sub>
        </m:sSub>
        <m:r>
          <w:rPr>
            <w:rFonts w:ascii="Cambria Math" w:eastAsiaTheme="minorEastAsia" w:hAnsi="Cambria Math"/>
            <w:lang w:val="it-IT"/>
          </w:rPr>
          <m:t>)=0</m:t>
        </m:r>
      </m:oMath>
      <w:r>
        <w:rPr>
          <w:rFonts w:eastAsiaTheme="minorEastAsia"/>
          <w:lang w:val="it-IT"/>
        </w:rPr>
        <w:t xml:space="preserve">  </w:t>
      </w:r>
    </w:p>
    <w:p w14:paraId="17660926" w14:textId="540580D1" w:rsidR="00C454AC" w:rsidRDefault="00C454AC" w:rsidP="00C454AC">
      <w:pPr>
        <w:jc w:val="both"/>
        <w:rPr>
          <w:rFonts w:eastAsiaTheme="minorEastAsia"/>
          <w:lang w:val="it-IT"/>
        </w:rPr>
      </w:pPr>
      <w:r>
        <w:rPr>
          <w:lang w:val="it-IT"/>
        </w:rPr>
        <w:t xml:space="preserve">Dove </w:t>
      </w:r>
      <w:r>
        <w:rPr>
          <w:rFonts w:cstheme="minorHAnsi"/>
          <w:lang w:val="it-IT"/>
        </w:rPr>
        <w:t>Ω</w:t>
      </w:r>
      <w:r>
        <w:rPr>
          <w:vertAlign w:val="subscript"/>
          <w:lang w:val="it-IT"/>
        </w:rPr>
        <w:t>t</w:t>
      </w:r>
      <w:r>
        <w:rPr>
          <w:lang w:val="it-IT"/>
        </w:rPr>
        <w:t xml:space="preserve"> = {</w:t>
      </w:r>
      <m:oMath>
        <m:sSub>
          <m:sSubPr>
            <m:ctrlPr>
              <w:rPr>
                <w:rFonts w:ascii="Cambria Math" w:hAnsi="Cambria Math"/>
                <w:i/>
                <w:lang w:val="it-IT"/>
              </w:rPr>
            </m:ctrlPr>
          </m:sSubPr>
          <m:e>
            <m:r>
              <w:rPr>
                <w:rFonts w:ascii="Cambria Math" w:hAnsi="Cambria Math"/>
                <w:lang w:val="it-IT"/>
              </w:rPr>
              <m:t>p</m:t>
            </m:r>
          </m:e>
          <m:sub>
            <m:r>
              <w:rPr>
                <w:rFonts w:ascii="Cambria Math" w:hAnsi="Cambria Math"/>
                <w:lang w:val="it-IT"/>
              </w:rPr>
              <m:t>t</m:t>
            </m:r>
          </m:sub>
        </m:sSub>
        <m:r>
          <w:rPr>
            <w:rFonts w:ascii="Cambria Math" w:hAnsi="Cambria Math"/>
            <w:lang w:val="it-IT"/>
          </w:rPr>
          <m:t>,</m:t>
        </m:r>
        <m:sSub>
          <m:sSubPr>
            <m:ctrlPr>
              <w:rPr>
                <w:rFonts w:ascii="Cambria Math" w:hAnsi="Cambria Math"/>
                <w:i/>
                <w:lang w:val="it-IT"/>
              </w:rPr>
            </m:ctrlPr>
          </m:sSubPr>
          <m:e>
            <m:r>
              <w:rPr>
                <w:rFonts w:ascii="Cambria Math" w:hAnsi="Cambria Math"/>
                <w:lang w:val="it-IT"/>
              </w:rPr>
              <m:t>p</m:t>
            </m:r>
          </m:e>
          <m:sub>
            <m:r>
              <w:rPr>
                <w:rFonts w:ascii="Cambria Math" w:hAnsi="Cambria Math"/>
                <w:lang w:val="it-IT"/>
              </w:rPr>
              <m:t>t-1</m:t>
            </m:r>
          </m:sub>
        </m:sSub>
        <m:r>
          <w:rPr>
            <w:rFonts w:ascii="Cambria Math" w:hAnsi="Cambria Math"/>
            <w:lang w:val="it-IT"/>
          </w:rPr>
          <m:t>,</m:t>
        </m:r>
        <m:sSub>
          <m:sSubPr>
            <m:ctrlPr>
              <w:rPr>
                <w:rFonts w:ascii="Cambria Math" w:hAnsi="Cambria Math"/>
                <w:i/>
                <w:lang w:val="it-IT"/>
              </w:rPr>
            </m:ctrlPr>
          </m:sSubPr>
          <m:e>
            <m:r>
              <w:rPr>
                <w:rFonts w:ascii="Cambria Math" w:hAnsi="Cambria Math"/>
                <w:lang w:val="it-IT"/>
              </w:rPr>
              <m:t>p</m:t>
            </m:r>
          </m:e>
          <m:sub>
            <m:r>
              <w:rPr>
                <w:rFonts w:ascii="Cambria Math" w:hAnsi="Cambria Math"/>
                <w:lang w:val="it-IT"/>
              </w:rPr>
              <m:t>t-2</m:t>
            </m:r>
          </m:sub>
        </m:sSub>
        <m:r>
          <w:rPr>
            <w:rFonts w:ascii="Cambria Math" w:hAnsi="Cambria Math"/>
            <w:lang w:val="it-IT"/>
          </w:rPr>
          <m:t>,…</m:t>
        </m:r>
      </m:oMath>
      <w:r>
        <w:rPr>
          <w:rFonts w:eastAsiaTheme="minorEastAsia"/>
          <w:lang w:val="it-IT"/>
        </w:rPr>
        <w:t xml:space="preserve">}. Le Martingale sono delle variabili le cui variazioni future sono completamente imprevedibili dato il corrente set informativo. In altre parole, le direzioni dei futuri movimenti nelle martingale sono impossibili da prevedere. </w:t>
      </w:r>
    </w:p>
    <w:p w14:paraId="722BB2E2" w14:textId="1763483C" w:rsidR="00C454AC" w:rsidRDefault="00C454AC" w:rsidP="00C454AC">
      <w:pPr>
        <w:jc w:val="both"/>
        <w:rPr>
          <w:rFonts w:eastAsiaTheme="minorEastAsia"/>
          <w:lang w:val="it-IT"/>
        </w:rPr>
      </w:pPr>
      <w:r>
        <w:rPr>
          <w:rFonts w:eastAsiaTheme="minorEastAsia"/>
          <w:lang w:val="it-IT"/>
        </w:rPr>
        <w:lastRenderedPageBreak/>
        <w:t>Dunque la migliore previsione del prezzo futuro è il prezzo odierno:</w:t>
      </w:r>
    </w:p>
    <w:p w14:paraId="56D6F405" w14:textId="6D1A3587" w:rsidR="00C454AC" w:rsidRPr="0029512C" w:rsidRDefault="00C454AC" w:rsidP="00C454AC">
      <w:pPr>
        <w:jc w:val="center"/>
        <w:rPr>
          <w:rFonts w:eastAsiaTheme="minorEastAsia"/>
          <w:lang w:val="it-IT"/>
        </w:rPr>
      </w:pPr>
      <m:oMathPara>
        <m:oMath>
          <m:r>
            <w:rPr>
              <w:rFonts w:ascii="Cambria Math" w:hAnsi="Cambria Math"/>
              <w:lang w:val="it-IT"/>
            </w:rPr>
            <m:t>E</m:t>
          </m:r>
          <m:d>
            <m:dPr>
              <m:endChr m:val="|"/>
              <m:ctrlPr>
                <w:rPr>
                  <w:rFonts w:ascii="Cambria Math" w:hAnsi="Cambria Math"/>
                  <w:i/>
                  <w:lang w:val="it-IT"/>
                </w:rPr>
              </m:ctrlPr>
            </m:dPr>
            <m:e>
              <m:sSub>
                <m:sSubPr>
                  <m:ctrlPr>
                    <w:rPr>
                      <w:rFonts w:ascii="Cambria Math" w:hAnsi="Cambria Math"/>
                      <w:i/>
                      <w:lang w:val="it-IT"/>
                    </w:rPr>
                  </m:ctrlPr>
                </m:sSubPr>
                <m:e>
                  <m:r>
                    <w:rPr>
                      <w:rFonts w:ascii="Cambria Math" w:hAnsi="Cambria Math"/>
                      <w:lang w:val="it-IT"/>
                    </w:rPr>
                    <m:t>p</m:t>
                  </m:r>
                </m:e>
                <m:sub>
                  <m:r>
                    <w:rPr>
                      <w:rFonts w:ascii="Cambria Math" w:hAnsi="Cambria Math"/>
                      <w:lang w:val="it-IT"/>
                    </w:rPr>
                    <m:t>t+1</m:t>
                  </m:r>
                </m:sub>
              </m:sSub>
              <m:r>
                <w:rPr>
                  <w:rFonts w:ascii="Cambria Math" w:hAnsi="Cambria Math"/>
                  <w:lang w:val="it-IT"/>
                </w:rPr>
                <m:t xml:space="preserve"> </m:t>
              </m:r>
            </m:e>
          </m:d>
          <m:r>
            <w:rPr>
              <w:rFonts w:ascii="Cambria Math" w:hAnsi="Cambria Math"/>
              <w:lang w:val="it-IT"/>
            </w:rPr>
            <m:t xml:space="preserve"> </m:t>
          </m:r>
          <m:sSub>
            <m:sSubPr>
              <m:ctrlPr>
                <w:rPr>
                  <w:rFonts w:ascii="Cambria Math" w:hAnsi="Cambria Math"/>
                  <w:i/>
                  <w:lang w:val="it-IT"/>
                </w:rPr>
              </m:ctrlPr>
            </m:sSubPr>
            <m:e>
              <m:r>
                <w:rPr>
                  <w:rFonts w:ascii="Cambria Math" w:hAnsi="Cambria Math"/>
                  <w:lang w:val="it-IT"/>
                </w:rPr>
                <m:t>Ω</m:t>
              </m:r>
            </m:e>
            <m:sub>
              <m:r>
                <w:rPr>
                  <w:rFonts w:ascii="Cambria Math" w:hAnsi="Cambria Math"/>
                  <w:lang w:val="it-IT"/>
                </w:rPr>
                <m:t>t</m:t>
              </m:r>
            </m:sub>
          </m:sSub>
          <m:r>
            <w:rPr>
              <w:rFonts w:ascii="Cambria Math" w:hAnsi="Cambria Math"/>
              <w:lang w:val="it-IT"/>
            </w:rPr>
            <m:t>)=</m:t>
          </m:r>
          <m:sSub>
            <m:sSubPr>
              <m:ctrlPr>
                <w:rPr>
                  <w:rFonts w:ascii="Cambria Math" w:hAnsi="Cambria Math"/>
                  <w:i/>
                  <w:lang w:val="it-IT"/>
                </w:rPr>
              </m:ctrlPr>
            </m:sSubPr>
            <m:e>
              <m:r>
                <w:rPr>
                  <w:rFonts w:ascii="Cambria Math" w:hAnsi="Cambria Math"/>
                  <w:lang w:val="it-IT"/>
                </w:rPr>
                <m:t>p</m:t>
              </m:r>
            </m:e>
            <m:sub>
              <m:r>
                <w:rPr>
                  <w:rFonts w:ascii="Cambria Math" w:hAnsi="Cambria Math"/>
                  <w:lang w:val="it-IT"/>
                </w:rPr>
                <m:t>t</m:t>
              </m:r>
            </m:sub>
          </m:sSub>
        </m:oMath>
      </m:oMathPara>
    </w:p>
    <w:p w14:paraId="6E9278B3" w14:textId="595E5775" w:rsidR="0029512C" w:rsidRPr="00C454AC" w:rsidRDefault="0029512C" w:rsidP="0029512C">
      <w:pPr>
        <w:jc w:val="both"/>
        <w:rPr>
          <w:rFonts w:eastAsiaTheme="minorEastAsia"/>
          <w:lang w:val="it-IT"/>
        </w:rPr>
      </w:pPr>
      <w:r>
        <w:rPr>
          <w:rFonts w:eastAsiaTheme="minorEastAsia"/>
          <w:lang w:val="it-IT"/>
        </w:rPr>
        <w:t xml:space="preserve">Più un mercato è efficiente più il movimento del prezzo è randomico. </w:t>
      </w:r>
    </w:p>
    <w:p w14:paraId="2429F6F0" w14:textId="03FFB04C" w:rsidR="00C454AC" w:rsidRDefault="00C454AC" w:rsidP="00C454AC">
      <w:pPr>
        <w:pStyle w:val="Heading2"/>
        <w:rPr>
          <w:lang w:val="it-IT"/>
        </w:rPr>
      </w:pPr>
      <w:bookmarkStart w:id="14" w:name="_Toc100246233"/>
      <w:r>
        <w:rPr>
          <w:lang w:val="it-IT"/>
        </w:rPr>
        <w:t>Inefficienze del mercato immobiliare</w:t>
      </w:r>
      <w:bookmarkEnd w:id="14"/>
    </w:p>
    <w:p w14:paraId="0CC9A6BD" w14:textId="77777777" w:rsidR="00C454AC" w:rsidRPr="00C454AC" w:rsidRDefault="00C454AC" w:rsidP="00C454AC">
      <w:pPr>
        <w:rPr>
          <w:lang w:val="it-IT"/>
        </w:rPr>
      </w:pPr>
    </w:p>
    <w:p w14:paraId="29C99FD9" w14:textId="6CB6654E" w:rsidR="00103BBF" w:rsidRDefault="00103BBF" w:rsidP="00C454AC">
      <w:pPr>
        <w:jc w:val="both"/>
        <w:rPr>
          <w:lang w:val="it-IT"/>
        </w:rPr>
      </w:pPr>
      <w:r>
        <w:rPr>
          <w:lang w:val="it-IT"/>
        </w:rPr>
        <w:t>Le inefficienze del mercato immobiliare sono</w:t>
      </w:r>
      <w:r w:rsidR="006E49CB">
        <w:rPr>
          <w:rStyle w:val="FootnoteReference"/>
          <w:lang w:val="it-IT"/>
        </w:rPr>
        <w:footnoteReference w:id="15"/>
      </w:r>
      <w:r>
        <w:rPr>
          <w:lang w:val="it-IT"/>
        </w:rPr>
        <w:t>:</w:t>
      </w:r>
    </w:p>
    <w:p w14:paraId="6B52A8A3" w14:textId="3A75D4B0" w:rsidR="00103BBF" w:rsidRDefault="00103BBF" w:rsidP="005879DB">
      <w:pPr>
        <w:pStyle w:val="ListParagraph"/>
        <w:numPr>
          <w:ilvl w:val="0"/>
          <w:numId w:val="7"/>
        </w:numPr>
        <w:jc w:val="both"/>
        <w:rPr>
          <w:lang w:val="it-IT"/>
        </w:rPr>
      </w:pPr>
      <w:r w:rsidRPr="00103BBF">
        <w:rPr>
          <w:i/>
          <w:lang w:val="it-IT"/>
        </w:rPr>
        <w:t>Prodotti eterogenei</w:t>
      </w:r>
      <w:r>
        <w:rPr>
          <w:lang w:val="it-IT"/>
        </w:rPr>
        <w:t xml:space="preserve">: gli immobili sono ben lontani da essere prodotti omogenei. Ogni immobile differisce dall’altro per molti aspetti, il più importante sicuramente il posizionamento. Il posizionamento definisce anche la tipologia di immobile. In zone industriali difficilmente si troveranno immobili residenziali. È qui che entra il gioco la divisione del RE in sottomercati definiti dalla tipologia, location e caratteristiche intrinseche. Per queste ragioni, il set informativo rilevante può essere molto complesso e non sempre completo. Da notare: questa è una caratteristica anche del mercato azionario. </w:t>
      </w:r>
    </w:p>
    <w:p w14:paraId="68CA44B6" w14:textId="51E48636" w:rsidR="00103BBF" w:rsidRDefault="00103BBF" w:rsidP="005879DB">
      <w:pPr>
        <w:pStyle w:val="ListParagraph"/>
        <w:numPr>
          <w:ilvl w:val="0"/>
          <w:numId w:val="7"/>
        </w:numPr>
        <w:jc w:val="both"/>
        <w:rPr>
          <w:lang w:val="it-IT"/>
        </w:rPr>
      </w:pPr>
      <w:r>
        <w:rPr>
          <w:i/>
          <w:lang w:val="it-IT"/>
        </w:rPr>
        <w:t>Transazioni caratterizzate da alti costi e basse frequenze</w:t>
      </w:r>
      <w:r w:rsidRPr="00103BBF">
        <w:rPr>
          <w:lang w:val="it-IT"/>
        </w:rPr>
        <w:t>:</w:t>
      </w:r>
      <w:r>
        <w:rPr>
          <w:lang w:val="it-IT"/>
        </w:rPr>
        <w:t xml:space="preserve"> le transazioni nel mercato immobiliare sono caratterizzate da alti costi di intermediazione, sia in forma di tasse che di commissioni private. </w:t>
      </w:r>
      <w:r w:rsidR="006E49CB">
        <w:rPr>
          <w:lang w:val="it-IT"/>
        </w:rPr>
        <w:t xml:space="preserve">Esempi di commissioni private sono quelle dovute ai periti, agenti immobiliari o i notai. Esempi di tasse o imposte sono ad esempio le imposte di registro, catastali, ipotecarie. Dal momento che questi costi sono tanti sia in quantità che in valore le transazioni sono infrequenti. Per questo motivo, i prezzi non possono cambiare abbastanza frequentemente quanto viene richiesto dal mercato efficiente e non riescono a reagire all’emissione di nuove informazioni. </w:t>
      </w:r>
    </w:p>
    <w:p w14:paraId="46FDAA52" w14:textId="195D9040" w:rsidR="006E49CB" w:rsidRDefault="006E49CB" w:rsidP="005879DB">
      <w:pPr>
        <w:pStyle w:val="ListParagraph"/>
        <w:numPr>
          <w:ilvl w:val="0"/>
          <w:numId w:val="7"/>
        </w:numPr>
        <w:jc w:val="both"/>
        <w:rPr>
          <w:lang w:val="it-IT"/>
        </w:rPr>
      </w:pPr>
      <w:r>
        <w:rPr>
          <w:i/>
          <w:lang w:val="it-IT"/>
        </w:rPr>
        <w:t>Regolamentazioni</w:t>
      </w:r>
      <w:r w:rsidRPr="006E49CB">
        <w:rPr>
          <w:lang w:val="it-IT"/>
        </w:rPr>
        <w:t>:</w:t>
      </w:r>
      <w:r>
        <w:rPr>
          <w:lang w:val="it-IT"/>
        </w:rPr>
        <w:t xml:space="preserve"> molte delle peculiarità degli immobili e del mercato immobiliare giustificano delle regolamentazioni speciali. Le stesse differiscono sostanzialmente tra nazioni e regioni. Le regolazioni riguardanti il controllo dei prezzi e la protezione degli acquirenti implicano che i prezzi non possano reagire velocemente a variazioni dei fondamentali. In nazioni come l’Italia poi lo stato è attivamente coinvolto nel mercato immobiliare. Tutto ciò impone che i mercati immobiliari nelle varie nazioni differiscano sostanzialmente l’uno dall’altro e quindi questo ha implicazioni in termini di disponibilità delle informazioni. </w:t>
      </w:r>
    </w:p>
    <w:p w14:paraId="3573A990" w14:textId="38349838" w:rsidR="006E49CB" w:rsidRDefault="006E49CB" w:rsidP="005879DB">
      <w:pPr>
        <w:pStyle w:val="ListParagraph"/>
        <w:numPr>
          <w:ilvl w:val="0"/>
          <w:numId w:val="7"/>
        </w:numPr>
        <w:jc w:val="both"/>
        <w:rPr>
          <w:lang w:val="it-IT"/>
        </w:rPr>
      </w:pPr>
      <w:r>
        <w:rPr>
          <w:i/>
          <w:lang w:val="it-IT"/>
        </w:rPr>
        <w:t>Ritardi nella produzione</w:t>
      </w:r>
      <w:r w:rsidRPr="006E49CB">
        <w:rPr>
          <w:lang w:val="it-IT"/>
        </w:rPr>
        <w:t>:</w:t>
      </w:r>
      <w:r>
        <w:rPr>
          <w:lang w:val="it-IT"/>
        </w:rPr>
        <w:t xml:space="preserve"> L’offerta di immobili non può cambiare velocemente a variazioni della condizione del mercato. In base alla grandezza del progetto, i progetti immobiliari possono necessitare di mesi o anni per completarsi. </w:t>
      </w:r>
    </w:p>
    <w:p w14:paraId="5EAF4C78" w14:textId="1704BBF5" w:rsidR="00214029" w:rsidRDefault="006E49CB" w:rsidP="005879DB">
      <w:pPr>
        <w:pStyle w:val="ListParagraph"/>
        <w:numPr>
          <w:ilvl w:val="0"/>
          <w:numId w:val="7"/>
        </w:numPr>
        <w:jc w:val="both"/>
        <w:rPr>
          <w:lang w:val="it-IT"/>
        </w:rPr>
      </w:pPr>
      <w:r>
        <w:rPr>
          <w:i/>
          <w:lang w:val="it-IT"/>
        </w:rPr>
        <w:t>Asimmetrie informative</w:t>
      </w:r>
      <w:r w:rsidRPr="006E49CB">
        <w:rPr>
          <w:lang w:val="it-IT"/>
        </w:rPr>
        <w:t>:</w:t>
      </w:r>
      <w:r>
        <w:rPr>
          <w:lang w:val="it-IT"/>
        </w:rPr>
        <w:t xml:space="preserve"> </w:t>
      </w:r>
      <w:r w:rsidR="00B614EB">
        <w:rPr>
          <w:lang w:val="it-IT"/>
        </w:rPr>
        <w:t xml:space="preserve">I punti appena esposti implicano che sia facile per molti partecipanti al mercato di essere non correttamente informati. Questo vuol dire che due controparti hanno set informativi diversi. </w:t>
      </w:r>
      <w:r w:rsidR="00214029">
        <w:rPr>
          <w:lang w:val="it-IT"/>
        </w:rPr>
        <w:t xml:space="preserve">Comprare i servizi di agenti immobiliari o di broker specializzati non risolve necessariamente l’asimmetria informativa. </w:t>
      </w:r>
    </w:p>
    <w:p w14:paraId="64EED956" w14:textId="0EA3921E" w:rsidR="00214029" w:rsidRDefault="00214029" w:rsidP="005879DB">
      <w:pPr>
        <w:pStyle w:val="ListParagraph"/>
        <w:numPr>
          <w:ilvl w:val="0"/>
          <w:numId w:val="7"/>
        </w:numPr>
        <w:jc w:val="both"/>
        <w:rPr>
          <w:lang w:val="it-IT"/>
        </w:rPr>
      </w:pPr>
      <w:r w:rsidRPr="00214029">
        <w:rPr>
          <w:i/>
          <w:lang w:val="it-IT"/>
        </w:rPr>
        <w:t>Decentralizzazione degli scambi</w:t>
      </w:r>
      <w:r w:rsidRPr="00214029">
        <w:rPr>
          <w:lang w:val="it-IT"/>
        </w:rPr>
        <w:t xml:space="preserve">: Vista la vastità del mercato immobiliare e la difficoltà nel performare gli scambi, il mercato immobiliare è altamente decentralizzato. Questo implica che è difficile per gli investitori tenere traccia dei prezzi in tempo reale di operazioni immobiliari relativi allo stesso immobile o a immobili simili. </w:t>
      </w:r>
    </w:p>
    <w:p w14:paraId="34294E48" w14:textId="4B9C39B0" w:rsidR="00214029" w:rsidRDefault="00214029" w:rsidP="005879DB">
      <w:pPr>
        <w:pStyle w:val="ListParagraph"/>
        <w:numPr>
          <w:ilvl w:val="0"/>
          <w:numId w:val="7"/>
        </w:numPr>
        <w:jc w:val="both"/>
        <w:rPr>
          <w:lang w:val="it-IT"/>
        </w:rPr>
      </w:pPr>
      <w:r>
        <w:rPr>
          <w:i/>
          <w:lang w:val="it-IT"/>
        </w:rPr>
        <w:t>Contratti a lungo termine</w:t>
      </w:r>
      <w:r w:rsidRPr="00214029">
        <w:rPr>
          <w:lang w:val="it-IT"/>
        </w:rPr>
        <w:t>:</w:t>
      </w:r>
      <w:r>
        <w:rPr>
          <w:lang w:val="it-IT"/>
        </w:rPr>
        <w:t xml:space="preserve"> in molti mercati le transazioni immobiliari si sostanziano in contratti di lungo termine che limita l’aggiustamento dei prezzi.</w:t>
      </w:r>
      <w:r w:rsidR="002E66E1">
        <w:rPr>
          <w:lang w:val="it-IT"/>
        </w:rPr>
        <w:t xml:space="preserve"> Questo investimento con orizzonte di lungo termine porta alla bassa liquidità del mercato. </w:t>
      </w:r>
    </w:p>
    <w:p w14:paraId="435E039C" w14:textId="15F05696" w:rsidR="00D44CB1" w:rsidRPr="00D44CB1" w:rsidRDefault="00267C72" w:rsidP="00D44CB1">
      <w:pPr>
        <w:jc w:val="both"/>
        <w:rPr>
          <w:lang w:val="it-IT"/>
        </w:rPr>
      </w:pPr>
      <w:r>
        <w:rPr>
          <w:lang w:val="it-IT"/>
        </w:rPr>
        <w:lastRenderedPageBreak/>
        <w:t>Baum e Hartzell</w:t>
      </w:r>
      <w:r>
        <w:rPr>
          <w:rStyle w:val="FootnoteReference"/>
          <w:lang w:val="it-IT"/>
        </w:rPr>
        <w:footnoteReference w:id="16"/>
      </w:r>
      <w:r>
        <w:rPr>
          <w:lang w:val="it-IT"/>
        </w:rPr>
        <w:t xml:space="preserve"> utilizzano i dati di rendimento e rischio del mercato Real Estate americano per trovare l’allocazione ottima ipotetica secondo la Modern Portfolio Theory trovando un valore compreso tra il 30% e il 60%. Tuttavia l’allocazione effettiva di capitale tra gli investitori istituzionali nel 2021 sul Real Estate era attorno al 10.7%</w:t>
      </w:r>
      <w:r>
        <w:rPr>
          <w:rStyle w:val="FootnoteReference"/>
          <w:lang w:val="it-IT"/>
        </w:rPr>
        <w:footnoteReference w:id="17"/>
      </w:r>
      <w:r>
        <w:rPr>
          <w:lang w:val="it-IT"/>
        </w:rPr>
        <w:t xml:space="preserve">. La differenza tra il risultato teorico e quello pratico sta proprio nelle inefficienze. Le CMA (Capital Market Assumptions) non riescono a misurare i problemi come l’illiquidità e i costi di transazione. </w:t>
      </w:r>
    </w:p>
    <w:p w14:paraId="64929CD4" w14:textId="5679803E" w:rsidR="0082563B" w:rsidRDefault="003E5CA1" w:rsidP="003E5CA1">
      <w:pPr>
        <w:pStyle w:val="Heading3"/>
        <w:rPr>
          <w:lang w:val="it-IT"/>
        </w:rPr>
      </w:pPr>
      <w:bookmarkStart w:id="15" w:name="_Toc100246234"/>
      <w:r>
        <w:rPr>
          <w:lang w:val="it-IT"/>
        </w:rPr>
        <w:t>Costi di transazione</w:t>
      </w:r>
      <w:bookmarkEnd w:id="15"/>
    </w:p>
    <w:p w14:paraId="4BBB152F" w14:textId="2398DF6C" w:rsidR="003E5CA1" w:rsidRDefault="003E5CA1" w:rsidP="003E5CA1">
      <w:pPr>
        <w:rPr>
          <w:lang w:val="it-IT"/>
        </w:rPr>
      </w:pPr>
    </w:p>
    <w:p w14:paraId="30561F62" w14:textId="6D2CF3DF" w:rsidR="00D518AD" w:rsidRDefault="003E5CA1" w:rsidP="003E5CA1">
      <w:pPr>
        <w:rPr>
          <w:lang w:val="it-IT"/>
        </w:rPr>
      </w:pPr>
      <w:r>
        <w:rPr>
          <w:lang w:val="it-IT"/>
        </w:rPr>
        <w:t xml:space="preserve">I costi di ricerca e contrattazione sono sicuramente tra i più ingenti nel mercato immobiliare. Per facilitare </w:t>
      </w:r>
      <w:r w:rsidR="00D518AD">
        <w:rPr>
          <w:lang w:val="it-IT"/>
        </w:rPr>
        <w:t>le transazioni</w:t>
      </w:r>
      <w:r>
        <w:rPr>
          <w:lang w:val="it-IT"/>
        </w:rPr>
        <w:t xml:space="preserve"> gli acquirenti e i venditori si avvalgono dell’ausilio di broker specializzati o agenti immobiliari che, sotto compenso, riescano a sopportare i costi relativi. Le commissioni tipiche richieste dalle agenzie immobiliari variano tra il 3% e 6% del valore di vendita dell’</w:t>
      </w:r>
      <w:r w:rsidR="00D518AD">
        <w:rPr>
          <w:lang w:val="it-IT"/>
        </w:rPr>
        <w:t xml:space="preserve">immobile. </w:t>
      </w:r>
    </w:p>
    <w:p w14:paraId="5BE8B95D" w14:textId="0ECBB09C" w:rsidR="00D518AD" w:rsidRDefault="00D518AD" w:rsidP="003E5CA1">
      <w:pPr>
        <w:rPr>
          <w:lang w:val="it-IT"/>
        </w:rPr>
      </w:pPr>
      <w:r>
        <w:rPr>
          <w:lang w:val="it-IT"/>
        </w:rPr>
        <w:t>In uno degli articoli di economia più citati, “The Problem of Social Costs”</w:t>
      </w:r>
      <w:r>
        <w:rPr>
          <w:rStyle w:val="FootnoteReference"/>
          <w:lang w:val="it-IT"/>
        </w:rPr>
        <w:footnoteReference w:id="18"/>
      </w:r>
      <w:r>
        <w:rPr>
          <w:lang w:val="it-IT"/>
        </w:rPr>
        <w:t>, Coase sviluppò un framework per studiare il ruolo dei costi di transazione (ovvero tutti i costi associati ad uno scambio economico). Il teorema di Coase enuncia che</w:t>
      </w:r>
      <w:r w:rsidRPr="00D518AD">
        <w:rPr>
          <w:lang w:val="it-IT"/>
        </w:rPr>
        <w:t xml:space="preserve"> se i costi di negoziazione e transazione sono nulli, la contrattazione tra agenti economici porterà a soluzioni efficienti da un punto di vista sociale (dette Pareto-efficienti) anche in presenza di esternalità e a prescindere da chi deteng</w:t>
      </w:r>
      <w:r>
        <w:rPr>
          <w:lang w:val="it-IT"/>
        </w:rPr>
        <w:t xml:space="preserve">a inizialmente i diritti legali. Nell’articolo poi Coase sottolinea l’importanza di includere sempre i costi di transazione all’interno delle analisi economiche, dal momento che questi costi non sono mai trascurabili, soprattutto nel mercato immobiliare. </w:t>
      </w:r>
    </w:p>
    <w:p w14:paraId="69E3397D" w14:textId="6C1AAD4F" w:rsidR="003E5CA1" w:rsidRDefault="00D518AD" w:rsidP="003E5CA1">
      <w:pPr>
        <w:rPr>
          <w:lang w:val="it-IT"/>
        </w:rPr>
      </w:pPr>
      <w:r>
        <w:rPr>
          <w:lang w:val="it-IT"/>
        </w:rPr>
        <w:t xml:space="preserve">Alti costi di transazione possono influenzare non solo la durata della stessa ma anche </w:t>
      </w:r>
      <w:r w:rsidR="001A6857">
        <w:rPr>
          <w:lang w:val="it-IT"/>
        </w:rPr>
        <w:t>se l’affare avrà mai luogo. Dal punto di vista dell’efficienza del mercato, gli immobili in vendita che non riescono a trovare un acquirente possono essere sintomo del fallimento di una corretta asset allocation del mercato.</w:t>
      </w:r>
      <w:r w:rsidR="001A6857">
        <w:rPr>
          <w:rStyle w:val="FootnoteReference"/>
          <w:lang w:val="it-IT"/>
        </w:rPr>
        <w:footnoteReference w:id="19"/>
      </w:r>
    </w:p>
    <w:p w14:paraId="41078E98" w14:textId="02324B3E" w:rsidR="001A6857" w:rsidRDefault="001A6857" w:rsidP="003E5CA1">
      <w:pPr>
        <w:rPr>
          <w:lang w:val="it-IT"/>
        </w:rPr>
      </w:pPr>
      <w:r>
        <w:rPr>
          <w:lang w:val="it-IT"/>
        </w:rPr>
        <w:t>A sostegno di ciò Brastow, Springer e Waller hanno dimostrato che gli agenti immobiliari specializzati in certe location geografiche sono capaci di aumentare la probabilità di vendita del 3.3%.</w:t>
      </w:r>
      <w:r>
        <w:rPr>
          <w:rStyle w:val="FootnoteReference"/>
          <w:lang w:val="it-IT"/>
        </w:rPr>
        <w:footnoteReference w:id="20"/>
      </w:r>
      <w:r>
        <w:rPr>
          <w:lang w:val="it-IT"/>
        </w:rPr>
        <w:t xml:space="preserve"> Gli autori hanno anche scoperto che i broker di minori dimensioni hanno probabilità inferiori di chiudere le transazioni. </w:t>
      </w:r>
    </w:p>
    <w:p w14:paraId="13CC4D58" w14:textId="5BBA16C5" w:rsidR="008300FB" w:rsidRDefault="008300FB" w:rsidP="003E5CA1">
      <w:pPr>
        <w:rPr>
          <w:lang w:val="it-IT"/>
        </w:rPr>
      </w:pPr>
      <w:r>
        <w:rPr>
          <w:lang w:val="it-IT"/>
        </w:rPr>
        <w:t>Secondo Cooter e Ulen</w:t>
      </w:r>
      <w:r>
        <w:rPr>
          <w:rStyle w:val="FootnoteReference"/>
          <w:lang w:val="it-IT"/>
        </w:rPr>
        <w:footnoteReference w:id="21"/>
      </w:r>
      <w:r>
        <w:rPr>
          <w:lang w:val="it-IT"/>
        </w:rPr>
        <w:t xml:space="preserve"> i costi di transazione vengono generalmente suddivisi in tre categorie:</w:t>
      </w:r>
    </w:p>
    <w:p w14:paraId="0D087742" w14:textId="30E63CC9" w:rsidR="008300FB" w:rsidRDefault="008300FB" w:rsidP="005879DB">
      <w:pPr>
        <w:pStyle w:val="ListParagraph"/>
        <w:numPr>
          <w:ilvl w:val="0"/>
          <w:numId w:val="8"/>
        </w:numPr>
        <w:rPr>
          <w:lang w:val="it-IT"/>
        </w:rPr>
      </w:pPr>
      <w:r>
        <w:rPr>
          <w:lang w:val="it-IT"/>
        </w:rPr>
        <w:t>Costi di ricerca</w:t>
      </w:r>
    </w:p>
    <w:p w14:paraId="0BB6B8CC" w14:textId="29749617" w:rsidR="008300FB" w:rsidRDefault="008300FB" w:rsidP="005879DB">
      <w:pPr>
        <w:pStyle w:val="ListParagraph"/>
        <w:numPr>
          <w:ilvl w:val="0"/>
          <w:numId w:val="8"/>
        </w:numPr>
        <w:rPr>
          <w:lang w:val="it-IT"/>
        </w:rPr>
      </w:pPr>
      <w:r>
        <w:rPr>
          <w:lang w:val="it-IT"/>
        </w:rPr>
        <w:t xml:space="preserve">Costi di contrattazione </w:t>
      </w:r>
    </w:p>
    <w:p w14:paraId="78AECB64" w14:textId="55A5DE98" w:rsidR="008300FB" w:rsidRDefault="008300FB" w:rsidP="005879DB">
      <w:pPr>
        <w:pStyle w:val="ListParagraph"/>
        <w:numPr>
          <w:ilvl w:val="0"/>
          <w:numId w:val="8"/>
        </w:numPr>
        <w:rPr>
          <w:lang w:val="it-IT"/>
        </w:rPr>
      </w:pPr>
      <w:r>
        <w:rPr>
          <w:lang w:val="it-IT"/>
        </w:rPr>
        <w:t>Costi di esecuzione</w:t>
      </w:r>
    </w:p>
    <w:p w14:paraId="575961BB" w14:textId="152FDED0" w:rsidR="008300FB" w:rsidRDefault="008300FB" w:rsidP="00011F9E">
      <w:pPr>
        <w:jc w:val="both"/>
        <w:rPr>
          <w:lang w:val="it-IT"/>
        </w:rPr>
      </w:pPr>
      <w:r>
        <w:rPr>
          <w:lang w:val="it-IT"/>
        </w:rPr>
        <w:t xml:space="preserve">Questi costi non si intendono solo come pecuniari, e spesso infatti non lo sono. I costi di ricerca comprendono tutti quei costi correlati al far incontrare acquirente e venditore (quindi i costi che acquirente e venditore sostengono per cercarsi). I costi di contrattazione sono costi monetari e costi opportunità che nascono dalla lunga durata necessaria per finalizzare l’accordo. I costi di esecuzione comprendono i costi necessari ad assicurare la corretta esecuzione dell’accordo. </w:t>
      </w:r>
    </w:p>
    <w:p w14:paraId="5D153A76" w14:textId="2263987B" w:rsidR="00A83EDA" w:rsidRPr="00D60A39" w:rsidRDefault="00A83EDA" w:rsidP="00D60A39">
      <w:pPr>
        <w:jc w:val="both"/>
        <w:rPr>
          <w:lang w:val="it-IT"/>
        </w:rPr>
      </w:pPr>
      <w:r>
        <w:rPr>
          <w:lang w:val="it-IT"/>
        </w:rPr>
        <w:lastRenderedPageBreak/>
        <w:t>Secondo Crowston e Wigand</w:t>
      </w:r>
      <w:r>
        <w:rPr>
          <w:rStyle w:val="FootnoteReference"/>
          <w:lang w:val="it-IT"/>
        </w:rPr>
        <w:footnoteReference w:id="22"/>
      </w:r>
      <w:r>
        <w:rPr>
          <w:lang w:val="it-IT"/>
        </w:rPr>
        <w:t xml:space="preserve"> il processo di transazione nel RE si compone di cinque fasi distinte: listing, ricerca, valutazione, negoziazione ed esecuzione.</w:t>
      </w:r>
    </w:p>
    <w:p w14:paraId="084C90E0" w14:textId="4D245108" w:rsidR="000A173D" w:rsidRDefault="000A173D" w:rsidP="00011F9E">
      <w:pPr>
        <w:jc w:val="both"/>
        <w:rPr>
          <w:lang w:val="it-IT"/>
        </w:rPr>
      </w:pPr>
      <w:r>
        <w:rPr>
          <w:lang w:val="it-IT"/>
        </w:rPr>
        <w:t>Seguendo il modello creato da Bian, Waller e Wentland</w:t>
      </w:r>
      <w:r>
        <w:rPr>
          <w:rStyle w:val="FootnoteReference"/>
          <w:lang w:val="it-IT"/>
        </w:rPr>
        <w:footnoteReference w:id="23"/>
      </w:r>
      <w:r>
        <w:rPr>
          <w:lang w:val="it-IT"/>
        </w:rPr>
        <w:t xml:space="preserve"> è possibile teorizzare come i costi di transazione impattino sul mercato immobiliare. </w:t>
      </w:r>
    </w:p>
    <w:p w14:paraId="4292F06C" w14:textId="2CAFB93D" w:rsidR="00071BFD" w:rsidRDefault="000A173D" w:rsidP="00011F9E">
      <w:pPr>
        <w:jc w:val="both"/>
        <w:rPr>
          <w:rFonts w:eastAsiaTheme="minorEastAsia"/>
          <w:lang w:val="it-IT"/>
        </w:rPr>
      </w:pPr>
      <w:r w:rsidRPr="000A173D">
        <w:rPr>
          <w:lang w:val="it-IT"/>
        </w:rPr>
        <w:t>Seguendo Rutherford, Springer e Yavas</w:t>
      </w:r>
      <w:r>
        <w:rPr>
          <w:rStyle w:val="FootnoteReference"/>
        </w:rPr>
        <w:footnoteReference w:id="24"/>
      </w:r>
      <w:r w:rsidRPr="000A173D">
        <w:rPr>
          <w:lang w:val="it-IT"/>
        </w:rPr>
        <w:t xml:space="preserve"> si ipotizza la seguente struttura di contrattazione</w:t>
      </w:r>
      <w:r>
        <w:rPr>
          <w:lang w:val="it-IT"/>
        </w:rPr>
        <w:t xml:space="preserve">: il prezzo richiesto dal venditore visto dai potenziali acquirenti come un offerta “prendere o lasciare”. Si assume che il venditore dell’immobili decida il prezzo di vendita P. Di contro, l’acquirente accetterà il prezzo richiesto se e solo se lo stesso è inferiore o uguale al suo prezzo di riserva. La funzione di densità di probabilità è data da </w:t>
      </w:r>
      <m:oMath>
        <m:r>
          <w:rPr>
            <w:rFonts w:ascii="Cambria Math" w:hAnsi="Cambria Math"/>
            <w:lang w:val="it-IT"/>
          </w:rPr>
          <m:t>f(.)</m:t>
        </m:r>
      </m:oMath>
      <w:r w:rsidR="00CE0B8C">
        <w:rPr>
          <w:rFonts w:eastAsiaTheme="minorEastAsia"/>
          <w:lang w:val="it-IT"/>
        </w:rPr>
        <w:t xml:space="preserve"> sull’intervallo </w:t>
      </w:r>
      <m:oMath>
        <m:d>
          <m:dPr>
            <m:begChr m:val="⌊"/>
            <m:endChr m:val="⌋"/>
            <m:ctrlPr>
              <w:rPr>
                <w:rFonts w:ascii="Cambria Math" w:eastAsiaTheme="minorEastAsia" w:hAnsi="Cambria Math"/>
                <w:i/>
                <w:lang w:val="it-IT"/>
              </w:rPr>
            </m:ctrlPr>
          </m:dPr>
          <m:e>
            <m:bar>
              <m:barPr>
                <m:ctrlPr>
                  <w:rPr>
                    <w:rFonts w:ascii="Cambria Math" w:eastAsiaTheme="minorEastAsia" w:hAnsi="Cambria Math"/>
                    <w:i/>
                    <w:lang w:val="it-IT"/>
                  </w:rPr>
                </m:ctrlPr>
              </m:barPr>
              <m:e>
                <m:r>
                  <w:rPr>
                    <w:rFonts w:ascii="Cambria Math" w:eastAsiaTheme="minorEastAsia" w:hAnsi="Cambria Math"/>
                    <w:lang w:val="it-IT"/>
                  </w:rPr>
                  <m:t>p</m:t>
                </m:r>
              </m:e>
            </m:bar>
            <m:r>
              <w:rPr>
                <w:rFonts w:ascii="Cambria Math" w:eastAsiaTheme="minorEastAsia" w:hAnsi="Cambria Math"/>
                <w:lang w:val="it-IT"/>
              </w:rPr>
              <m:t>,</m:t>
            </m:r>
            <m:acc>
              <m:accPr>
                <m:chr m:val="̅"/>
                <m:ctrlPr>
                  <w:rPr>
                    <w:rFonts w:ascii="Cambria Math" w:eastAsiaTheme="minorEastAsia" w:hAnsi="Cambria Math"/>
                    <w:i/>
                    <w:lang w:val="it-IT"/>
                  </w:rPr>
                </m:ctrlPr>
              </m:accPr>
              <m:e>
                <m:r>
                  <w:rPr>
                    <w:rFonts w:ascii="Cambria Math" w:eastAsiaTheme="minorEastAsia" w:hAnsi="Cambria Math"/>
                    <w:lang w:val="it-IT"/>
                  </w:rPr>
                  <m:t>p</m:t>
                </m:r>
              </m:e>
            </m:acc>
          </m:e>
        </m:d>
      </m:oMath>
      <w:r w:rsidR="00CE0B8C">
        <w:rPr>
          <w:rFonts w:eastAsiaTheme="minorEastAsia"/>
          <w:lang w:val="it-IT"/>
        </w:rPr>
        <w:t xml:space="preserve">, dove </w:t>
      </w:r>
      <w:r w:rsidR="00CE0B8C" w:rsidRPr="00CE0B8C">
        <w:rPr>
          <w:rFonts w:ascii="Cambria Math" w:eastAsiaTheme="minorEastAsia" w:hAnsi="Cambria Math"/>
          <w:i/>
          <w:lang w:val="it-IT"/>
        </w:rPr>
        <w:t>f</w:t>
      </w:r>
      <w:r w:rsidR="00CE0B8C">
        <w:rPr>
          <w:rFonts w:eastAsiaTheme="minorEastAsia"/>
          <w:lang w:val="it-IT"/>
        </w:rPr>
        <w:t xml:space="preserve">  è una funzione continua. </w:t>
      </w:r>
    </w:p>
    <w:p w14:paraId="2F9407E8" w14:textId="5A6DD50B" w:rsidR="005C48F7" w:rsidRDefault="005C48F7" w:rsidP="00011F9E">
      <w:pPr>
        <w:jc w:val="both"/>
        <w:rPr>
          <w:rFonts w:eastAsiaTheme="minorEastAsia"/>
          <w:lang w:val="it-IT"/>
        </w:rPr>
      </w:pPr>
      <w:r>
        <w:rPr>
          <w:rFonts w:eastAsiaTheme="minorEastAsia"/>
          <w:lang w:val="it-IT"/>
        </w:rPr>
        <w:t xml:space="preserve">Nella transazione immobiliare vi sono almeno due controparti: l’agente della parte venditrice dell’immobile e il broker dell’acquirente. Si ipotizza che la commissione totale che verrà pagata per la transazione sia </w:t>
      </w:r>
      <m:oMath>
        <m:r>
          <w:rPr>
            <w:rFonts w:ascii="Cambria Math" w:eastAsiaTheme="minorEastAsia" w:hAnsi="Cambria Math"/>
            <w:lang w:val="it-IT"/>
          </w:rPr>
          <m:t>k</m:t>
        </m:r>
      </m:oMath>
      <w:r>
        <w:rPr>
          <w:rFonts w:eastAsiaTheme="minorEastAsia"/>
          <w:lang w:val="it-IT"/>
        </w:rPr>
        <w:t xml:space="preserve"> e che il broker dell’acquirente incassi una parte che viene indicata come </w:t>
      </w:r>
      <m:oMath>
        <m:sSub>
          <m:sSubPr>
            <m:ctrlPr>
              <w:rPr>
                <w:rFonts w:ascii="Cambria Math" w:eastAsiaTheme="minorEastAsia" w:hAnsi="Cambria Math"/>
                <w:i/>
                <w:lang w:val="it-IT"/>
              </w:rPr>
            </m:ctrlPr>
          </m:sSubPr>
          <m:e>
            <m:r>
              <w:rPr>
                <w:rFonts w:ascii="Cambria Math" w:eastAsiaTheme="minorEastAsia" w:hAnsi="Cambria Math"/>
                <w:lang w:val="it-IT"/>
              </w:rPr>
              <m:t>k</m:t>
            </m:r>
          </m:e>
          <m:sub>
            <m:r>
              <w:rPr>
                <w:rFonts w:ascii="Cambria Math" w:eastAsiaTheme="minorEastAsia" w:hAnsi="Cambria Math"/>
                <w:lang w:val="it-IT"/>
              </w:rPr>
              <m:t>s</m:t>
            </m:r>
          </m:sub>
        </m:sSub>
      </m:oMath>
      <w:r>
        <w:rPr>
          <w:rFonts w:eastAsiaTheme="minorEastAsia"/>
          <w:lang w:val="it-IT"/>
        </w:rPr>
        <w:t xml:space="preserve"> (così che </w:t>
      </w:r>
      <m:oMath>
        <m:r>
          <w:rPr>
            <w:rFonts w:ascii="Cambria Math" w:eastAsiaTheme="minorEastAsia" w:hAnsi="Cambria Math"/>
            <w:lang w:val="it-IT"/>
          </w:rPr>
          <m:t>k&gt;</m:t>
        </m:r>
        <m:sSub>
          <m:sSubPr>
            <m:ctrlPr>
              <w:rPr>
                <w:rFonts w:ascii="Cambria Math" w:eastAsiaTheme="minorEastAsia" w:hAnsi="Cambria Math"/>
                <w:i/>
                <w:lang w:val="it-IT"/>
              </w:rPr>
            </m:ctrlPr>
          </m:sSubPr>
          <m:e>
            <m:r>
              <w:rPr>
                <w:rFonts w:ascii="Cambria Math" w:eastAsiaTheme="minorEastAsia" w:hAnsi="Cambria Math"/>
                <w:lang w:val="it-IT"/>
              </w:rPr>
              <m:t>k</m:t>
            </m:r>
          </m:e>
          <m:sub>
            <m:r>
              <w:rPr>
                <w:rFonts w:ascii="Cambria Math" w:eastAsiaTheme="minorEastAsia" w:hAnsi="Cambria Math"/>
                <w:lang w:val="it-IT"/>
              </w:rPr>
              <m:t>s</m:t>
            </m:r>
          </m:sub>
        </m:sSub>
      </m:oMath>
      <w:r>
        <w:rPr>
          <w:rFonts w:eastAsiaTheme="minorEastAsia"/>
          <w:lang w:val="it-IT"/>
        </w:rPr>
        <w:t xml:space="preserve">). Se l’agente della parte venditrice trova da solo l’acquirente incasserà lui l’intera commissione </w:t>
      </w:r>
      <m:oMath>
        <m:r>
          <w:rPr>
            <w:rFonts w:ascii="Cambria Math" w:eastAsiaTheme="minorEastAsia" w:hAnsi="Cambria Math"/>
            <w:lang w:val="it-IT"/>
          </w:rPr>
          <m:t>kP</m:t>
        </m:r>
      </m:oMath>
      <w:r>
        <w:rPr>
          <w:rFonts w:eastAsiaTheme="minorEastAsia"/>
          <w:lang w:val="it-IT"/>
        </w:rPr>
        <w:t xml:space="preserve">. Si assume che le percentuali di commissione siano esogeni, quindi determinati dal mercato. È così che per una proprietà in vendita, il payoff atteso dell’agente della parte venditrice sia: </w:t>
      </w:r>
    </w:p>
    <w:p w14:paraId="0DF0FF67" w14:textId="7BF30CE3" w:rsidR="000A173D" w:rsidRPr="00FA6A68" w:rsidRDefault="005C48F7" w:rsidP="00011F9E">
      <w:pPr>
        <w:jc w:val="both"/>
        <w:rPr>
          <w:rFonts w:eastAsiaTheme="minorEastAsia"/>
          <w:i/>
          <w:lang w:val="it-IT"/>
        </w:rPr>
      </w:pPr>
      <m:oMathPara>
        <m:oMath>
          <m:r>
            <w:rPr>
              <w:rFonts w:ascii="Cambria Math" w:hAnsi="Cambria Math"/>
              <w:lang w:val="it-IT"/>
            </w:rPr>
            <m:t>V=ψ</m:t>
          </m:r>
          <m:d>
            <m:dPr>
              <m:ctrlPr>
                <w:rPr>
                  <w:rFonts w:ascii="Cambria Math" w:hAnsi="Cambria Math"/>
                  <w:i/>
                  <w:lang w:val="it-IT"/>
                </w:rPr>
              </m:ctrlPr>
            </m:dPr>
            <m:e>
              <m:r>
                <w:rPr>
                  <w:rFonts w:ascii="Cambria Math" w:hAnsi="Cambria Math"/>
                  <w:lang w:val="it-IT"/>
                </w:rPr>
                <m:t>L</m:t>
              </m:r>
            </m:e>
          </m:d>
          <m:nary>
            <m:naryPr>
              <m:limLoc m:val="subSup"/>
              <m:ctrlPr>
                <w:rPr>
                  <w:rFonts w:ascii="Cambria Math" w:hAnsi="Cambria Math"/>
                  <w:i/>
                  <w:lang w:val="it-IT"/>
                </w:rPr>
              </m:ctrlPr>
            </m:naryPr>
            <m:sub>
              <m:r>
                <w:rPr>
                  <w:rFonts w:ascii="Cambria Math" w:hAnsi="Cambria Math"/>
                  <w:lang w:val="it-IT"/>
                </w:rPr>
                <m:t>p</m:t>
              </m:r>
            </m:sub>
            <m:sup>
              <m:acc>
                <m:accPr>
                  <m:chr m:val="̅"/>
                  <m:ctrlPr>
                    <w:rPr>
                      <w:rFonts w:ascii="Cambria Math" w:hAnsi="Cambria Math"/>
                      <w:i/>
                      <w:lang w:val="it-IT"/>
                    </w:rPr>
                  </m:ctrlPr>
                </m:accPr>
                <m:e>
                  <m:r>
                    <w:rPr>
                      <w:rFonts w:ascii="Cambria Math" w:hAnsi="Cambria Math"/>
                      <w:lang w:val="it-IT"/>
                    </w:rPr>
                    <m:t>p</m:t>
                  </m:r>
                </m:e>
              </m:acc>
            </m:sup>
            <m:e>
              <m:r>
                <w:rPr>
                  <w:rFonts w:ascii="Cambria Math" w:hAnsi="Cambria Math"/>
                  <w:lang w:val="it-IT"/>
                </w:rPr>
                <m:t>kPf</m:t>
              </m:r>
              <m:d>
                <m:dPr>
                  <m:ctrlPr>
                    <w:rPr>
                      <w:rFonts w:ascii="Cambria Math" w:hAnsi="Cambria Math"/>
                      <w:i/>
                      <w:lang w:val="it-IT"/>
                    </w:rPr>
                  </m:ctrlPr>
                </m:dPr>
                <m:e>
                  <m:r>
                    <w:rPr>
                      <w:rFonts w:ascii="Cambria Math" w:hAnsi="Cambria Math"/>
                      <w:lang w:val="it-IT"/>
                    </w:rPr>
                    <m:t>p</m:t>
                  </m:r>
                </m:e>
              </m:d>
            </m:e>
          </m:nary>
          <m:r>
            <w:rPr>
              <w:rFonts w:ascii="Cambria Math" w:hAnsi="Cambria Math"/>
              <w:lang w:val="it-IT"/>
            </w:rPr>
            <m:t>dp+</m:t>
          </m:r>
          <m:r>
            <w:rPr>
              <w:rFonts w:ascii="Cambria Math" w:eastAsiaTheme="minorEastAsia" w:hAnsi="Cambria Math"/>
              <w:lang w:val="it-IT"/>
            </w:rPr>
            <m:t>φ</m:t>
          </m:r>
          <m:nary>
            <m:naryPr>
              <m:limLoc m:val="subSup"/>
              <m:ctrlPr>
                <w:rPr>
                  <w:rFonts w:ascii="Cambria Math" w:eastAsiaTheme="minorEastAsia" w:hAnsi="Cambria Math"/>
                  <w:i/>
                  <w:lang w:val="it-IT"/>
                </w:rPr>
              </m:ctrlPr>
            </m:naryPr>
            <m:sub>
              <m:r>
                <w:rPr>
                  <w:rFonts w:ascii="Cambria Math" w:eastAsiaTheme="minorEastAsia" w:hAnsi="Cambria Math"/>
                  <w:lang w:val="it-IT"/>
                </w:rPr>
                <m:t>p</m:t>
              </m:r>
            </m:sub>
            <m:sup>
              <m:acc>
                <m:accPr>
                  <m:chr m:val="̅"/>
                  <m:ctrlPr>
                    <w:rPr>
                      <w:rFonts w:ascii="Cambria Math" w:eastAsiaTheme="minorEastAsia" w:hAnsi="Cambria Math"/>
                      <w:i/>
                      <w:lang w:val="it-IT"/>
                    </w:rPr>
                  </m:ctrlPr>
                </m:accPr>
                <m:e>
                  <m:r>
                    <w:rPr>
                      <w:rFonts w:ascii="Cambria Math" w:eastAsiaTheme="minorEastAsia" w:hAnsi="Cambria Math"/>
                      <w:lang w:val="it-IT"/>
                    </w:rPr>
                    <m:t>p</m:t>
                  </m:r>
                </m:e>
              </m:acc>
            </m:sup>
            <m:e>
              <m:d>
                <m:dPr>
                  <m:ctrlPr>
                    <w:rPr>
                      <w:rFonts w:ascii="Cambria Math" w:eastAsiaTheme="minorEastAsia" w:hAnsi="Cambria Math"/>
                      <w:i/>
                      <w:lang w:val="it-IT"/>
                    </w:rPr>
                  </m:ctrlPr>
                </m:dPr>
                <m:e>
                  <m:r>
                    <w:rPr>
                      <w:rFonts w:ascii="Cambria Math" w:eastAsiaTheme="minorEastAsia" w:hAnsi="Cambria Math"/>
                      <w:lang w:val="it-IT"/>
                    </w:rPr>
                    <m:t>k-</m:t>
                  </m:r>
                  <m:sSub>
                    <m:sSubPr>
                      <m:ctrlPr>
                        <w:rPr>
                          <w:rFonts w:ascii="Cambria Math" w:eastAsiaTheme="minorEastAsia" w:hAnsi="Cambria Math"/>
                          <w:i/>
                          <w:lang w:val="it-IT"/>
                        </w:rPr>
                      </m:ctrlPr>
                    </m:sSubPr>
                    <m:e>
                      <m:r>
                        <w:rPr>
                          <w:rFonts w:ascii="Cambria Math" w:eastAsiaTheme="minorEastAsia" w:hAnsi="Cambria Math"/>
                          <w:lang w:val="it-IT"/>
                        </w:rPr>
                        <m:t>k</m:t>
                      </m:r>
                    </m:e>
                    <m:sub>
                      <m:r>
                        <w:rPr>
                          <w:rFonts w:ascii="Cambria Math" w:eastAsiaTheme="minorEastAsia" w:hAnsi="Cambria Math"/>
                          <w:lang w:val="it-IT"/>
                        </w:rPr>
                        <m:t>s</m:t>
                      </m:r>
                    </m:sub>
                  </m:sSub>
                </m:e>
              </m:d>
            </m:e>
          </m:nary>
          <m:r>
            <w:rPr>
              <w:rFonts w:ascii="Cambria Math" w:eastAsiaTheme="minorEastAsia" w:hAnsi="Cambria Math"/>
              <w:lang w:val="it-IT"/>
            </w:rPr>
            <m:t>Pf</m:t>
          </m:r>
          <m:d>
            <m:dPr>
              <m:ctrlPr>
                <w:rPr>
                  <w:rFonts w:ascii="Cambria Math" w:eastAsiaTheme="minorEastAsia" w:hAnsi="Cambria Math"/>
                  <w:i/>
                  <w:lang w:val="it-IT"/>
                </w:rPr>
              </m:ctrlPr>
            </m:dPr>
            <m:e>
              <m:r>
                <w:rPr>
                  <w:rFonts w:ascii="Cambria Math" w:eastAsiaTheme="minorEastAsia" w:hAnsi="Cambria Math"/>
                  <w:lang w:val="it-IT"/>
                </w:rPr>
                <m:t>p</m:t>
              </m:r>
            </m:e>
          </m:d>
          <m:r>
            <w:rPr>
              <w:rFonts w:ascii="Cambria Math" w:eastAsiaTheme="minorEastAsia" w:hAnsi="Cambria Math"/>
              <w:lang w:val="it-IT"/>
            </w:rPr>
            <m:t>dp-C(L+sL)</m:t>
          </m:r>
        </m:oMath>
      </m:oMathPara>
    </w:p>
    <w:p w14:paraId="364252E2" w14:textId="6E0A9648" w:rsidR="00FA6A68" w:rsidRPr="00FA6A68" w:rsidRDefault="00FA6A68" w:rsidP="00011F9E">
      <w:pPr>
        <w:jc w:val="center"/>
        <w:rPr>
          <w:rFonts w:eastAsiaTheme="minorEastAsia"/>
          <w:i/>
          <w:lang w:val="it-IT"/>
        </w:rPr>
      </w:pPr>
      <w:r>
        <w:rPr>
          <w:rFonts w:eastAsiaTheme="minorEastAsia"/>
          <w:i/>
          <w:lang w:val="it-IT"/>
        </w:rPr>
        <w:t>Equazione (1)</w:t>
      </w:r>
    </w:p>
    <w:p w14:paraId="779B0784" w14:textId="01F5798B" w:rsidR="00BF34C1" w:rsidRDefault="00BF34C1" w:rsidP="00011F9E">
      <w:pPr>
        <w:jc w:val="both"/>
        <w:rPr>
          <w:rFonts w:eastAsiaTheme="minorEastAsia"/>
          <w:lang w:val="it-IT"/>
        </w:rPr>
      </w:pPr>
      <w:r>
        <w:rPr>
          <w:lang w:val="it-IT"/>
        </w:rPr>
        <w:t xml:space="preserve">dove </w:t>
      </w:r>
      <m:oMath>
        <m:r>
          <w:rPr>
            <w:rFonts w:ascii="Cambria Math" w:hAnsi="Cambria Math"/>
            <w:lang w:val="it-IT"/>
          </w:rPr>
          <m:t>ψ</m:t>
        </m:r>
        <m:d>
          <m:dPr>
            <m:ctrlPr>
              <w:rPr>
                <w:rFonts w:ascii="Cambria Math" w:hAnsi="Cambria Math"/>
                <w:i/>
                <w:lang w:val="it-IT"/>
              </w:rPr>
            </m:ctrlPr>
          </m:dPr>
          <m:e>
            <m:r>
              <w:rPr>
                <w:rFonts w:ascii="Cambria Math" w:hAnsi="Cambria Math"/>
                <w:lang w:val="it-IT"/>
              </w:rPr>
              <m:t>.</m:t>
            </m:r>
          </m:e>
        </m:d>
      </m:oMath>
      <w:r>
        <w:rPr>
          <w:rFonts w:eastAsiaTheme="minorEastAsia"/>
          <w:lang w:val="it-IT"/>
        </w:rPr>
        <w:t xml:space="preserve"> </w:t>
      </w:r>
      <w:r w:rsidR="00071BFD">
        <w:rPr>
          <w:rFonts w:eastAsiaTheme="minorEastAsia"/>
          <w:lang w:val="it-IT"/>
        </w:rPr>
        <w:t>rappresenta</w:t>
      </w:r>
      <w:r>
        <w:rPr>
          <w:rFonts w:eastAsiaTheme="minorEastAsia"/>
          <w:lang w:val="it-IT"/>
        </w:rPr>
        <w:t xml:space="preserve"> la probabilità che l’agente immobiliare incaricato dal venditore trovi un compratore autonomamente. Lo stesso può aumentare </w:t>
      </w:r>
      <m:oMath>
        <m:r>
          <w:rPr>
            <w:rFonts w:ascii="Cambria Math" w:eastAsiaTheme="minorEastAsia" w:hAnsi="Cambria Math"/>
            <w:lang w:val="it-IT"/>
          </w:rPr>
          <m:t>ψ</m:t>
        </m:r>
      </m:oMath>
      <w:r>
        <w:rPr>
          <w:rFonts w:eastAsiaTheme="minorEastAsia"/>
          <w:lang w:val="it-IT"/>
        </w:rPr>
        <w:t xml:space="preserve"> scegliendo un maggiore livello di impegno </w:t>
      </w:r>
      <m:oMath>
        <m:r>
          <w:rPr>
            <w:rFonts w:ascii="Cambria Math" w:eastAsiaTheme="minorEastAsia" w:hAnsi="Cambria Math"/>
            <w:lang w:val="it-IT"/>
          </w:rPr>
          <m:t>L</m:t>
        </m:r>
      </m:oMath>
      <w:r>
        <w:rPr>
          <w:rFonts w:eastAsiaTheme="minorEastAsia"/>
          <w:lang w:val="it-IT"/>
        </w:rPr>
        <w:t xml:space="preserve"> (nel senso di mostrare l’immobile al maggior numero di prospects possibile). Si assume che </w:t>
      </w:r>
      <m:oMath>
        <m:r>
          <w:rPr>
            <w:rFonts w:ascii="Cambria Math" w:eastAsiaTheme="minorEastAsia" w:hAnsi="Cambria Math"/>
            <w:lang w:val="it-IT"/>
          </w:rPr>
          <m:t>L</m:t>
        </m:r>
      </m:oMath>
      <w:r>
        <w:rPr>
          <w:rFonts w:eastAsiaTheme="minorEastAsia"/>
          <w:lang w:val="it-IT"/>
        </w:rPr>
        <w:t xml:space="preserve"> aumenti </w:t>
      </w:r>
      <m:oMath>
        <m:r>
          <w:rPr>
            <w:rFonts w:ascii="Cambria Math" w:eastAsiaTheme="minorEastAsia" w:hAnsi="Cambria Math"/>
            <w:lang w:val="it-IT"/>
          </w:rPr>
          <m:t>ψ</m:t>
        </m:r>
      </m:oMath>
      <w:r>
        <w:rPr>
          <w:rFonts w:eastAsiaTheme="minorEastAsia"/>
          <w:lang w:val="it-IT"/>
        </w:rPr>
        <w:t xml:space="preserve"> ad un tasso decrescente, quindi </w:t>
      </w:r>
      <m:oMath>
        <m:sSup>
          <m:sSupPr>
            <m:ctrlPr>
              <w:rPr>
                <w:rFonts w:ascii="Cambria Math" w:eastAsiaTheme="minorEastAsia" w:hAnsi="Cambria Math"/>
                <w:i/>
                <w:lang w:val="it-IT"/>
              </w:rPr>
            </m:ctrlPr>
          </m:sSupPr>
          <m:e>
            <m:r>
              <w:rPr>
                <w:rFonts w:ascii="Cambria Math" w:eastAsiaTheme="minorEastAsia" w:hAnsi="Cambria Math"/>
                <w:lang w:val="it-IT"/>
              </w:rPr>
              <m:t>ψ</m:t>
            </m:r>
          </m:e>
          <m:sup>
            <m:r>
              <w:rPr>
                <w:rFonts w:ascii="Cambria Math" w:eastAsiaTheme="minorEastAsia" w:hAnsi="Cambria Math"/>
                <w:lang w:val="it-IT"/>
              </w:rPr>
              <m:t>'</m:t>
            </m:r>
          </m:sup>
        </m:sSup>
        <m:r>
          <w:rPr>
            <w:rFonts w:ascii="Cambria Math" w:eastAsiaTheme="minorEastAsia" w:hAnsi="Cambria Math"/>
            <w:lang w:val="it-IT"/>
          </w:rPr>
          <m:t>&gt;0</m:t>
        </m:r>
      </m:oMath>
      <w:r>
        <w:rPr>
          <w:rFonts w:eastAsiaTheme="minorEastAsia"/>
          <w:lang w:val="it-IT"/>
        </w:rPr>
        <w:t xml:space="preserve"> e </w:t>
      </w:r>
      <m:oMath>
        <m:sSup>
          <m:sSupPr>
            <m:ctrlPr>
              <w:rPr>
                <w:rFonts w:ascii="Cambria Math" w:eastAsiaTheme="minorEastAsia" w:hAnsi="Cambria Math"/>
                <w:i/>
                <w:lang w:val="it-IT"/>
              </w:rPr>
            </m:ctrlPr>
          </m:sSupPr>
          <m:e>
            <m:r>
              <w:rPr>
                <w:rFonts w:ascii="Cambria Math" w:eastAsiaTheme="minorEastAsia" w:hAnsi="Cambria Math"/>
                <w:lang w:val="it-IT"/>
              </w:rPr>
              <m:t>ψ</m:t>
            </m:r>
          </m:e>
          <m:sup>
            <m:r>
              <w:rPr>
                <w:rFonts w:ascii="Cambria Math" w:eastAsiaTheme="minorEastAsia" w:hAnsi="Cambria Math"/>
                <w:lang w:val="it-IT"/>
              </w:rPr>
              <m:t>''</m:t>
            </m:r>
          </m:sup>
        </m:sSup>
        <m:r>
          <w:rPr>
            <w:rFonts w:ascii="Cambria Math" w:eastAsiaTheme="minorEastAsia" w:hAnsi="Cambria Math"/>
            <w:lang w:val="it-IT"/>
          </w:rPr>
          <m:t>&lt;0</m:t>
        </m:r>
      </m:oMath>
      <w:r>
        <w:rPr>
          <w:rFonts w:eastAsiaTheme="minorEastAsia"/>
          <w:lang w:val="it-IT"/>
        </w:rPr>
        <w:t xml:space="preserve">. </w:t>
      </w:r>
      <w:r w:rsidR="00FA6A68">
        <w:rPr>
          <w:rFonts w:eastAsiaTheme="minorEastAsia"/>
          <w:lang w:val="it-IT"/>
        </w:rPr>
        <w:t>Il primo addendo dell’</w:t>
      </w:r>
      <w:r w:rsidR="00FA6A68" w:rsidRPr="00FA6A68">
        <w:rPr>
          <w:rFonts w:eastAsiaTheme="minorEastAsia"/>
          <w:i/>
          <w:lang w:val="it-IT"/>
        </w:rPr>
        <w:t>equazione (1)</w:t>
      </w:r>
      <w:r w:rsidR="00FA6A68">
        <w:rPr>
          <w:rFonts w:eastAsiaTheme="minorEastAsia"/>
          <w:lang w:val="it-IT"/>
        </w:rPr>
        <w:t xml:space="preserve"> rappresenta il payoff atteso nel caso di dual agency (l’agente che rappresenta il venditore dell’immobile è quello che trova anche l’acquirente e quindi si prende la commissione totale </w:t>
      </w:r>
      <m:oMath>
        <m:r>
          <w:rPr>
            <w:rFonts w:ascii="Cambria Math" w:eastAsiaTheme="minorEastAsia" w:hAnsi="Cambria Math"/>
            <w:lang w:val="it-IT"/>
          </w:rPr>
          <m:t>kP</m:t>
        </m:r>
      </m:oMath>
      <w:r w:rsidR="00FA6A68">
        <w:rPr>
          <w:rFonts w:eastAsiaTheme="minorEastAsia"/>
          <w:lang w:val="it-IT"/>
        </w:rPr>
        <w:t xml:space="preserve">). La commissione totale </w:t>
      </w:r>
      <m:oMath>
        <m:r>
          <w:rPr>
            <w:rFonts w:ascii="Cambria Math" w:eastAsiaTheme="minorEastAsia" w:hAnsi="Cambria Math"/>
            <w:lang w:val="it-IT"/>
          </w:rPr>
          <m:t>kP</m:t>
        </m:r>
      </m:oMath>
      <w:r w:rsidR="00FA6A68">
        <w:rPr>
          <w:rFonts w:eastAsiaTheme="minorEastAsia"/>
          <w:lang w:val="it-IT"/>
        </w:rPr>
        <w:t xml:space="preserve"> viene prima integrata all’interno dell’intervallo </w:t>
      </w:r>
      <m:oMath>
        <m:d>
          <m:dPr>
            <m:begChr m:val="⌊"/>
            <m:endChr m:val="⌋"/>
            <m:ctrlPr>
              <w:rPr>
                <w:rFonts w:ascii="Cambria Math" w:eastAsiaTheme="minorEastAsia" w:hAnsi="Cambria Math"/>
                <w:i/>
                <w:lang w:val="it-IT"/>
              </w:rPr>
            </m:ctrlPr>
          </m:dPr>
          <m:e>
            <m:r>
              <w:rPr>
                <w:rFonts w:ascii="Cambria Math" w:eastAsiaTheme="minorEastAsia" w:hAnsi="Cambria Math"/>
                <w:lang w:val="it-IT"/>
              </w:rPr>
              <m:t>p,</m:t>
            </m:r>
            <m:acc>
              <m:accPr>
                <m:chr m:val="̅"/>
                <m:ctrlPr>
                  <w:rPr>
                    <w:rFonts w:ascii="Cambria Math" w:eastAsiaTheme="minorEastAsia" w:hAnsi="Cambria Math"/>
                    <w:i/>
                    <w:lang w:val="it-IT"/>
                  </w:rPr>
                </m:ctrlPr>
              </m:accPr>
              <m:e>
                <m:r>
                  <w:rPr>
                    <w:rFonts w:ascii="Cambria Math" w:eastAsiaTheme="minorEastAsia" w:hAnsi="Cambria Math"/>
                    <w:lang w:val="it-IT"/>
                  </w:rPr>
                  <m:t>p</m:t>
                </m:r>
              </m:e>
            </m:acc>
          </m:e>
        </m:d>
      </m:oMath>
      <w:r w:rsidR="00FA6A68">
        <w:rPr>
          <w:rFonts w:eastAsiaTheme="minorEastAsia"/>
          <w:lang w:val="it-IT"/>
        </w:rPr>
        <w:t xml:space="preserve">, e poi ponderata per la probabilità di dual agency, </w:t>
      </w:r>
      <m:oMath>
        <m:r>
          <w:rPr>
            <w:rFonts w:ascii="Cambria Math" w:eastAsiaTheme="minorEastAsia" w:hAnsi="Cambria Math"/>
            <w:lang w:val="it-IT"/>
          </w:rPr>
          <m:t>ψ</m:t>
        </m:r>
        <m:d>
          <m:dPr>
            <m:ctrlPr>
              <w:rPr>
                <w:rFonts w:ascii="Cambria Math" w:eastAsiaTheme="minorEastAsia" w:hAnsi="Cambria Math"/>
                <w:i/>
                <w:lang w:val="it-IT"/>
              </w:rPr>
            </m:ctrlPr>
          </m:dPr>
          <m:e>
            <m:r>
              <w:rPr>
                <w:rFonts w:ascii="Cambria Math" w:eastAsiaTheme="minorEastAsia" w:hAnsi="Cambria Math"/>
                <w:lang w:val="it-IT"/>
              </w:rPr>
              <m:t>L</m:t>
            </m:r>
          </m:e>
        </m:d>
      </m:oMath>
      <w:r w:rsidR="00FA6A68">
        <w:rPr>
          <w:rFonts w:eastAsiaTheme="minorEastAsia"/>
          <w:lang w:val="it-IT"/>
        </w:rPr>
        <w:t>. Il secondo addendo è il payoff atteso se la vendita è avvenuta tramite un broker che rappresenta l’</w:t>
      </w:r>
      <w:r w:rsidR="00D34BEA">
        <w:rPr>
          <w:rFonts w:eastAsiaTheme="minorEastAsia"/>
          <w:lang w:val="it-IT"/>
        </w:rPr>
        <w:t xml:space="preserve">acquirente ponderato per la probabilità </w:t>
      </w:r>
      <m:oMath>
        <m:r>
          <w:rPr>
            <w:rFonts w:ascii="Cambria Math" w:eastAsiaTheme="minorEastAsia" w:hAnsi="Cambria Math"/>
            <w:lang w:val="it-IT"/>
          </w:rPr>
          <m:t>φ</m:t>
        </m:r>
      </m:oMath>
      <w:r w:rsidR="00D34BEA">
        <w:rPr>
          <w:rFonts w:eastAsiaTheme="minorEastAsia"/>
          <w:lang w:val="it-IT"/>
        </w:rPr>
        <w:t xml:space="preserve">. Si tratta di una probabilità esogena visto l’alto numero di agenti immobiliari presenti. In questo caso il broker riceve </w:t>
      </w:r>
      <m:oMath>
        <m:d>
          <m:dPr>
            <m:ctrlPr>
              <w:rPr>
                <w:rFonts w:ascii="Cambria Math" w:eastAsiaTheme="minorEastAsia" w:hAnsi="Cambria Math"/>
                <w:i/>
                <w:lang w:val="it-IT"/>
              </w:rPr>
            </m:ctrlPr>
          </m:dPr>
          <m:e>
            <m:r>
              <w:rPr>
                <w:rFonts w:ascii="Cambria Math" w:eastAsiaTheme="minorEastAsia" w:hAnsi="Cambria Math"/>
                <w:lang w:val="it-IT"/>
              </w:rPr>
              <m:t>k-</m:t>
            </m:r>
            <m:sSub>
              <m:sSubPr>
                <m:ctrlPr>
                  <w:rPr>
                    <w:rFonts w:ascii="Cambria Math" w:eastAsiaTheme="minorEastAsia" w:hAnsi="Cambria Math"/>
                    <w:i/>
                    <w:lang w:val="it-IT"/>
                  </w:rPr>
                </m:ctrlPr>
              </m:sSubPr>
              <m:e>
                <m:r>
                  <w:rPr>
                    <w:rFonts w:ascii="Cambria Math" w:eastAsiaTheme="minorEastAsia" w:hAnsi="Cambria Math"/>
                    <w:lang w:val="it-IT"/>
                  </w:rPr>
                  <m:t>k</m:t>
                </m:r>
              </m:e>
              <m:sub>
                <m:r>
                  <w:rPr>
                    <w:rFonts w:ascii="Cambria Math" w:eastAsiaTheme="minorEastAsia" w:hAnsi="Cambria Math"/>
                    <w:lang w:val="it-IT"/>
                  </w:rPr>
                  <m:t>s</m:t>
                </m:r>
              </m:sub>
            </m:sSub>
          </m:e>
        </m:d>
        <m:r>
          <w:rPr>
            <w:rFonts w:ascii="Cambria Math" w:eastAsiaTheme="minorEastAsia" w:hAnsi="Cambria Math"/>
            <w:lang w:val="it-IT"/>
          </w:rPr>
          <m:t>P</m:t>
        </m:r>
      </m:oMath>
      <w:r w:rsidR="00D34BEA">
        <w:rPr>
          <w:rFonts w:eastAsiaTheme="minorEastAsia"/>
          <w:lang w:val="it-IT"/>
        </w:rPr>
        <w:t xml:space="preserve">. Dal momento che la probabilità totale di vendita deve essere compresa fra 0 e 1, si ha </w:t>
      </w:r>
      <m:oMath>
        <m:r>
          <w:rPr>
            <w:rFonts w:ascii="Cambria Math" w:eastAsiaTheme="minorEastAsia" w:hAnsi="Cambria Math"/>
            <w:lang w:val="it-IT"/>
          </w:rPr>
          <m:t>0&lt;ψ+ϕ≤1</m:t>
        </m:r>
      </m:oMath>
      <w:r w:rsidR="00D34BEA">
        <w:rPr>
          <w:rFonts w:eastAsiaTheme="minorEastAsia"/>
          <w:lang w:val="it-IT"/>
        </w:rPr>
        <w:t>.</w:t>
      </w:r>
    </w:p>
    <w:p w14:paraId="1314BB3C" w14:textId="34453FAE" w:rsidR="00D34BEA" w:rsidRDefault="00D34BEA" w:rsidP="00011F9E">
      <w:pPr>
        <w:jc w:val="both"/>
        <w:rPr>
          <w:rFonts w:eastAsiaTheme="minorEastAsia"/>
          <w:lang w:val="it-IT"/>
        </w:rPr>
      </w:pPr>
      <w:r>
        <w:rPr>
          <w:rFonts w:eastAsiaTheme="minorEastAsia"/>
          <w:lang w:val="it-IT"/>
        </w:rPr>
        <w:t xml:space="preserve">Il minuendo </w:t>
      </w:r>
      <m:oMath>
        <m:r>
          <w:rPr>
            <w:rFonts w:ascii="Cambria Math" w:eastAsiaTheme="minorEastAsia" w:hAnsi="Cambria Math"/>
            <w:lang w:val="it-IT"/>
          </w:rPr>
          <m:t>C(.)</m:t>
        </m:r>
      </m:oMath>
      <w:r>
        <w:rPr>
          <w:rFonts w:eastAsiaTheme="minorEastAsia"/>
          <w:lang w:val="it-IT"/>
        </w:rPr>
        <w:t xml:space="preserve"> anche è una funzione continua e rappresenta esplicitamente i costi di transazione, che si assumono divisi in due parti. La prima parte rappresenta lo sforzo di ricerca e contrattazione, </w:t>
      </w:r>
      <m:oMath>
        <m:r>
          <w:rPr>
            <w:rFonts w:ascii="Cambria Math" w:eastAsiaTheme="minorEastAsia" w:hAnsi="Cambria Math"/>
            <w:lang w:val="it-IT"/>
          </w:rPr>
          <m:t>L</m:t>
        </m:r>
      </m:oMath>
      <w:r>
        <w:rPr>
          <w:rFonts w:eastAsiaTheme="minorEastAsia"/>
          <w:lang w:val="it-IT"/>
        </w:rPr>
        <w:t xml:space="preserve">, che incrementa in modo diretto la probabilità di vendita, ma è un costo che viene personalmente sostenuto dall’agente. La seconda parte rappresenta i costi vivi che l’agente deve sostenere per arrivare alla vendita. Questi costi sono ad esempio il trasporto per andare a visitare delle proprietà lontane dall’ufficio o il setup di un open-house. </w:t>
      </w:r>
    </w:p>
    <w:p w14:paraId="4252DAC8" w14:textId="6B8509E5" w:rsidR="00D34BEA" w:rsidRDefault="00D34BEA" w:rsidP="00011F9E">
      <w:pPr>
        <w:jc w:val="both"/>
        <w:rPr>
          <w:rFonts w:eastAsiaTheme="minorEastAsia"/>
          <w:lang w:val="it-IT"/>
        </w:rPr>
      </w:pPr>
      <w:r>
        <w:rPr>
          <w:rFonts w:eastAsiaTheme="minorEastAsia"/>
          <w:lang w:val="it-IT"/>
        </w:rPr>
        <w:lastRenderedPageBreak/>
        <w:t xml:space="preserve">Si presuppone che questi secondi costi siano funzione dell’ammontare di impegno </w:t>
      </w:r>
      <m:oMath>
        <m:r>
          <w:rPr>
            <w:rFonts w:ascii="Cambria Math" w:eastAsiaTheme="minorEastAsia" w:hAnsi="Cambria Math"/>
            <w:lang w:val="it-IT"/>
          </w:rPr>
          <m:t>L</m:t>
        </m:r>
      </m:oMath>
      <w:r>
        <w:rPr>
          <w:rFonts w:eastAsiaTheme="minorEastAsia"/>
          <w:lang w:val="it-IT"/>
        </w:rPr>
        <w:t xml:space="preserve">, rappresentandosi così come </w:t>
      </w:r>
      <m:oMath>
        <m:r>
          <w:rPr>
            <w:rFonts w:ascii="Cambria Math" w:eastAsiaTheme="minorEastAsia" w:hAnsi="Cambria Math"/>
            <w:lang w:val="it-IT"/>
          </w:rPr>
          <m:t>sL</m:t>
        </m:r>
      </m:oMath>
      <w:r>
        <w:rPr>
          <w:rFonts w:eastAsiaTheme="minorEastAsia"/>
          <w:lang w:val="it-IT"/>
        </w:rPr>
        <w:t xml:space="preserve">. Un </w:t>
      </w:r>
      <m:oMath>
        <m:r>
          <w:rPr>
            <w:rFonts w:ascii="Cambria Math" w:eastAsiaTheme="minorEastAsia" w:hAnsi="Cambria Math"/>
            <w:lang w:val="it-IT"/>
          </w:rPr>
          <m:t>s</m:t>
        </m:r>
      </m:oMath>
      <w:r>
        <w:rPr>
          <w:rFonts w:eastAsiaTheme="minorEastAsia"/>
          <w:lang w:val="it-IT"/>
        </w:rPr>
        <w:t xml:space="preserve"> maggiore significa che l’immobile è soggetto ad un maggiore livello di costi di transazione. Si assume che </w:t>
      </w:r>
      <m:oMath>
        <m:d>
          <m:dPr>
            <m:ctrlPr>
              <w:rPr>
                <w:rFonts w:ascii="Cambria Math" w:eastAsiaTheme="minorEastAsia" w:hAnsi="Cambria Math"/>
                <w:i/>
                <w:lang w:val="it-IT"/>
              </w:rPr>
            </m:ctrlPr>
          </m:dPr>
          <m:e>
            <m:r>
              <w:rPr>
                <w:rFonts w:ascii="Cambria Math" w:eastAsiaTheme="minorEastAsia" w:hAnsi="Cambria Math"/>
                <w:lang w:val="it-IT"/>
              </w:rPr>
              <m:t>1+s</m:t>
            </m:r>
          </m:e>
        </m:d>
        <m:r>
          <w:rPr>
            <w:rFonts w:ascii="Cambria Math" w:eastAsiaTheme="minorEastAsia" w:hAnsi="Cambria Math"/>
            <w:lang w:val="it-IT"/>
          </w:rPr>
          <m:t>L</m:t>
        </m:r>
      </m:oMath>
      <w:r>
        <w:rPr>
          <w:rFonts w:eastAsiaTheme="minorEastAsia"/>
          <w:lang w:val="it-IT"/>
        </w:rPr>
        <w:t xml:space="preserve"> aumenti </w:t>
      </w:r>
      <m:oMath>
        <m:r>
          <w:rPr>
            <w:rFonts w:ascii="Cambria Math" w:eastAsiaTheme="minorEastAsia" w:hAnsi="Cambria Math"/>
            <w:lang w:val="it-IT"/>
          </w:rPr>
          <m:t>C(.)</m:t>
        </m:r>
      </m:oMath>
      <w:r>
        <w:rPr>
          <w:rFonts w:eastAsiaTheme="minorEastAsia"/>
          <w:lang w:val="it-IT"/>
        </w:rPr>
        <w:t xml:space="preserve"> ad un tasso crescente </w:t>
      </w:r>
      <w:r w:rsidRPr="00D34BEA">
        <w:rPr>
          <w:rFonts w:eastAsiaTheme="minorEastAsia"/>
          <w:lang w:val="it-IT"/>
        </w:rPr>
        <w:t>cosicchè</w:t>
      </w:r>
      <w:r>
        <w:rPr>
          <w:rFonts w:eastAsiaTheme="minorEastAsia"/>
          <w:lang w:val="it-IT"/>
        </w:rPr>
        <w:t xml:space="preserve"> </w:t>
      </w:r>
      <m:oMath>
        <m:sSup>
          <m:sSupPr>
            <m:ctrlPr>
              <w:rPr>
                <w:rFonts w:ascii="Cambria Math" w:eastAsiaTheme="minorEastAsia" w:hAnsi="Cambria Math"/>
                <w:i/>
                <w:lang w:val="it-IT"/>
              </w:rPr>
            </m:ctrlPr>
          </m:sSupPr>
          <m:e>
            <m:r>
              <w:rPr>
                <w:rFonts w:ascii="Cambria Math" w:eastAsiaTheme="minorEastAsia" w:hAnsi="Cambria Math"/>
                <w:lang w:val="it-IT"/>
              </w:rPr>
              <m:t>C</m:t>
            </m:r>
          </m:e>
          <m:sup>
            <m:r>
              <w:rPr>
                <w:rFonts w:ascii="Cambria Math" w:eastAsiaTheme="minorEastAsia" w:hAnsi="Cambria Math"/>
                <w:lang w:val="it-IT"/>
              </w:rPr>
              <m:t>'</m:t>
            </m:r>
          </m:sup>
        </m:sSup>
        <m:r>
          <w:rPr>
            <w:rFonts w:ascii="Cambria Math" w:eastAsiaTheme="minorEastAsia" w:hAnsi="Cambria Math"/>
            <w:lang w:val="it-IT"/>
          </w:rPr>
          <m:t>&gt;0</m:t>
        </m:r>
      </m:oMath>
      <w:r>
        <w:rPr>
          <w:rFonts w:eastAsiaTheme="minorEastAsia"/>
          <w:lang w:val="it-IT"/>
        </w:rPr>
        <w:t xml:space="preserve"> e </w:t>
      </w:r>
      <m:oMath>
        <m:sSup>
          <m:sSupPr>
            <m:ctrlPr>
              <w:rPr>
                <w:rFonts w:ascii="Cambria Math" w:eastAsiaTheme="minorEastAsia" w:hAnsi="Cambria Math"/>
                <w:i/>
                <w:lang w:val="it-IT"/>
              </w:rPr>
            </m:ctrlPr>
          </m:sSupPr>
          <m:e>
            <m:r>
              <w:rPr>
                <w:rFonts w:ascii="Cambria Math" w:eastAsiaTheme="minorEastAsia" w:hAnsi="Cambria Math"/>
                <w:lang w:val="it-IT"/>
              </w:rPr>
              <m:t>C</m:t>
            </m:r>
          </m:e>
          <m:sup>
            <m:r>
              <w:rPr>
                <w:rFonts w:ascii="Cambria Math" w:eastAsiaTheme="minorEastAsia" w:hAnsi="Cambria Math"/>
                <w:lang w:val="it-IT"/>
              </w:rPr>
              <m:t>''</m:t>
            </m:r>
          </m:sup>
        </m:sSup>
        <m:r>
          <w:rPr>
            <w:rFonts w:ascii="Cambria Math" w:eastAsiaTheme="minorEastAsia" w:hAnsi="Cambria Math"/>
            <w:lang w:val="it-IT"/>
          </w:rPr>
          <m:t>&gt;0</m:t>
        </m:r>
      </m:oMath>
      <w:r>
        <w:rPr>
          <w:rFonts w:eastAsiaTheme="minorEastAsia"/>
          <w:lang w:val="it-IT"/>
        </w:rPr>
        <w:t>.</w:t>
      </w:r>
    </w:p>
    <w:p w14:paraId="69D99112" w14:textId="79F8776E" w:rsidR="00D34BEA" w:rsidRDefault="00011F9E" w:rsidP="00011F9E">
      <w:pPr>
        <w:jc w:val="both"/>
        <w:rPr>
          <w:rFonts w:eastAsiaTheme="minorEastAsia"/>
          <w:lang w:val="it-IT"/>
        </w:rPr>
      </w:pPr>
      <w:r>
        <w:rPr>
          <w:rFonts w:eastAsiaTheme="minorEastAsia"/>
          <w:lang w:val="it-IT"/>
        </w:rPr>
        <w:t xml:space="preserve">Per capire come i costi di transazione impattano sulla probabilità di vendita è necessario soffermarsi sulla funzione di ottimo dell’agente immobiliare. </w:t>
      </w:r>
    </w:p>
    <w:p w14:paraId="4C0AA75A" w14:textId="1EC44FC5" w:rsidR="00011F9E" w:rsidRDefault="00011F9E" w:rsidP="00011F9E">
      <w:pPr>
        <w:jc w:val="both"/>
        <w:rPr>
          <w:rFonts w:eastAsiaTheme="minorEastAsia"/>
          <w:lang w:val="it-IT"/>
        </w:rPr>
      </w:pPr>
      <w:r>
        <w:rPr>
          <w:rFonts w:eastAsiaTheme="minorEastAsia"/>
          <w:lang w:val="it-IT"/>
        </w:rPr>
        <w:t xml:space="preserve">Un agente immobiliare potrebbe occuparsi simultaneamente di </w:t>
      </w:r>
      <m:oMath>
        <m:r>
          <w:rPr>
            <w:rFonts w:ascii="Cambria Math" w:eastAsiaTheme="minorEastAsia" w:hAnsi="Cambria Math"/>
            <w:lang w:val="it-IT"/>
          </w:rPr>
          <m:t>n</m:t>
        </m:r>
      </m:oMath>
      <w:r>
        <w:rPr>
          <w:rFonts w:eastAsiaTheme="minorEastAsia"/>
          <w:lang w:val="it-IT"/>
        </w:rPr>
        <w:t xml:space="preserve"> proprietà, e la singola proprietà viene rappresentata come </w:t>
      </w:r>
      <m:oMath>
        <m:r>
          <w:rPr>
            <w:rFonts w:ascii="Cambria Math" w:eastAsiaTheme="minorEastAsia" w:hAnsi="Cambria Math"/>
            <w:lang w:val="it-IT"/>
          </w:rPr>
          <m:t>i ∈</m:t>
        </m:r>
        <m:d>
          <m:dPr>
            <m:begChr m:val="["/>
            <m:endChr m:val="]"/>
            <m:ctrlPr>
              <w:rPr>
                <w:rFonts w:ascii="Cambria Math" w:eastAsiaTheme="minorEastAsia" w:hAnsi="Cambria Math"/>
                <w:i/>
                <w:lang w:val="it-IT"/>
              </w:rPr>
            </m:ctrlPr>
          </m:dPr>
          <m:e>
            <m:r>
              <w:rPr>
                <w:rFonts w:ascii="Cambria Math" w:eastAsiaTheme="minorEastAsia" w:hAnsi="Cambria Math"/>
                <w:lang w:val="it-IT"/>
              </w:rPr>
              <m:t>1…n</m:t>
            </m:r>
          </m:e>
        </m:d>
        <m:r>
          <w:rPr>
            <w:rFonts w:ascii="Cambria Math" w:eastAsiaTheme="minorEastAsia" w:hAnsi="Cambria Math"/>
            <w:lang w:val="it-IT"/>
          </w:rPr>
          <m:t xml:space="preserve">. </m:t>
        </m:r>
      </m:oMath>
      <w:r>
        <w:rPr>
          <w:rFonts w:eastAsiaTheme="minorEastAsia"/>
          <w:lang w:val="it-IT"/>
        </w:rPr>
        <w:t xml:space="preserve">I costi di transazione sono differenti per ogni immobile. L’agente sceglie l’impegno </w:t>
      </w:r>
      <m:oMath>
        <m:r>
          <w:rPr>
            <w:rFonts w:ascii="Cambria Math" w:eastAsiaTheme="minorEastAsia" w:hAnsi="Cambria Math"/>
            <w:lang w:val="it-IT"/>
          </w:rPr>
          <m:t>L</m:t>
        </m:r>
      </m:oMath>
      <w:r>
        <w:rPr>
          <w:rFonts w:eastAsiaTheme="minorEastAsia"/>
          <w:lang w:val="it-IT"/>
        </w:rPr>
        <w:t xml:space="preserve"> da mettere in ogni immobile, </w:t>
      </w:r>
      <m:oMath>
        <m:sSub>
          <m:sSubPr>
            <m:ctrlPr>
              <w:rPr>
                <w:rFonts w:ascii="Cambria Math" w:eastAsiaTheme="minorEastAsia" w:hAnsi="Cambria Math"/>
                <w:i/>
                <w:lang w:val="it-IT"/>
              </w:rPr>
            </m:ctrlPr>
          </m:sSubPr>
          <m:e>
            <m:r>
              <w:rPr>
                <w:rFonts w:ascii="Cambria Math" w:eastAsiaTheme="minorEastAsia" w:hAnsi="Cambria Math"/>
                <w:lang w:val="it-IT"/>
              </w:rPr>
              <m:t>L</m:t>
            </m:r>
          </m:e>
          <m:sub>
            <m:r>
              <w:rPr>
                <w:rFonts w:ascii="Cambria Math" w:eastAsiaTheme="minorEastAsia" w:hAnsi="Cambria Math"/>
                <w:lang w:val="it-IT"/>
              </w:rPr>
              <m:t>1</m:t>
            </m:r>
          </m:sub>
        </m:sSub>
        <m:r>
          <w:rPr>
            <w:rFonts w:ascii="Cambria Math" w:eastAsiaTheme="minorEastAsia" w:hAnsi="Cambria Math"/>
            <w:lang w:val="it-IT"/>
          </w:rPr>
          <m:t>,…,</m:t>
        </m:r>
        <m:sSub>
          <m:sSubPr>
            <m:ctrlPr>
              <w:rPr>
                <w:rFonts w:ascii="Cambria Math" w:eastAsiaTheme="minorEastAsia" w:hAnsi="Cambria Math"/>
                <w:i/>
                <w:lang w:val="it-IT"/>
              </w:rPr>
            </m:ctrlPr>
          </m:sSubPr>
          <m:e>
            <m:r>
              <w:rPr>
                <w:rFonts w:ascii="Cambria Math" w:eastAsiaTheme="minorEastAsia" w:hAnsi="Cambria Math"/>
                <w:lang w:val="it-IT"/>
              </w:rPr>
              <m:t>L</m:t>
            </m:r>
          </m:e>
          <m:sub>
            <m:r>
              <w:rPr>
                <w:rFonts w:ascii="Cambria Math" w:eastAsiaTheme="minorEastAsia" w:hAnsi="Cambria Math"/>
                <w:lang w:val="it-IT"/>
              </w:rPr>
              <m:t>n</m:t>
            </m:r>
          </m:sub>
        </m:sSub>
      </m:oMath>
      <w:r>
        <w:rPr>
          <w:rFonts w:eastAsiaTheme="minorEastAsia"/>
          <w:lang w:val="it-IT"/>
        </w:rPr>
        <w:t>, per massimizzare il payoff. Dunque il problema di ottimizzazione dell’agente è:</w:t>
      </w:r>
    </w:p>
    <w:p w14:paraId="6C34E9A4" w14:textId="2EDEEE0B" w:rsidR="00011F9E" w:rsidRPr="00011F9E" w:rsidRDefault="00004AB9" w:rsidP="00BF34C1">
      <w:pPr>
        <w:rPr>
          <w:rFonts w:eastAsiaTheme="minorEastAsia"/>
          <w:lang w:val="it-IT"/>
        </w:rPr>
      </w:pPr>
      <m:oMathPara>
        <m:oMath>
          <m:func>
            <m:funcPr>
              <m:ctrlPr>
                <w:rPr>
                  <w:rFonts w:ascii="Cambria Math" w:eastAsiaTheme="minorEastAsia" w:hAnsi="Cambria Math"/>
                  <w:i/>
                  <w:lang w:val="it-IT"/>
                </w:rPr>
              </m:ctrlPr>
            </m:funcPr>
            <m:fName>
              <m:limLow>
                <m:limLowPr>
                  <m:ctrlPr>
                    <w:rPr>
                      <w:rFonts w:ascii="Cambria Math" w:eastAsiaTheme="minorEastAsia" w:hAnsi="Cambria Math"/>
                      <w:i/>
                      <w:lang w:val="it-IT"/>
                    </w:rPr>
                  </m:ctrlPr>
                </m:limLowPr>
                <m:e>
                  <m:r>
                    <m:rPr>
                      <m:sty m:val="p"/>
                    </m:rPr>
                    <w:rPr>
                      <w:rFonts w:ascii="Cambria Math" w:hAnsi="Cambria Math"/>
                      <w:lang w:val="it-IT"/>
                    </w:rPr>
                    <m:t>max</m:t>
                  </m:r>
                </m:e>
                <m:lim>
                  <m:sSub>
                    <m:sSubPr>
                      <m:ctrlPr>
                        <w:rPr>
                          <w:rFonts w:ascii="Cambria Math" w:eastAsiaTheme="minorEastAsia" w:hAnsi="Cambria Math"/>
                          <w:i/>
                          <w:lang w:val="it-IT"/>
                        </w:rPr>
                      </m:ctrlPr>
                    </m:sSubPr>
                    <m:e>
                      <m:r>
                        <w:rPr>
                          <w:rFonts w:ascii="Cambria Math" w:eastAsiaTheme="minorEastAsia" w:hAnsi="Cambria Math"/>
                          <w:lang w:val="it-IT"/>
                        </w:rPr>
                        <m:t>L</m:t>
                      </m:r>
                    </m:e>
                    <m:sub>
                      <m:r>
                        <w:rPr>
                          <w:rFonts w:ascii="Cambria Math" w:eastAsiaTheme="minorEastAsia" w:hAnsi="Cambria Math"/>
                          <w:lang w:val="it-IT"/>
                        </w:rPr>
                        <m:t>1</m:t>
                      </m:r>
                    </m:sub>
                  </m:sSub>
                  <m:r>
                    <w:rPr>
                      <w:rFonts w:ascii="Cambria Math" w:eastAsiaTheme="minorEastAsia" w:hAnsi="Cambria Math"/>
                      <w:lang w:val="it-IT"/>
                    </w:rPr>
                    <m:t>…</m:t>
                  </m:r>
                  <m:sSub>
                    <m:sSubPr>
                      <m:ctrlPr>
                        <w:rPr>
                          <w:rFonts w:ascii="Cambria Math" w:eastAsiaTheme="minorEastAsia" w:hAnsi="Cambria Math"/>
                          <w:i/>
                          <w:lang w:val="it-IT"/>
                        </w:rPr>
                      </m:ctrlPr>
                    </m:sSubPr>
                    <m:e>
                      <m:r>
                        <w:rPr>
                          <w:rFonts w:ascii="Cambria Math" w:eastAsiaTheme="minorEastAsia" w:hAnsi="Cambria Math"/>
                          <w:lang w:val="it-IT"/>
                        </w:rPr>
                        <m:t>L</m:t>
                      </m:r>
                    </m:e>
                    <m:sub>
                      <m:r>
                        <w:rPr>
                          <w:rFonts w:ascii="Cambria Math" w:eastAsiaTheme="minorEastAsia" w:hAnsi="Cambria Math"/>
                          <w:lang w:val="it-IT"/>
                        </w:rPr>
                        <m:t>n</m:t>
                      </m:r>
                    </m:sub>
                  </m:sSub>
                </m:lim>
              </m:limLow>
            </m:fName>
            <m:e>
              <m:r>
                <m:rPr>
                  <m:sty m:val="p"/>
                </m:rPr>
                <w:rPr>
                  <w:rFonts w:ascii="Cambria Math" w:eastAsiaTheme="minorEastAsia" w:hAnsi="Cambria Math"/>
                  <w:lang w:val="it-IT"/>
                </w:rPr>
                <m:t>Π</m:t>
              </m:r>
            </m:e>
          </m:func>
          <m:d>
            <m:dPr>
              <m:ctrlPr>
                <w:rPr>
                  <w:rFonts w:ascii="Cambria Math" w:eastAsiaTheme="minorEastAsia" w:hAnsi="Cambria Math"/>
                  <w:i/>
                  <w:lang w:val="it-IT"/>
                </w:rPr>
              </m:ctrlPr>
            </m:dPr>
            <m:e>
              <m:sSub>
                <m:sSubPr>
                  <m:ctrlPr>
                    <w:rPr>
                      <w:rFonts w:ascii="Cambria Math" w:eastAsiaTheme="minorEastAsia" w:hAnsi="Cambria Math"/>
                      <w:i/>
                      <w:lang w:val="it-IT"/>
                    </w:rPr>
                  </m:ctrlPr>
                </m:sSubPr>
                <m:e>
                  <m:r>
                    <w:rPr>
                      <w:rFonts w:ascii="Cambria Math" w:eastAsiaTheme="minorEastAsia" w:hAnsi="Cambria Math"/>
                      <w:lang w:val="it-IT"/>
                    </w:rPr>
                    <m:t>L</m:t>
                  </m:r>
                </m:e>
                <m:sub>
                  <m:r>
                    <w:rPr>
                      <w:rFonts w:ascii="Cambria Math" w:eastAsiaTheme="minorEastAsia" w:hAnsi="Cambria Math"/>
                      <w:lang w:val="it-IT"/>
                    </w:rPr>
                    <m:t>1</m:t>
                  </m:r>
                </m:sub>
              </m:sSub>
              <m:r>
                <w:rPr>
                  <w:rFonts w:ascii="Cambria Math" w:eastAsiaTheme="minorEastAsia" w:hAnsi="Cambria Math"/>
                  <w:lang w:val="it-IT"/>
                </w:rPr>
                <m:t>…</m:t>
              </m:r>
              <m:sSub>
                <m:sSubPr>
                  <m:ctrlPr>
                    <w:rPr>
                      <w:rFonts w:ascii="Cambria Math" w:eastAsiaTheme="minorEastAsia" w:hAnsi="Cambria Math"/>
                      <w:i/>
                      <w:lang w:val="it-IT"/>
                    </w:rPr>
                  </m:ctrlPr>
                </m:sSubPr>
                <m:e>
                  <m:r>
                    <w:rPr>
                      <w:rFonts w:ascii="Cambria Math" w:eastAsiaTheme="minorEastAsia" w:hAnsi="Cambria Math"/>
                      <w:lang w:val="it-IT"/>
                    </w:rPr>
                    <m:t>L</m:t>
                  </m:r>
                </m:e>
                <m:sub>
                  <m:r>
                    <w:rPr>
                      <w:rFonts w:ascii="Cambria Math" w:eastAsiaTheme="minorEastAsia" w:hAnsi="Cambria Math"/>
                      <w:lang w:val="it-IT"/>
                    </w:rPr>
                    <m:t>n</m:t>
                  </m:r>
                </m:sub>
              </m:sSub>
            </m:e>
          </m:d>
          <m:r>
            <w:rPr>
              <w:rFonts w:ascii="Cambria Math" w:eastAsiaTheme="minorEastAsia" w:hAnsi="Cambria Math"/>
              <w:lang w:val="it-IT"/>
            </w:rPr>
            <m:t>=</m:t>
          </m:r>
          <m:nary>
            <m:naryPr>
              <m:chr m:val="∑"/>
              <m:limLoc m:val="undOvr"/>
              <m:supHide m:val="1"/>
              <m:ctrlPr>
                <w:rPr>
                  <w:rFonts w:ascii="Cambria Math" w:eastAsiaTheme="minorEastAsia" w:hAnsi="Cambria Math"/>
                  <w:i/>
                  <w:lang w:val="it-IT"/>
                </w:rPr>
              </m:ctrlPr>
            </m:naryPr>
            <m:sub>
              <m:r>
                <w:rPr>
                  <w:rFonts w:ascii="Cambria Math" w:eastAsiaTheme="minorEastAsia" w:hAnsi="Cambria Math"/>
                  <w:lang w:val="it-IT"/>
                </w:rPr>
                <m:t>n</m:t>
              </m:r>
            </m:sub>
            <m:sup/>
            <m:e>
              <m:sSub>
                <m:sSubPr>
                  <m:ctrlPr>
                    <w:rPr>
                      <w:rFonts w:ascii="Cambria Math" w:eastAsiaTheme="minorEastAsia" w:hAnsi="Cambria Math"/>
                      <w:i/>
                      <w:lang w:val="it-IT"/>
                    </w:rPr>
                  </m:ctrlPr>
                </m:sSubPr>
                <m:e>
                  <m:r>
                    <w:rPr>
                      <w:rFonts w:ascii="Cambria Math" w:eastAsiaTheme="minorEastAsia" w:hAnsi="Cambria Math"/>
                      <w:lang w:val="it-IT"/>
                    </w:rPr>
                    <m:t>V</m:t>
                  </m:r>
                </m:e>
                <m:sub>
                  <m:r>
                    <w:rPr>
                      <w:rFonts w:ascii="Cambria Math" w:eastAsiaTheme="minorEastAsia" w:hAnsi="Cambria Math"/>
                      <w:lang w:val="it-IT"/>
                    </w:rPr>
                    <m:t>i</m:t>
                  </m:r>
                </m:sub>
              </m:sSub>
            </m:e>
          </m:nary>
        </m:oMath>
      </m:oMathPara>
    </w:p>
    <w:p w14:paraId="395EF6BC" w14:textId="7FF711B2" w:rsidR="00011F9E" w:rsidRPr="00011F9E" w:rsidRDefault="00011F9E" w:rsidP="00011F9E">
      <w:pPr>
        <w:jc w:val="center"/>
        <w:rPr>
          <w:rFonts w:eastAsiaTheme="minorEastAsia"/>
          <w:lang w:val="it-IT"/>
        </w:rPr>
      </w:pPr>
      <m:oMathPara>
        <m:oMath>
          <m:r>
            <w:rPr>
              <w:rFonts w:ascii="Cambria Math" w:eastAsiaTheme="minorEastAsia" w:hAnsi="Cambria Math"/>
              <w:lang w:val="it-IT"/>
            </w:rPr>
            <m:t>=</m:t>
          </m:r>
          <m:nary>
            <m:naryPr>
              <m:chr m:val="∑"/>
              <m:limLoc m:val="undOvr"/>
              <m:supHide m:val="1"/>
              <m:ctrlPr>
                <w:rPr>
                  <w:rFonts w:ascii="Cambria Math" w:eastAsiaTheme="minorEastAsia" w:hAnsi="Cambria Math"/>
                  <w:i/>
                  <w:lang w:val="it-IT"/>
                </w:rPr>
              </m:ctrlPr>
            </m:naryPr>
            <m:sub>
              <m:r>
                <w:rPr>
                  <w:rFonts w:ascii="Cambria Math" w:eastAsiaTheme="minorEastAsia" w:hAnsi="Cambria Math"/>
                  <w:lang w:val="it-IT"/>
                </w:rPr>
                <m:t>n</m:t>
              </m:r>
            </m:sub>
            <m:sup/>
            <m:e>
              <m:d>
                <m:dPr>
                  <m:begChr m:val="["/>
                  <m:endChr m:val="]"/>
                  <m:ctrlPr>
                    <w:rPr>
                      <w:rFonts w:ascii="Cambria Math" w:eastAsiaTheme="minorEastAsia" w:hAnsi="Cambria Math"/>
                      <w:i/>
                      <w:lang w:val="it-IT"/>
                    </w:rPr>
                  </m:ctrlPr>
                </m:dPr>
                <m:e>
                  <m:r>
                    <w:rPr>
                      <w:rFonts w:ascii="Cambria Math" w:eastAsiaTheme="minorEastAsia" w:hAnsi="Cambria Math"/>
                      <w:lang w:val="it-IT"/>
                    </w:rPr>
                    <m:t>ψ</m:t>
                  </m:r>
                  <m:d>
                    <m:dPr>
                      <m:ctrlPr>
                        <w:rPr>
                          <w:rFonts w:ascii="Cambria Math" w:eastAsiaTheme="minorEastAsia" w:hAnsi="Cambria Math"/>
                          <w:i/>
                          <w:lang w:val="it-IT"/>
                        </w:rPr>
                      </m:ctrlPr>
                    </m:dPr>
                    <m:e>
                      <m:sSub>
                        <m:sSubPr>
                          <m:ctrlPr>
                            <w:rPr>
                              <w:rFonts w:ascii="Cambria Math" w:eastAsiaTheme="minorEastAsia" w:hAnsi="Cambria Math"/>
                              <w:i/>
                              <w:lang w:val="it-IT"/>
                            </w:rPr>
                          </m:ctrlPr>
                        </m:sSubPr>
                        <m:e>
                          <m:r>
                            <w:rPr>
                              <w:rFonts w:ascii="Cambria Math" w:eastAsiaTheme="minorEastAsia" w:hAnsi="Cambria Math"/>
                              <w:lang w:val="it-IT"/>
                            </w:rPr>
                            <m:t>L</m:t>
                          </m:r>
                        </m:e>
                        <m:sub>
                          <m:r>
                            <w:rPr>
                              <w:rFonts w:ascii="Cambria Math" w:eastAsiaTheme="minorEastAsia" w:hAnsi="Cambria Math"/>
                              <w:lang w:val="it-IT"/>
                            </w:rPr>
                            <m:t>i</m:t>
                          </m:r>
                        </m:sub>
                      </m:sSub>
                    </m:e>
                  </m:d>
                  <m:nary>
                    <m:naryPr>
                      <m:limLoc m:val="subSup"/>
                      <m:ctrlPr>
                        <w:rPr>
                          <w:rFonts w:ascii="Cambria Math" w:eastAsiaTheme="minorEastAsia" w:hAnsi="Cambria Math"/>
                          <w:i/>
                          <w:lang w:val="it-IT"/>
                        </w:rPr>
                      </m:ctrlPr>
                    </m:naryPr>
                    <m:sub>
                      <m:r>
                        <w:rPr>
                          <w:rFonts w:ascii="Cambria Math" w:eastAsiaTheme="minorEastAsia" w:hAnsi="Cambria Math"/>
                          <w:lang w:val="it-IT"/>
                        </w:rPr>
                        <m:t>p</m:t>
                      </m:r>
                    </m:sub>
                    <m:sup>
                      <m:acc>
                        <m:accPr>
                          <m:chr m:val="̅"/>
                          <m:ctrlPr>
                            <w:rPr>
                              <w:rFonts w:ascii="Cambria Math" w:eastAsiaTheme="minorEastAsia" w:hAnsi="Cambria Math"/>
                              <w:i/>
                              <w:lang w:val="it-IT"/>
                            </w:rPr>
                          </m:ctrlPr>
                        </m:accPr>
                        <m:e>
                          <m:r>
                            <w:rPr>
                              <w:rFonts w:ascii="Cambria Math" w:eastAsiaTheme="minorEastAsia" w:hAnsi="Cambria Math"/>
                              <w:lang w:val="it-IT"/>
                            </w:rPr>
                            <m:t>p</m:t>
                          </m:r>
                        </m:e>
                      </m:acc>
                    </m:sup>
                    <m:e>
                      <m:sSub>
                        <m:sSubPr>
                          <m:ctrlPr>
                            <w:rPr>
                              <w:rFonts w:ascii="Cambria Math" w:eastAsiaTheme="minorEastAsia" w:hAnsi="Cambria Math"/>
                              <w:i/>
                              <w:lang w:val="it-IT"/>
                            </w:rPr>
                          </m:ctrlPr>
                        </m:sSubPr>
                        <m:e>
                          <m:r>
                            <w:rPr>
                              <w:rFonts w:ascii="Cambria Math" w:eastAsiaTheme="minorEastAsia" w:hAnsi="Cambria Math"/>
                              <w:lang w:val="it-IT"/>
                            </w:rPr>
                            <m:t>k</m:t>
                          </m:r>
                        </m:e>
                        <m:sub>
                          <m:r>
                            <w:rPr>
                              <w:rFonts w:ascii="Cambria Math" w:eastAsiaTheme="minorEastAsia" w:hAnsi="Cambria Math"/>
                              <w:lang w:val="it-IT"/>
                            </w:rPr>
                            <m:t>i</m:t>
                          </m:r>
                        </m:sub>
                      </m:sSub>
                      <m:sSub>
                        <m:sSubPr>
                          <m:ctrlPr>
                            <w:rPr>
                              <w:rFonts w:ascii="Cambria Math" w:eastAsiaTheme="minorEastAsia" w:hAnsi="Cambria Math"/>
                              <w:i/>
                              <w:lang w:val="it-IT"/>
                            </w:rPr>
                          </m:ctrlPr>
                        </m:sSubPr>
                        <m:e>
                          <m:r>
                            <w:rPr>
                              <w:rFonts w:ascii="Cambria Math" w:eastAsiaTheme="minorEastAsia" w:hAnsi="Cambria Math"/>
                              <w:lang w:val="it-IT"/>
                            </w:rPr>
                            <m:t>P</m:t>
                          </m:r>
                        </m:e>
                        <m:sub>
                          <m:r>
                            <w:rPr>
                              <w:rFonts w:ascii="Cambria Math" w:eastAsiaTheme="minorEastAsia" w:hAnsi="Cambria Math"/>
                              <w:lang w:val="it-IT"/>
                            </w:rPr>
                            <m:t>i</m:t>
                          </m:r>
                        </m:sub>
                      </m:sSub>
                    </m:e>
                  </m:nary>
                  <m:r>
                    <w:rPr>
                      <w:rFonts w:ascii="Cambria Math" w:eastAsiaTheme="minorEastAsia" w:hAnsi="Cambria Math"/>
                      <w:lang w:val="it-IT"/>
                    </w:rPr>
                    <m:t>f</m:t>
                  </m:r>
                  <m:d>
                    <m:dPr>
                      <m:ctrlPr>
                        <w:rPr>
                          <w:rFonts w:ascii="Cambria Math" w:eastAsiaTheme="minorEastAsia" w:hAnsi="Cambria Math"/>
                          <w:i/>
                          <w:lang w:val="it-IT"/>
                        </w:rPr>
                      </m:ctrlPr>
                    </m:dPr>
                    <m:e>
                      <m:r>
                        <w:rPr>
                          <w:rFonts w:ascii="Cambria Math" w:eastAsiaTheme="minorEastAsia" w:hAnsi="Cambria Math"/>
                          <w:lang w:val="it-IT"/>
                        </w:rPr>
                        <m:t>p</m:t>
                      </m:r>
                    </m:e>
                  </m:d>
                  <m:r>
                    <w:rPr>
                      <w:rFonts w:ascii="Cambria Math" w:eastAsiaTheme="minorEastAsia" w:hAnsi="Cambria Math"/>
                      <w:lang w:val="it-IT"/>
                    </w:rPr>
                    <m:t>dp+ϕ</m:t>
                  </m:r>
                  <m:nary>
                    <m:naryPr>
                      <m:limLoc m:val="subSup"/>
                      <m:ctrlPr>
                        <w:rPr>
                          <w:rFonts w:ascii="Cambria Math" w:eastAsiaTheme="minorEastAsia" w:hAnsi="Cambria Math"/>
                          <w:i/>
                          <w:lang w:val="it-IT"/>
                        </w:rPr>
                      </m:ctrlPr>
                    </m:naryPr>
                    <m:sub>
                      <m:r>
                        <w:rPr>
                          <w:rFonts w:ascii="Cambria Math" w:eastAsiaTheme="minorEastAsia" w:hAnsi="Cambria Math"/>
                          <w:lang w:val="it-IT"/>
                        </w:rPr>
                        <m:t>p</m:t>
                      </m:r>
                    </m:sub>
                    <m:sup>
                      <m:acc>
                        <m:accPr>
                          <m:chr m:val="̅"/>
                          <m:ctrlPr>
                            <w:rPr>
                              <w:rFonts w:ascii="Cambria Math" w:eastAsiaTheme="minorEastAsia" w:hAnsi="Cambria Math"/>
                              <w:i/>
                              <w:lang w:val="it-IT"/>
                            </w:rPr>
                          </m:ctrlPr>
                        </m:accPr>
                        <m:e>
                          <m:r>
                            <w:rPr>
                              <w:rFonts w:ascii="Cambria Math" w:eastAsiaTheme="minorEastAsia" w:hAnsi="Cambria Math"/>
                              <w:lang w:val="it-IT"/>
                            </w:rPr>
                            <m:t>p</m:t>
                          </m:r>
                        </m:e>
                      </m:acc>
                    </m:sup>
                    <m:e>
                      <m:d>
                        <m:dPr>
                          <m:ctrlPr>
                            <w:rPr>
                              <w:rFonts w:ascii="Cambria Math" w:eastAsiaTheme="minorEastAsia" w:hAnsi="Cambria Math"/>
                              <w:i/>
                              <w:lang w:val="it-IT"/>
                            </w:rPr>
                          </m:ctrlPr>
                        </m:dPr>
                        <m:e>
                          <m:sSub>
                            <m:sSubPr>
                              <m:ctrlPr>
                                <w:rPr>
                                  <w:rFonts w:ascii="Cambria Math" w:eastAsiaTheme="minorEastAsia" w:hAnsi="Cambria Math"/>
                                  <w:i/>
                                  <w:lang w:val="it-IT"/>
                                </w:rPr>
                              </m:ctrlPr>
                            </m:sSubPr>
                            <m:e>
                              <m:r>
                                <w:rPr>
                                  <w:rFonts w:ascii="Cambria Math" w:eastAsiaTheme="minorEastAsia" w:hAnsi="Cambria Math"/>
                                  <w:lang w:val="it-IT"/>
                                </w:rPr>
                                <m:t>k</m:t>
                              </m:r>
                            </m:e>
                            <m:sub>
                              <m:r>
                                <w:rPr>
                                  <w:rFonts w:ascii="Cambria Math" w:eastAsiaTheme="minorEastAsia" w:hAnsi="Cambria Math"/>
                                  <w:lang w:val="it-IT"/>
                                </w:rPr>
                                <m:t>i</m:t>
                              </m:r>
                            </m:sub>
                          </m:sSub>
                          <m:r>
                            <w:rPr>
                              <w:rFonts w:ascii="Cambria Math" w:eastAsiaTheme="minorEastAsia" w:hAnsi="Cambria Math"/>
                              <w:lang w:val="it-IT"/>
                            </w:rPr>
                            <m:t>-</m:t>
                          </m:r>
                          <m:sSub>
                            <m:sSubPr>
                              <m:ctrlPr>
                                <w:rPr>
                                  <w:rFonts w:ascii="Cambria Math" w:eastAsiaTheme="minorEastAsia" w:hAnsi="Cambria Math"/>
                                  <w:i/>
                                  <w:lang w:val="it-IT"/>
                                </w:rPr>
                              </m:ctrlPr>
                            </m:sSubPr>
                            <m:e>
                              <m:r>
                                <w:rPr>
                                  <w:rFonts w:ascii="Cambria Math" w:eastAsiaTheme="minorEastAsia" w:hAnsi="Cambria Math"/>
                                  <w:lang w:val="it-IT"/>
                                </w:rPr>
                                <m:t>k</m:t>
                              </m:r>
                            </m:e>
                            <m:sub>
                              <m:r>
                                <w:rPr>
                                  <w:rFonts w:ascii="Cambria Math" w:eastAsiaTheme="minorEastAsia" w:hAnsi="Cambria Math"/>
                                  <w:lang w:val="it-IT"/>
                                </w:rPr>
                                <m:t>s</m:t>
                              </m:r>
                            </m:sub>
                          </m:sSub>
                        </m:e>
                      </m:d>
                    </m:e>
                  </m:nary>
                  <m:sSub>
                    <m:sSubPr>
                      <m:ctrlPr>
                        <w:rPr>
                          <w:rFonts w:ascii="Cambria Math" w:eastAsiaTheme="minorEastAsia" w:hAnsi="Cambria Math"/>
                          <w:i/>
                          <w:lang w:val="it-IT"/>
                        </w:rPr>
                      </m:ctrlPr>
                    </m:sSubPr>
                    <m:e>
                      <m:r>
                        <w:rPr>
                          <w:rFonts w:ascii="Cambria Math" w:eastAsiaTheme="minorEastAsia" w:hAnsi="Cambria Math"/>
                          <w:lang w:val="it-IT"/>
                        </w:rPr>
                        <m:t>P</m:t>
                      </m:r>
                    </m:e>
                    <m:sub>
                      <m:r>
                        <w:rPr>
                          <w:rFonts w:ascii="Cambria Math" w:eastAsiaTheme="minorEastAsia" w:hAnsi="Cambria Math"/>
                          <w:lang w:val="it-IT"/>
                        </w:rPr>
                        <m:t>i</m:t>
                      </m:r>
                    </m:sub>
                  </m:sSub>
                  <m:r>
                    <w:rPr>
                      <w:rFonts w:ascii="Cambria Math" w:eastAsiaTheme="minorEastAsia" w:hAnsi="Cambria Math"/>
                      <w:lang w:val="it-IT"/>
                    </w:rPr>
                    <m:t>f</m:t>
                  </m:r>
                  <m:d>
                    <m:dPr>
                      <m:ctrlPr>
                        <w:rPr>
                          <w:rFonts w:ascii="Cambria Math" w:eastAsiaTheme="minorEastAsia" w:hAnsi="Cambria Math"/>
                          <w:i/>
                          <w:lang w:val="it-IT"/>
                        </w:rPr>
                      </m:ctrlPr>
                    </m:dPr>
                    <m:e>
                      <m:r>
                        <w:rPr>
                          <w:rFonts w:ascii="Cambria Math" w:eastAsiaTheme="minorEastAsia" w:hAnsi="Cambria Math"/>
                          <w:lang w:val="it-IT"/>
                        </w:rPr>
                        <m:t>p</m:t>
                      </m:r>
                    </m:e>
                  </m:d>
                  <m:r>
                    <w:rPr>
                      <w:rFonts w:ascii="Cambria Math" w:eastAsiaTheme="minorEastAsia" w:hAnsi="Cambria Math"/>
                      <w:lang w:val="it-IT"/>
                    </w:rPr>
                    <m:t>dp</m:t>
                  </m:r>
                </m:e>
              </m:d>
              <m:r>
                <w:rPr>
                  <w:rFonts w:ascii="Cambria Math" w:eastAsiaTheme="minorEastAsia" w:hAnsi="Cambria Math"/>
                  <w:lang w:val="it-IT"/>
                </w:rPr>
                <m:t>-C</m:t>
              </m:r>
              <m:d>
                <m:dPr>
                  <m:begChr m:val="["/>
                  <m:endChr m:val="]"/>
                  <m:ctrlPr>
                    <w:rPr>
                      <w:rFonts w:ascii="Cambria Math" w:eastAsiaTheme="minorEastAsia" w:hAnsi="Cambria Math"/>
                      <w:i/>
                      <w:lang w:val="it-IT"/>
                    </w:rPr>
                  </m:ctrlPr>
                </m:dPr>
                <m:e>
                  <m:nary>
                    <m:naryPr>
                      <m:chr m:val="∑"/>
                      <m:limLoc m:val="undOvr"/>
                      <m:supHide m:val="1"/>
                      <m:ctrlPr>
                        <w:rPr>
                          <w:rFonts w:ascii="Cambria Math" w:eastAsiaTheme="minorEastAsia" w:hAnsi="Cambria Math"/>
                          <w:i/>
                          <w:lang w:val="it-IT"/>
                        </w:rPr>
                      </m:ctrlPr>
                    </m:naryPr>
                    <m:sub>
                      <m:r>
                        <w:rPr>
                          <w:rFonts w:ascii="Cambria Math" w:eastAsiaTheme="minorEastAsia" w:hAnsi="Cambria Math"/>
                          <w:lang w:val="it-IT"/>
                        </w:rPr>
                        <m:t>n</m:t>
                      </m:r>
                    </m:sub>
                    <m:sup/>
                    <m:e>
                      <m:r>
                        <w:rPr>
                          <w:rFonts w:ascii="Cambria Math" w:eastAsiaTheme="minorEastAsia" w:hAnsi="Cambria Math"/>
                          <w:lang w:val="it-IT"/>
                        </w:rPr>
                        <m:t>(1+</m:t>
                      </m:r>
                      <m:sSub>
                        <m:sSubPr>
                          <m:ctrlPr>
                            <w:rPr>
                              <w:rFonts w:ascii="Cambria Math" w:eastAsiaTheme="minorEastAsia" w:hAnsi="Cambria Math"/>
                              <w:i/>
                              <w:lang w:val="it-IT"/>
                            </w:rPr>
                          </m:ctrlPr>
                        </m:sSubPr>
                        <m:e>
                          <m:r>
                            <w:rPr>
                              <w:rFonts w:ascii="Cambria Math" w:eastAsiaTheme="minorEastAsia" w:hAnsi="Cambria Math"/>
                              <w:lang w:val="it-IT"/>
                            </w:rPr>
                            <m:t>s</m:t>
                          </m:r>
                        </m:e>
                        <m:sub>
                          <m:r>
                            <w:rPr>
                              <w:rFonts w:ascii="Cambria Math" w:eastAsiaTheme="minorEastAsia" w:hAnsi="Cambria Math"/>
                              <w:lang w:val="it-IT"/>
                            </w:rPr>
                            <m:t>i</m:t>
                          </m:r>
                        </m:sub>
                      </m:sSub>
                      <m:r>
                        <w:rPr>
                          <w:rFonts w:ascii="Cambria Math" w:eastAsiaTheme="minorEastAsia" w:hAnsi="Cambria Math"/>
                          <w:lang w:val="it-IT"/>
                        </w:rPr>
                        <m:t>)</m:t>
                      </m:r>
                      <m:sSub>
                        <m:sSubPr>
                          <m:ctrlPr>
                            <w:rPr>
                              <w:rFonts w:ascii="Cambria Math" w:eastAsiaTheme="minorEastAsia" w:hAnsi="Cambria Math"/>
                              <w:i/>
                              <w:lang w:val="it-IT"/>
                            </w:rPr>
                          </m:ctrlPr>
                        </m:sSubPr>
                        <m:e>
                          <m:r>
                            <w:rPr>
                              <w:rFonts w:ascii="Cambria Math" w:eastAsiaTheme="minorEastAsia" w:hAnsi="Cambria Math"/>
                              <w:lang w:val="it-IT"/>
                            </w:rPr>
                            <m:t>L</m:t>
                          </m:r>
                        </m:e>
                        <m:sub>
                          <m:r>
                            <w:rPr>
                              <w:rFonts w:ascii="Cambria Math" w:eastAsiaTheme="minorEastAsia" w:hAnsi="Cambria Math"/>
                              <w:lang w:val="it-IT"/>
                            </w:rPr>
                            <m:t>i</m:t>
                          </m:r>
                        </m:sub>
                      </m:sSub>
                    </m:e>
                  </m:nary>
                </m:e>
              </m:d>
            </m:e>
          </m:nary>
        </m:oMath>
      </m:oMathPara>
    </w:p>
    <w:p w14:paraId="446EC868" w14:textId="0B4B3055" w:rsidR="00011F9E" w:rsidRDefault="00011F9E" w:rsidP="00011F9E">
      <w:pPr>
        <w:jc w:val="center"/>
        <w:rPr>
          <w:rFonts w:eastAsiaTheme="minorEastAsia"/>
          <w:i/>
          <w:lang w:val="it-IT"/>
        </w:rPr>
      </w:pPr>
      <w:r w:rsidRPr="00011F9E">
        <w:rPr>
          <w:rFonts w:eastAsiaTheme="minorEastAsia"/>
          <w:i/>
          <w:lang w:val="it-IT"/>
        </w:rPr>
        <w:t>Equazione (2)</w:t>
      </w:r>
    </w:p>
    <w:p w14:paraId="5E89DA5C" w14:textId="0D28450A" w:rsidR="00011F9E" w:rsidRDefault="00011F9E" w:rsidP="00011F9E">
      <w:pPr>
        <w:jc w:val="both"/>
        <w:rPr>
          <w:rFonts w:eastAsiaTheme="minorEastAsia"/>
          <w:lang w:val="it-IT"/>
        </w:rPr>
      </w:pPr>
      <w:r>
        <w:rPr>
          <w:rFonts w:eastAsiaTheme="minorEastAsia"/>
          <w:lang w:val="it-IT"/>
        </w:rPr>
        <w:t>Le condizioni di primo ordine sono date da:</w:t>
      </w:r>
    </w:p>
    <w:p w14:paraId="5CED51D2" w14:textId="5D952D21" w:rsidR="00011F9E" w:rsidRPr="002A0EA3" w:rsidRDefault="00004AB9" w:rsidP="00011F9E">
      <w:pPr>
        <w:jc w:val="both"/>
        <w:rPr>
          <w:rFonts w:eastAsiaTheme="minorEastAsia"/>
          <w:lang w:val="it-IT"/>
        </w:rPr>
      </w:pPr>
      <m:oMathPara>
        <m:oMath>
          <m:sSup>
            <m:sSupPr>
              <m:ctrlPr>
                <w:rPr>
                  <w:rFonts w:ascii="Cambria Math" w:eastAsiaTheme="minorEastAsia" w:hAnsi="Cambria Math"/>
                  <w:i/>
                  <w:lang w:val="it-IT"/>
                </w:rPr>
              </m:ctrlPr>
            </m:sSupPr>
            <m:e>
              <m:r>
                <w:rPr>
                  <w:rFonts w:ascii="Cambria Math" w:eastAsiaTheme="minorEastAsia" w:hAnsi="Cambria Math"/>
                  <w:lang w:val="it-IT"/>
                </w:rPr>
                <m:t>ψ</m:t>
              </m:r>
            </m:e>
            <m:sup>
              <m:r>
                <w:rPr>
                  <w:rFonts w:ascii="Cambria Math" w:eastAsiaTheme="minorEastAsia" w:hAnsi="Cambria Math"/>
                  <w:lang w:val="it-IT"/>
                </w:rPr>
                <m:t>'</m:t>
              </m:r>
            </m:sup>
          </m:sSup>
          <m:nary>
            <m:naryPr>
              <m:limLoc m:val="subSup"/>
              <m:ctrlPr>
                <w:rPr>
                  <w:rFonts w:ascii="Cambria Math" w:eastAsiaTheme="minorEastAsia" w:hAnsi="Cambria Math"/>
                  <w:i/>
                  <w:lang w:val="it-IT"/>
                </w:rPr>
              </m:ctrlPr>
            </m:naryPr>
            <m:sub>
              <m:r>
                <w:rPr>
                  <w:rFonts w:ascii="Cambria Math" w:eastAsiaTheme="minorEastAsia" w:hAnsi="Cambria Math"/>
                  <w:lang w:val="it-IT"/>
                </w:rPr>
                <m:t>p</m:t>
              </m:r>
            </m:sub>
            <m:sup>
              <m:acc>
                <m:accPr>
                  <m:chr m:val="̅"/>
                  <m:ctrlPr>
                    <w:rPr>
                      <w:rFonts w:ascii="Cambria Math" w:eastAsiaTheme="minorEastAsia" w:hAnsi="Cambria Math"/>
                      <w:i/>
                      <w:lang w:val="it-IT"/>
                    </w:rPr>
                  </m:ctrlPr>
                </m:accPr>
                <m:e>
                  <m:r>
                    <w:rPr>
                      <w:rFonts w:ascii="Cambria Math" w:eastAsiaTheme="minorEastAsia" w:hAnsi="Cambria Math"/>
                      <w:lang w:val="it-IT"/>
                    </w:rPr>
                    <m:t>p</m:t>
                  </m:r>
                </m:e>
              </m:acc>
            </m:sup>
            <m:e>
              <m:sSub>
                <m:sSubPr>
                  <m:ctrlPr>
                    <w:rPr>
                      <w:rFonts w:ascii="Cambria Math" w:eastAsiaTheme="minorEastAsia" w:hAnsi="Cambria Math"/>
                      <w:i/>
                      <w:lang w:val="it-IT"/>
                    </w:rPr>
                  </m:ctrlPr>
                </m:sSubPr>
                <m:e>
                  <m:r>
                    <w:rPr>
                      <w:rFonts w:ascii="Cambria Math" w:eastAsiaTheme="minorEastAsia" w:hAnsi="Cambria Math"/>
                      <w:lang w:val="it-IT"/>
                    </w:rPr>
                    <m:t>k</m:t>
                  </m:r>
                </m:e>
                <m:sub>
                  <m:r>
                    <w:rPr>
                      <w:rFonts w:ascii="Cambria Math" w:eastAsiaTheme="minorEastAsia" w:hAnsi="Cambria Math"/>
                      <w:lang w:val="it-IT"/>
                    </w:rPr>
                    <m:t>i</m:t>
                  </m:r>
                </m:sub>
              </m:sSub>
              <m:sSub>
                <m:sSubPr>
                  <m:ctrlPr>
                    <w:rPr>
                      <w:rFonts w:ascii="Cambria Math" w:eastAsiaTheme="minorEastAsia" w:hAnsi="Cambria Math"/>
                      <w:i/>
                      <w:lang w:val="it-IT"/>
                    </w:rPr>
                  </m:ctrlPr>
                </m:sSubPr>
                <m:e>
                  <m:r>
                    <w:rPr>
                      <w:rFonts w:ascii="Cambria Math" w:eastAsiaTheme="minorEastAsia" w:hAnsi="Cambria Math"/>
                      <w:lang w:val="it-IT"/>
                    </w:rPr>
                    <m:t>P</m:t>
                  </m:r>
                </m:e>
                <m:sub>
                  <m:r>
                    <w:rPr>
                      <w:rFonts w:ascii="Cambria Math" w:eastAsiaTheme="minorEastAsia" w:hAnsi="Cambria Math"/>
                      <w:lang w:val="it-IT"/>
                    </w:rPr>
                    <m:t>i</m:t>
                  </m:r>
                </m:sub>
              </m:sSub>
            </m:e>
          </m:nary>
          <m:r>
            <w:rPr>
              <w:rFonts w:ascii="Cambria Math" w:eastAsiaTheme="minorEastAsia" w:hAnsi="Cambria Math"/>
              <w:lang w:val="it-IT"/>
            </w:rPr>
            <m:t>f</m:t>
          </m:r>
          <m:d>
            <m:dPr>
              <m:ctrlPr>
                <w:rPr>
                  <w:rFonts w:ascii="Cambria Math" w:eastAsiaTheme="minorEastAsia" w:hAnsi="Cambria Math"/>
                  <w:i/>
                  <w:lang w:val="it-IT"/>
                </w:rPr>
              </m:ctrlPr>
            </m:dPr>
            <m:e>
              <m:r>
                <w:rPr>
                  <w:rFonts w:ascii="Cambria Math" w:eastAsiaTheme="minorEastAsia" w:hAnsi="Cambria Math"/>
                  <w:lang w:val="it-IT"/>
                </w:rPr>
                <m:t>p</m:t>
              </m:r>
            </m:e>
          </m:d>
          <m:r>
            <w:rPr>
              <w:rFonts w:ascii="Cambria Math" w:eastAsiaTheme="minorEastAsia" w:hAnsi="Cambria Math"/>
              <w:lang w:val="it-IT"/>
            </w:rPr>
            <m:t>dp-</m:t>
          </m:r>
          <m:d>
            <m:dPr>
              <m:ctrlPr>
                <w:rPr>
                  <w:rFonts w:ascii="Cambria Math" w:eastAsiaTheme="minorEastAsia" w:hAnsi="Cambria Math"/>
                  <w:i/>
                  <w:lang w:val="it-IT"/>
                </w:rPr>
              </m:ctrlPr>
            </m:dPr>
            <m:e>
              <m:r>
                <w:rPr>
                  <w:rFonts w:ascii="Cambria Math" w:eastAsiaTheme="minorEastAsia" w:hAnsi="Cambria Math"/>
                  <w:lang w:val="it-IT"/>
                </w:rPr>
                <m:t>1+</m:t>
              </m:r>
              <m:sSub>
                <m:sSubPr>
                  <m:ctrlPr>
                    <w:rPr>
                      <w:rFonts w:ascii="Cambria Math" w:eastAsiaTheme="minorEastAsia" w:hAnsi="Cambria Math"/>
                      <w:i/>
                      <w:lang w:val="it-IT"/>
                    </w:rPr>
                  </m:ctrlPr>
                </m:sSubPr>
                <m:e>
                  <m:r>
                    <w:rPr>
                      <w:rFonts w:ascii="Cambria Math" w:eastAsiaTheme="minorEastAsia" w:hAnsi="Cambria Math"/>
                      <w:lang w:val="it-IT"/>
                    </w:rPr>
                    <m:t>s</m:t>
                  </m:r>
                </m:e>
                <m:sub>
                  <m:r>
                    <w:rPr>
                      <w:rFonts w:ascii="Cambria Math" w:eastAsiaTheme="minorEastAsia" w:hAnsi="Cambria Math"/>
                      <w:lang w:val="it-IT"/>
                    </w:rPr>
                    <m:t>i</m:t>
                  </m:r>
                </m:sub>
              </m:sSub>
            </m:e>
          </m:d>
          <m:sSup>
            <m:sSupPr>
              <m:ctrlPr>
                <w:rPr>
                  <w:rFonts w:ascii="Cambria Math" w:eastAsiaTheme="minorEastAsia" w:hAnsi="Cambria Math"/>
                  <w:i/>
                  <w:lang w:val="it-IT"/>
                </w:rPr>
              </m:ctrlPr>
            </m:sSupPr>
            <m:e>
              <m:r>
                <w:rPr>
                  <w:rFonts w:ascii="Cambria Math" w:eastAsiaTheme="minorEastAsia" w:hAnsi="Cambria Math"/>
                  <w:lang w:val="it-IT"/>
                </w:rPr>
                <m:t>C</m:t>
              </m:r>
            </m:e>
            <m:sup>
              <m:r>
                <w:rPr>
                  <w:rFonts w:ascii="Cambria Math" w:eastAsiaTheme="minorEastAsia" w:hAnsi="Cambria Math"/>
                  <w:lang w:val="it-IT"/>
                </w:rPr>
                <m:t>'</m:t>
              </m:r>
            </m:sup>
          </m:sSup>
          <m:r>
            <w:rPr>
              <w:rFonts w:ascii="Cambria Math" w:eastAsiaTheme="minorEastAsia" w:hAnsi="Cambria Math"/>
              <w:lang w:val="it-IT"/>
            </w:rPr>
            <m:t>=0, ∀i</m:t>
          </m:r>
        </m:oMath>
      </m:oMathPara>
    </w:p>
    <w:p w14:paraId="3EF12966" w14:textId="076DC991" w:rsidR="002A0EA3" w:rsidRDefault="002A0EA3" w:rsidP="002A0EA3">
      <w:pPr>
        <w:jc w:val="center"/>
        <w:rPr>
          <w:rFonts w:eastAsiaTheme="minorEastAsia"/>
          <w:i/>
          <w:lang w:val="it-IT"/>
        </w:rPr>
      </w:pPr>
      <w:r w:rsidRPr="002A0EA3">
        <w:rPr>
          <w:rFonts w:eastAsiaTheme="minorEastAsia"/>
          <w:i/>
          <w:lang w:val="it-IT"/>
        </w:rPr>
        <w:t>Equazione (3)</w:t>
      </w:r>
    </w:p>
    <w:p w14:paraId="19DA831D" w14:textId="42C29BFD" w:rsidR="002A0EA3" w:rsidRDefault="002A0EA3" w:rsidP="002A0EA3">
      <w:pPr>
        <w:jc w:val="both"/>
        <w:rPr>
          <w:rFonts w:eastAsiaTheme="minorEastAsia"/>
          <w:lang w:val="it-IT"/>
        </w:rPr>
      </w:pPr>
      <w:r>
        <w:rPr>
          <w:rFonts w:eastAsiaTheme="minorEastAsia"/>
          <w:lang w:val="it-IT"/>
        </w:rPr>
        <w:t xml:space="preserve">Il primo termine dell’equazione (3) è il beneficio marginale ottenuto dalla contribuzione di uno sforzo addizionale al contratto </w:t>
      </w:r>
      <w:r>
        <w:rPr>
          <w:rFonts w:eastAsiaTheme="minorEastAsia"/>
          <w:i/>
          <w:lang w:val="it-IT"/>
        </w:rPr>
        <w:t>i</w:t>
      </w:r>
      <w:r>
        <w:rPr>
          <w:rFonts w:eastAsiaTheme="minorEastAsia"/>
          <w:lang w:val="it-IT"/>
        </w:rPr>
        <w:t xml:space="preserve">. Il secondo termine riflette il costo marginale di questo sforzo addizionale. </w:t>
      </w:r>
    </w:p>
    <w:p w14:paraId="3EE70749" w14:textId="75721B95" w:rsidR="002A0EA3" w:rsidRDefault="002A0EA3" w:rsidP="002A0EA3">
      <w:pPr>
        <w:jc w:val="both"/>
        <w:rPr>
          <w:rFonts w:eastAsiaTheme="minorEastAsia"/>
          <w:lang w:val="it-IT"/>
        </w:rPr>
      </w:pPr>
      <w:r>
        <w:rPr>
          <w:rFonts w:eastAsiaTheme="minorEastAsia"/>
          <w:lang w:val="it-IT"/>
        </w:rPr>
        <w:t xml:space="preserve">La soluzione di ottimizzazione dell’agente è data dal vettore </w:t>
      </w:r>
      <m:oMath>
        <m:sSub>
          <m:sSubPr>
            <m:ctrlPr>
              <w:rPr>
                <w:rFonts w:ascii="Cambria Math" w:eastAsiaTheme="minorEastAsia" w:hAnsi="Cambria Math"/>
                <w:i/>
                <w:lang w:val="it-IT"/>
              </w:rPr>
            </m:ctrlPr>
          </m:sSubPr>
          <m:e>
            <m:r>
              <w:rPr>
                <w:rFonts w:ascii="Cambria Math" w:eastAsiaTheme="minorEastAsia" w:hAnsi="Cambria Math"/>
                <w:lang w:val="it-IT"/>
              </w:rPr>
              <m:t>L</m:t>
            </m:r>
          </m:e>
          <m:sub>
            <m:r>
              <w:rPr>
                <w:rFonts w:ascii="Cambria Math" w:eastAsiaTheme="minorEastAsia" w:hAnsi="Cambria Math"/>
                <w:lang w:val="it-IT"/>
              </w:rPr>
              <m:t>1</m:t>
            </m:r>
          </m:sub>
        </m:sSub>
        <m:r>
          <w:rPr>
            <w:rFonts w:ascii="Cambria Math" w:eastAsiaTheme="minorEastAsia" w:hAnsi="Cambria Math"/>
            <w:lang w:val="it-IT"/>
          </w:rPr>
          <m:t>,…,</m:t>
        </m:r>
        <m:sSub>
          <m:sSubPr>
            <m:ctrlPr>
              <w:rPr>
                <w:rFonts w:ascii="Cambria Math" w:eastAsiaTheme="minorEastAsia" w:hAnsi="Cambria Math"/>
                <w:i/>
                <w:lang w:val="it-IT"/>
              </w:rPr>
            </m:ctrlPr>
          </m:sSubPr>
          <m:e>
            <m:r>
              <w:rPr>
                <w:rFonts w:ascii="Cambria Math" w:eastAsiaTheme="minorEastAsia" w:hAnsi="Cambria Math"/>
                <w:lang w:val="it-IT"/>
              </w:rPr>
              <m:t>L</m:t>
            </m:r>
          </m:e>
          <m:sub>
            <m:r>
              <w:rPr>
                <w:rFonts w:ascii="Cambria Math" w:eastAsiaTheme="minorEastAsia" w:hAnsi="Cambria Math"/>
                <w:lang w:val="it-IT"/>
              </w:rPr>
              <m:t>n</m:t>
            </m:r>
          </m:sub>
        </m:sSub>
      </m:oMath>
      <w:r>
        <w:rPr>
          <w:rFonts w:eastAsiaTheme="minorEastAsia"/>
          <w:lang w:val="it-IT"/>
        </w:rPr>
        <w:t xml:space="preserve"> che soddisfa l’equazione (3) per tutti i contratti. </w:t>
      </w:r>
    </w:p>
    <w:p w14:paraId="7972009C" w14:textId="679E96D7" w:rsidR="002A0EA3" w:rsidRDefault="002A0EA3" w:rsidP="002A0EA3">
      <w:pPr>
        <w:jc w:val="both"/>
        <w:rPr>
          <w:rFonts w:eastAsiaTheme="minorEastAsia"/>
          <w:lang w:val="it-IT"/>
        </w:rPr>
      </w:pPr>
      <w:r>
        <w:rPr>
          <w:rFonts w:eastAsiaTheme="minorEastAsia"/>
          <w:lang w:val="it-IT"/>
        </w:rPr>
        <w:t xml:space="preserve">È chiaro che i costi di transazione possono impattare sulla scelta di sforzo che l’agente deve compiere per ogni singolo immobile. È possibile verificarlo grazie alla derivata di </w:t>
      </w:r>
      <m:oMath>
        <m:sSubSup>
          <m:sSubSupPr>
            <m:ctrlPr>
              <w:rPr>
                <w:rFonts w:ascii="Cambria Math" w:eastAsiaTheme="minorEastAsia" w:hAnsi="Cambria Math"/>
                <w:i/>
                <w:lang w:val="it-IT"/>
              </w:rPr>
            </m:ctrlPr>
          </m:sSubSupPr>
          <m:e>
            <m:r>
              <w:rPr>
                <w:rFonts w:ascii="Cambria Math" w:eastAsiaTheme="minorEastAsia" w:hAnsi="Cambria Math"/>
                <w:lang w:val="it-IT"/>
              </w:rPr>
              <m:t>L</m:t>
            </m:r>
          </m:e>
          <m:sub>
            <m:r>
              <w:rPr>
                <w:rFonts w:ascii="Cambria Math" w:eastAsiaTheme="minorEastAsia" w:hAnsi="Cambria Math"/>
                <w:lang w:val="it-IT"/>
              </w:rPr>
              <m:t>i</m:t>
            </m:r>
          </m:sub>
          <m:sup>
            <m:r>
              <w:rPr>
                <w:rFonts w:ascii="Cambria Math" w:eastAsiaTheme="minorEastAsia" w:hAnsi="Cambria Math"/>
                <w:lang w:val="it-IT"/>
              </w:rPr>
              <m:t>*</m:t>
            </m:r>
          </m:sup>
        </m:sSubSup>
      </m:oMath>
      <w:r>
        <w:rPr>
          <w:rFonts w:eastAsiaTheme="minorEastAsia"/>
          <w:lang w:val="it-IT"/>
        </w:rPr>
        <w:t xml:space="preserve"> rispetto a </w:t>
      </w:r>
      <m:oMath>
        <m:sSub>
          <m:sSubPr>
            <m:ctrlPr>
              <w:rPr>
                <w:rFonts w:ascii="Cambria Math" w:eastAsiaTheme="minorEastAsia" w:hAnsi="Cambria Math"/>
                <w:i/>
                <w:lang w:val="it-IT"/>
              </w:rPr>
            </m:ctrlPr>
          </m:sSubPr>
          <m:e>
            <m:r>
              <w:rPr>
                <w:rFonts w:ascii="Cambria Math" w:eastAsiaTheme="minorEastAsia" w:hAnsi="Cambria Math"/>
                <w:lang w:val="it-IT"/>
              </w:rPr>
              <m:t>S</m:t>
            </m:r>
          </m:e>
          <m:sub>
            <m:r>
              <w:rPr>
                <w:rFonts w:ascii="Cambria Math" w:eastAsiaTheme="minorEastAsia" w:hAnsi="Cambria Math"/>
                <w:lang w:val="it-IT"/>
              </w:rPr>
              <m:t>i</m:t>
            </m:r>
          </m:sub>
        </m:sSub>
      </m:oMath>
      <w:r>
        <w:rPr>
          <w:rFonts w:eastAsiaTheme="minorEastAsia"/>
          <w:lang w:val="it-IT"/>
        </w:rPr>
        <w:t>:</w:t>
      </w:r>
    </w:p>
    <w:p w14:paraId="4A0DAD64" w14:textId="45780F93" w:rsidR="002A0EA3" w:rsidRPr="002A0EA3" w:rsidRDefault="00004AB9" w:rsidP="002A0EA3">
      <w:pPr>
        <w:jc w:val="center"/>
        <w:rPr>
          <w:rFonts w:eastAsiaTheme="minorEastAsia"/>
          <w:lang w:val="it-IT"/>
        </w:rPr>
      </w:pPr>
      <m:oMathPara>
        <m:oMath>
          <m:f>
            <m:fPr>
              <m:ctrlPr>
                <w:rPr>
                  <w:rFonts w:ascii="Cambria Math" w:eastAsiaTheme="minorEastAsia" w:hAnsi="Cambria Math"/>
                  <w:i/>
                  <w:lang w:val="it-IT"/>
                </w:rPr>
              </m:ctrlPr>
            </m:fPr>
            <m:num>
              <m:r>
                <w:rPr>
                  <w:rFonts w:ascii="Cambria Math" w:eastAsiaTheme="minorEastAsia" w:hAnsi="Cambria Math"/>
                  <w:lang w:val="it-IT"/>
                </w:rPr>
                <m:t>δ</m:t>
              </m:r>
              <m:sSubSup>
                <m:sSubSupPr>
                  <m:ctrlPr>
                    <w:rPr>
                      <w:rFonts w:ascii="Cambria Math" w:eastAsiaTheme="minorEastAsia" w:hAnsi="Cambria Math"/>
                      <w:i/>
                      <w:lang w:val="it-IT"/>
                    </w:rPr>
                  </m:ctrlPr>
                </m:sSubSupPr>
                <m:e>
                  <m:r>
                    <w:rPr>
                      <w:rFonts w:ascii="Cambria Math" w:eastAsiaTheme="minorEastAsia" w:hAnsi="Cambria Math"/>
                      <w:lang w:val="it-IT"/>
                    </w:rPr>
                    <m:t>L</m:t>
                  </m:r>
                </m:e>
                <m:sub>
                  <m:r>
                    <w:rPr>
                      <w:rFonts w:ascii="Cambria Math" w:eastAsiaTheme="minorEastAsia" w:hAnsi="Cambria Math"/>
                      <w:lang w:val="it-IT"/>
                    </w:rPr>
                    <m:t>i</m:t>
                  </m:r>
                </m:sub>
                <m:sup>
                  <m:r>
                    <w:rPr>
                      <w:rFonts w:ascii="Cambria Math" w:eastAsiaTheme="minorEastAsia" w:hAnsi="Cambria Math"/>
                      <w:lang w:val="it-IT"/>
                    </w:rPr>
                    <m:t>*</m:t>
                  </m:r>
                </m:sup>
              </m:sSubSup>
            </m:num>
            <m:den>
              <m:r>
                <w:rPr>
                  <w:rFonts w:ascii="Cambria Math" w:eastAsiaTheme="minorEastAsia" w:hAnsi="Cambria Math"/>
                  <w:lang w:val="it-IT"/>
                </w:rPr>
                <m:t>δ</m:t>
              </m:r>
              <m:sSub>
                <m:sSubPr>
                  <m:ctrlPr>
                    <w:rPr>
                      <w:rFonts w:ascii="Cambria Math" w:eastAsiaTheme="minorEastAsia" w:hAnsi="Cambria Math"/>
                      <w:i/>
                      <w:lang w:val="it-IT"/>
                    </w:rPr>
                  </m:ctrlPr>
                </m:sSubPr>
                <m:e>
                  <m:r>
                    <w:rPr>
                      <w:rFonts w:ascii="Cambria Math" w:eastAsiaTheme="minorEastAsia" w:hAnsi="Cambria Math"/>
                      <w:lang w:val="it-IT"/>
                    </w:rPr>
                    <m:t>s</m:t>
                  </m:r>
                </m:e>
                <m:sub>
                  <m:r>
                    <w:rPr>
                      <w:rFonts w:ascii="Cambria Math" w:eastAsiaTheme="minorEastAsia" w:hAnsi="Cambria Math"/>
                      <w:lang w:val="it-IT"/>
                    </w:rPr>
                    <m:t>i</m:t>
                  </m:r>
                </m:sub>
              </m:sSub>
            </m:den>
          </m:f>
          <m:r>
            <w:rPr>
              <w:rFonts w:ascii="Cambria Math" w:eastAsiaTheme="minorEastAsia" w:hAnsi="Cambria Math"/>
              <w:lang w:val="it-IT"/>
            </w:rPr>
            <m:t>=</m:t>
          </m:r>
          <m:f>
            <m:fPr>
              <m:ctrlPr>
                <w:rPr>
                  <w:rFonts w:ascii="Cambria Math" w:eastAsiaTheme="minorEastAsia" w:hAnsi="Cambria Math"/>
                  <w:i/>
                  <w:lang w:val="it-IT"/>
                </w:rPr>
              </m:ctrlPr>
            </m:fPr>
            <m:num>
              <m:sSup>
                <m:sSupPr>
                  <m:ctrlPr>
                    <w:rPr>
                      <w:rFonts w:ascii="Cambria Math" w:eastAsiaTheme="minorEastAsia" w:hAnsi="Cambria Math"/>
                      <w:i/>
                      <w:lang w:val="it-IT"/>
                    </w:rPr>
                  </m:ctrlPr>
                </m:sSupPr>
                <m:e>
                  <m:r>
                    <w:rPr>
                      <w:rFonts w:ascii="Cambria Math" w:eastAsiaTheme="minorEastAsia" w:hAnsi="Cambria Math"/>
                      <w:lang w:val="it-IT"/>
                    </w:rPr>
                    <m:t>C</m:t>
                  </m:r>
                </m:e>
                <m:sup>
                  <m:r>
                    <w:rPr>
                      <w:rFonts w:ascii="Cambria Math" w:eastAsiaTheme="minorEastAsia" w:hAnsi="Cambria Math"/>
                      <w:lang w:val="it-IT"/>
                    </w:rPr>
                    <m:t>'</m:t>
                  </m:r>
                </m:sup>
              </m:sSup>
              <m:r>
                <w:rPr>
                  <w:rFonts w:ascii="Cambria Math" w:eastAsiaTheme="minorEastAsia" w:hAnsi="Cambria Math"/>
                  <w:lang w:val="it-IT"/>
                </w:rPr>
                <m:t>+(1+</m:t>
              </m:r>
              <m:sSub>
                <m:sSubPr>
                  <m:ctrlPr>
                    <w:rPr>
                      <w:rFonts w:ascii="Cambria Math" w:eastAsiaTheme="minorEastAsia" w:hAnsi="Cambria Math"/>
                      <w:i/>
                      <w:lang w:val="it-IT"/>
                    </w:rPr>
                  </m:ctrlPr>
                </m:sSubPr>
                <m:e>
                  <m:r>
                    <w:rPr>
                      <w:rFonts w:ascii="Cambria Math" w:eastAsiaTheme="minorEastAsia" w:hAnsi="Cambria Math"/>
                      <w:lang w:val="it-IT"/>
                    </w:rPr>
                    <m:t>s</m:t>
                  </m:r>
                </m:e>
                <m:sub>
                  <m:r>
                    <w:rPr>
                      <w:rFonts w:ascii="Cambria Math" w:eastAsiaTheme="minorEastAsia" w:hAnsi="Cambria Math"/>
                      <w:lang w:val="it-IT"/>
                    </w:rPr>
                    <m:t>i</m:t>
                  </m:r>
                </m:sub>
              </m:sSub>
              <m:r>
                <w:rPr>
                  <w:rFonts w:ascii="Cambria Math" w:eastAsiaTheme="minorEastAsia" w:hAnsi="Cambria Math"/>
                  <w:lang w:val="it-IT"/>
                </w:rPr>
                <m:t>)</m:t>
              </m:r>
              <m:sSub>
                <m:sSubPr>
                  <m:ctrlPr>
                    <w:rPr>
                      <w:rFonts w:ascii="Cambria Math" w:eastAsiaTheme="minorEastAsia" w:hAnsi="Cambria Math"/>
                      <w:i/>
                      <w:lang w:val="it-IT"/>
                    </w:rPr>
                  </m:ctrlPr>
                </m:sSubPr>
                <m:e>
                  <m:r>
                    <w:rPr>
                      <w:rFonts w:ascii="Cambria Math" w:eastAsiaTheme="minorEastAsia" w:hAnsi="Cambria Math"/>
                      <w:lang w:val="it-IT"/>
                    </w:rPr>
                    <m:t>L</m:t>
                  </m:r>
                </m:e>
                <m:sub>
                  <m:r>
                    <w:rPr>
                      <w:rFonts w:ascii="Cambria Math" w:eastAsiaTheme="minorEastAsia" w:hAnsi="Cambria Math"/>
                      <w:lang w:val="it-IT"/>
                    </w:rPr>
                    <m:t>i</m:t>
                  </m:r>
                </m:sub>
              </m:sSub>
              <m:r>
                <w:rPr>
                  <w:rFonts w:ascii="Cambria Math" w:eastAsiaTheme="minorEastAsia" w:hAnsi="Cambria Math"/>
                  <w:lang w:val="it-IT"/>
                </w:rPr>
                <m:t>C''</m:t>
              </m:r>
            </m:num>
            <m:den>
              <m:r>
                <w:rPr>
                  <w:rFonts w:ascii="Cambria Math" w:eastAsiaTheme="minorEastAsia" w:hAnsi="Cambria Math"/>
                  <w:lang w:val="it-IT"/>
                </w:rPr>
                <m:t>ψ''(</m:t>
              </m:r>
              <m:sSubSup>
                <m:sSubSupPr>
                  <m:ctrlPr>
                    <w:rPr>
                      <w:rFonts w:ascii="Cambria Math" w:eastAsiaTheme="minorEastAsia" w:hAnsi="Cambria Math"/>
                      <w:i/>
                      <w:lang w:val="it-IT"/>
                    </w:rPr>
                  </m:ctrlPr>
                </m:sSubSupPr>
                <m:e>
                  <m:r>
                    <w:rPr>
                      <w:rFonts w:ascii="Cambria Math" w:eastAsiaTheme="minorEastAsia" w:hAnsi="Cambria Math"/>
                      <w:lang w:val="it-IT"/>
                    </w:rPr>
                    <m:t>L</m:t>
                  </m:r>
                </m:e>
                <m:sub>
                  <m:r>
                    <w:rPr>
                      <w:rFonts w:ascii="Cambria Math" w:eastAsiaTheme="minorEastAsia" w:hAnsi="Cambria Math"/>
                      <w:lang w:val="it-IT"/>
                    </w:rPr>
                    <m:t>i</m:t>
                  </m:r>
                </m:sub>
                <m:sup>
                  <m:r>
                    <w:rPr>
                      <w:rFonts w:ascii="Cambria Math" w:eastAsiaTheme="minorEastAsia" w:hAnsi="Cambria Math"/>
                      <w:lang w:val="it-IT"/>
                    </w:rPr>
                    <m:t>*</m:t>
                  </m:r>
                </m:sup>
              </m:sSubSup>
              <m:r>
                <w:rPr>
                  <w:rFonts w:ascii="Cambria Math" w:eastAsiaTheme="minorEastAsia" w:hAnsi="Cambria Math"/>
                  <w:lang w:val="it-IT"/>
                </w:rPr>
                <m:t>)</m:t>
              </m:r>
              <m:nary>
                <m:naryPr>
                  <m:limLoc m:val="subSup"/>
                  <m:ctrlPr>
                    <w:rPr>
                      <w:rFonts w:ascii="Cambria Math" w:eastAsiaTheme="minorEastAsia" w:hAnsi="Cambria Math"/>
                      <w:i/>
                      <w:lang w:val="it-IT"/>
                    </w:rPr>
                  </m:ctrlPr>
                </m:naryPr>
                <m:sub>
                  <m:r>
                    <w:rPr>
                      <w:rFonts w:ascii="Cambria Math" w:eastAsiaTheme="minorEastAsia" w:hAnsi="Cambria Math"/>
                      <w:lang w:val="it-IT"/>
                    </w:rPr>
                    <m:t>p</m:t>
                  </m:r>
                </m:sub>
                <m:sup>
                  <m:acc>
                    <m:accPr>
                      <m:chr m:val="̅"/>
                      <m:ctrlPr>
                        <w:rPr>
                          <w:rFonts w:ascii="Cambria Math" w:eastAsiaTheme="minorEastAsia" w:hAnsi="Cambria Math"/>
                          <w:i/>
                          <w:lang w:val="it-IT"/>
                        </w:rPr>
                      </m:ctrlPr>
                    </m:accPr>
                    <m:e>
                      <m:r>
                        <w:rPr>
                          <w:rFonts w:ascii="Cambria Math" w:eastAsiaTheme="minorEastAsia" w:hAnsi="Cambria Math"/>
                          <w:lang w:val="it-IT"/>
                        </w:rPr>
                        <m:t>p</m:t>
                      </m:r>
                    </m:e>
                  </m:acc>
                </m:sup>
                <m:e>
                  <m:sSub>
                    <m:sSubPr>
                      <m:ctrlPr>
                        <w:rPr>
                          <w:rFonts w:ascii="Cambria Math" w:eastAsiaTheme="minorEastAsia" w:hAnsi="Cambria Math"/>
                          <w:i/>
                          <w:lang w:val="it-IT"/>
                        </w:rPr>
                      </m:ctrlPr>
                    </m:sSubPr>
                    <m:e>
                      <m:r>
                        <w:rPr>
                          <w:rFonts w:ascii="Cambria Math" w:eastAsiaTheme="minorEastAsia" w:hAnsi="Cambria Math"/>
                          <w:lang w:val="it-IT"/>
                        </w:rPr>
                        <m:t>k</m:t>
                      </m:r>
                    </m:e>
                    <m:sub>
                      <m:r>
                        <w:rPr>
                          <w:rFonts w:ascii="Cambria Math" w:eastAsiaTheme="minorEastAsia" w:hAnsi="Cambria Math"/>
                          <w:lang w:val="it-IT"/>
                        </w:rPr>
                        <m:t>i</m:t>
                      </m:r>
                    </m:sub>
                  </m:sSub>
                  <m:sSub>
                    <m:sSubPr>
                      <m:ctrlPr>
                        <w:rPr>
                          <w:rFonts w:ascii="Cambria Math" w:eastAsiaTheme="minorEastAsia" w:hAnsi="Cambria Math"/>
                          <w:i/>
                          <w:lang w:val="it-IT"/>
                        </w:rPr>
                      </m:ctrlPr>
                    </m:sSubPr>
                    <m:e>
                      <m:r>
                        <w:rPr>
                          <w:rFonts w:ascii="Cambria Math" w:eastAsiaTheme="minorEastAsia" w:hAnsi="Cambria Math"/>
                          <w:lang w:val="it-IT"/>
                        </w:rPr>
                        <m:t>P</m:t>
                      </m:r>
                    </m:e>
                    <m:sub>
                      <m:r>
                        <w:rPr>
                          <w:rFonts w:ascii="Cambria Math" w:eastAsiaTheme="minorEastAsia" w:hAnsi="Cambria Math"/>
                          <w:lang w:val="it-IT"/>
                        </w:rPr>
                        <m:t>i</m:t>
                      </m:r>
                    </m:sub>
                  </m:sSub>
                  <m:r>
                    <w:rPr>
                      <w:rFonts w:ascii="Cambria Math" w:eastAsiaTheme="minorEastAsia" w:hAnsi="Cambria Math"/>
                      <w:lang w:val="it-IT"/>
                    </w:rPr>
                    <m:t>f</m:t>
                  </m:r>
                  <m:d>
                    <m:dPr>
                      <m:ctrlPr>
                        <w:rPr>
                          <w:rFonts w:ascii="Cambria Math" w:eastAsiaTheme="minorEastAsia" w:hAnsi="Cambria Math"/>
                          <w:i/>
                          <w:lang w:val="it-IT"/>
                        </w:rPr>
                      </m:ctrlPr>
                    </m:dPr>
                    <m:e>
                      <m:r>
                        <w:rPr>
                          <w:rFonts w:ascii="Cambria Math" w:eastAsiaTheme="minorEastAsia" w:hAnsi="Cambria Math"/>
                          <w:lang w:val="it-IT"/>
                        </w:rPr>
                        <m:t>p</m:t>
                      </m:r>
                    </m:e>
                  </m:d>
                  <m:r>
                    <w:rPr>
                      <w:rFonts w:ascii="Cambria Math" w:eastAsiaTheme="minorEastAsia" w:hAnsi="Cambria Math"/>
                      <w:lang w:val="it-IT"/>
                    </w:rPr>
                    <m:t>dp-C''</m:t>
                  </m:r>
                </m:e>
              </m:nary>
            </m:den>
          </m:f>
        </m:oMath>
      </m:oMathPara>
    </w:p>
    <w:p w14:paraId="29FA60E8" w14:textId="6023CE1B" w:rsidR="002A0EA3" w:rsidRDefault="002A0EA3" w:rsidP="002A0EA3">
      <w:pPr>
        <w:jc w:val="center"/>
        <w:rPr>
          <w:rFonts w:eastAsiaTheme="minorEastAsia"/>
          <w:i/>
          <w:lang w:val="it-IT"/>
        </w:rPr>
      </w:pPr>
      <w:r w:rsidRPr="002A0EA3">
        <w:rPr>
          <w:rFonts w:eastAsiaTheme="minorEastAsia"/>
          <w:i/>
          <w:lang w:val="it-IT"/>
        </w:rPr>
        <w:t>Equazione (4)</w:t>
      </w:r>
    </w:p>
    <w:p w14:paraId="58A6C6D0" w14:textId="35DAE63C" w:rsidR="002A0EA3" w:rsidRDefault="002A0EA3" w:rsidP="002A0EA3">
      <w:pPr>
        <w:jc w:val="both"/>
        <w:rPr>
          <w:rFonts w:eastAsiaTheme="minorEastAsia"/>
          <w:lang w:val="it-IT"/>
        </w:rPr>
      </w:pPr>
      <w:r>
        <w:rPr>
          <w:rFonts w:eastAsiaTheme="minorEastAsia"/>
          <w:lang w:val="it-IT"/>
        </w:rPr>
        <w:t xml:space="preserve">Dal momento che </w:t>
      </w:r>
      <m:oMath>
        <m:sSup>
          <m:sSupPr>
            <m:ctrlPr>
              <w:rPr>
                <w:rFonts w:ascii="Cambria Math" w:eastAsiaTheme="minorEastAsia" w:hAnsi="Cambria Math"/>
                <w:i/>
                <w:lang w:val="it-IT"/>
              </w:rPr>
            </m:ctrlPr>
          </m:sSupPr>
          <m:e>
            <m:r>
              <w:rPr>
                <w:rFonts w:ascii="Cambria Math" w:eastAsiaTheme="minorEastAsia" w:hAnsi="Cambria Math"/>
                <w:lang w:val="it-IT"/>
              </w:rPr>
              <m:t>C</m:t>
            </m:r>
          </m:e>
          <m:sup>
            <m:r>
              <w:rPr>
                <w:rFonts w:ascii="Cambria Math" w:eastAsiaTheme="minorEastAsia" w:hAnsi="Cambria Math"/>
                <w:lang w:val="it-IT"/>
              </w:rPr>
              <m:t>'</m:t>
            </m:r>
          </m:sup>
        </m:sSup>
        <m:r>
          <w:rPr>
            <w:rFonts w:ascii="Cambria Math" w:eastAsiaTheme="minorEastAsia" w:hAnsi="Cambria Math"/>
            <w:lang w:val="it-IT"/>
          </w:rPr>
          <m:t>&gt;0</m:t>
        </m:r>
      </m:oMath>
      <w:r>
        <w:rPr>
          <w:rFonts w:eastAsiaTheme="minorEastAsia"/>
          <w:lang w:val="it-IT"/>
        </w:rPr>
        <w:t xml:space="preserve"> e </w:t>
      </w:r>
      <m:oMath>
        <m:sSup>
          <m:sSupPr>
            <m:ctrlPr>
              <w:rPr>
                <w:rFonts w:ascii="Cambria Math" w:eastAsiaTheme="minorEastAsia" w:hAnsi="Cambria Math"/>
                <w:i/>
                <w:lang w:val="it-IT"/>
              </w:rPr>
            </m:ctrlPr>
          </m:sSupPr>
          <m:e>
            <m:r>
              <w:rPr>
                <w:rFonts w:ascii="Cambria Math" w:eastAsiaTheme="minorEastAsia" w:hAnsi="Cambria Math"/>
                <w:lang w:val="it-IT"/>
              </w:rPr>
              <m:t>C</m:t>
            </m:r>
          </m:e>
          <m:sup>
            <m:r>
              <w:rPr>
                <w:rFonts w:ascii="Cambria Math" w:eastAsiaTheme="minorEastAsia" w:hAnsi="Cambria Math"/>
                <w:lang w:val="it-IT"/>
              </w:rPr>
              <m:t>''</m:t>
            </m:r>
          </m:sup>
        </m:sSup>
        <m:r>
          <w:rPr>
            <w:rFonts w:ascii="Cambria Math" w:eastAsiaTheme="minorEastAsia" w:hAnsi="Cambria Math"/>
            <w:lang w:val="it-IT"/>
          </w:rPr>
          <m:t>&gt;0</m:t>
        </m:r>
      </m:oMath>
      <w:r w:rsidR="00FD4C1F">
        <w:rPr>
          <w:rFonts w:eastAsiaTheme="minorEastAsia"/>
          <w:lang w:val="it-IT"/>
        </w:rPr>
        <w:t xml:space="preserve"> allora</w:t>
      </w:r>
      <w:r>
        <w:rPr>
          <w:rFonts w:eastAsiaTheme="minorEastAsia"/>
          <w:lang w:val="it-IT"/>
        </w:rPr>
        <w:t xml:space="preserve"> il numeratore </w:t>
      </w:r>
      <w:r w:rsidR="00FD4C1F">
        <w:rPr>
          <w:rFonts w:eastAsiaTheme="minorEastAsia"/>
          <w:lang w:val="it-IT"/>
        </w:rPr>
        <w:t>è</w:t>
      </w:r>
      <w:r>
        <w:rPr>
          <w:rFonts w:eastAsiaTheme="minorEastAsia"/>
          <w:lang w:val="it-IT"/>
        </w:rPr>
        <w:t xml:space="preserve"> strettamente positivo. Il fatto invece che </w:t>
      </w:r>
      <m:oMath>
        <m:sSup>
          <m:sSupPr>
            <m:ctrlPr>
              <w:rPr>
                <w:rFonts w:ascii="Cambria Math" w:eastAsiaTheme="minorEastAsia" w:hAnsi="Cambria Math"/>
                <w:i/>
                <w:lang w:val="it-IT"/>
              </w:rPr>
            </m:ctrlPr>
          </m:sSupPr>
          <m:e>
            <m:r>
              <w:rPr>
                <w:rFonts w:ascii="Cambria Math" w:eastAsiaTheme="minorEastAsia" w:hAnsi="Cambria Math"/>
                <w:lang w:val="it-IT"/>
              </w:rPr>
              <m:t>ψ</m:t>
            </m:r>
          </m:e>
          <m:sup>
            <m:r>
              <w:rPr>
                <w:rFonts w:ascii="Cambria Math" w:eastAsiaTheme="minorEastAsia" w:hAnsi="Cambria Math"/>
                <w:lang w:val="it-IT"/>
              </w:rPr>
              <m:t>''</m:t>
            </m:r>
          </m:sup>
        </m:sSup>
        <m:r>
          <w:rPr>
            <w:rFonts w:ascii="Cambria Math" w:eastAsiaTheme="minorEastAsia" w:hAnsi="Cambria Math"/>
            <w:lang w:val="it-IT"/>
          </w:rPr>
          <m:t>&lt;0</m:t>
        </m:r>
      </m:oMath>
      <w:r>
        <w:rPr>
          <w:rFonts w:eastAsiaTheme="minorEastAsia"/>
          <w:lang w:val="it-IT"/>
        </w:rPr>
        <w:t xml:space="preserve"> implica che il denominatore sia strettamente negativo. </w:t>
      </w:r>
      <w:r w:rsidR="0033143C">
        <w:rPr>
          <w:rFonts w:eastAsiaTheme="minorEastAsia"/>
          <w:lang w:val="it-IT"/>
        </w:rPr>
        <w:t xml:space="preserve">Dunque, </w:t>
      </w:r>
      <m:oMath>
        <m:f>
          <m:fPr>
            <m:ctrlPr>
              <w:rPr>
                <w:rFonts w:ascii="Cambria Math" w:eastAsiaTheme="minorEastAsia" w:hAnsi="Cambria Math"/>
                <w:i/>
                <w:lang w:val="it-IT"/>
              </w:rPr>
            </m:ctrlPr>
          </m:fPr>
          <m:num>
            <m:r>
              <w:rPr>
                <w:rFonts w:ascii="Cambria Math" w:eastAsiaTheme="minorEastAsia" w:hAnsi="Cambria Math"/>
                <w:lang w:val="it-IT"/>
              </w:rPr>
              <m:t>δ</m:t>
            </m:r>
            <m:sSubSup>
              <m:sSubSupPr>
                <m:ctrlPr>
                  <w:rPr>
                    <w:rFonts w:ascii="Cambria Math" w:eastAsiaTheme="minorEastAsia" w:hAnsi="Cambria Math"/>
                    <w:i/>
                    <w:lang w:val="it-IT"/>
                  </w:rPr>
                </m:ctrlPr>
              </m:sSubSupPr>
              <m:e>
                <m:r>
                  <w:rPr>
                    <w:rFonts w:ascii="Cambria Math" w:eastAsiaTheme="minorEastAsia" w:hAnsi="Cambria Math"/>
                    <w:lang w:val="it-IT"/>
                  </w:rPr>
                  <m:t>L</m:t>
                </m:r>
              </m:e>
              <m:sub>
                <m:r>
                  <w:rPr>
                    <w:rFonts w:ascii="Cambria Math" w:eastAsiaTheme="minorEastAsia" w:hAnsi="Cambria Math"/>
                    <w:lang w:val="it-IT"/>
                  </w:rPr>
                  <m:t>i</m:t>
                </m:r>
              </m:sub>
              <m:sup>
                <m:r>
                  <w:rPr>
                    <w:rFonts w:ascii="Cambria Math" w:eastAsiaTheme="minorEastAsia" w:hAnsi="Cambria Math"/>
                    <w:lang w:val="it-IT"/>
                  </w:rPr>
                  <m:t>*</m:t>
                </m:r>
              </m:sup>
            </m:sSubSup>
          </m:num>
          <m:den>
            <m:r>
              <w:rPr>
                <w:rFonts w:ascii="Cambria Math" w:eastAsiaTheme="minorEastAsia" w:hAnsi="Cambria Math"/>
                <w:lang w:val="it-IT"/>
              </w:rPr>
              <m:t>δ</m:t>
            </m:r>
            <m:sSub>
              <m:sSubPr>
                <m:ctrlPr>
                  <w:rPr>
                    <w:rFonts w:ascii="Cambria Math" w:eastAsiaTheme="minorEastAsia" w:hAnsi="Cambria Math"/>
                    <w:i/>
                    <w:lang w:val="it-IT"/>
                  </w:rPr>
                </m:ctrlPr>
              </m:sSubPr>
              <m:e>
                <m:r>
                  <w:rPr>
                    <w:rFonts w:ascii="Cambria Math" w:eastAsiaTheme="minorEastAsia" w:hAnsi="Cambria Math"/>
                    <w:lang w:val="it-IT"/>
                  </w:rPr>
                  <m:t>s</m:t>
                </m:r>
              </m:e>
              <m:sub>
                <m:r>
                  <w:rPr>
                    <w:rFonts w:ascii="Cambria Math" w:eastAsiaTheme="minorEastAsia" w:hAnsi="Cambria Math"/>
                    <w:lang w:val="it-IT"/>
                  </w:rPr>
                  <m:t>i</m:t>
                </m:r>
              </m:sub>
            </m:sSub>
          </m:den>
        </m:f>
      </m:oMath>
      <w:r w:rsidR="0033143C">
        <w:rPr>
          <w:rFonts w:eastAsiaTheme="minorEastAsia"/>
          <w:lang w:val="it-IT"/>
        </w:rPr>
        <w:t xml:space="preserve"> è strettamente negativo, indicando che quando i costi di transazioni associati con l’immobile sono alti, un agente che agisce razionalmente ottimizzando il proprio beneficio ha incentivo a impegnarsi di meno. E quindi il modello implica che, teoricamente, gli immobili con costi di transazioni associati maggiori avranno più probabilità di rimanere a lungo sul mercato rispetto agli immobili con costi minori. </w:t>
      </w:r>
    </w:p>
    <w:p w14:paraId="7856D39F" w14:textId="6F6064E7" w:rsidR="0033143C" w:rsidRDefault="0033143C" w:rsidP="002A0EA3">
      <w:pPr>
        <w:jc w:val="both"/>
        <w:rPr>
          <w:rFonts w:eastAsiaTheme="minorEastAsia"/>
          <w:lang w:val="it-IT"/>
        </w:rPr>
      </w:pPr>
      <w:r>
        <w:rPr>
          <w:rFonts w:eastAsiaTheme="minorEastAsia"/>
          <w:lang w:val="it-IT"/>
        </w:rPr>
        <w:t>La probabilità di vendita è quindi data da:</w:t>
      </w:r>
    </w:p>
    <w:p w14:paraId="726CA0C0" w14:textId="06A44368" w:rsidR="0033143C" w:rsidRPr="0033143C" w:rsidRDefault="0033143C" w:rsidP="002A0EA3">
      <w:pPr>
        <w:jc w:val="both"/>
        <w:rPr>
          <w:rFonts w:eastAsiaTheme="minorEastAsia"/>
          <w:lang w:val="it-IT"/>
        </w:rPr>
      </w:pPr>
      <m:oMathPara>
        <m:oMath>
          <m:r>
            <w:rPr>
              <w:rFonts w:ascii="Cambria Math" w:eastAsiaTheme="minorEastAsia" w:hAnsi="Cambria Math"/>
              <w:lang w:val="it-IT"/>
            </w:rPr>
            <m:t>ψ(</m:t>
          </m:r>
          <m:sSup>
            <m:sSupPr>
              <m:ctrlPr>
                <w:rPr>
                  <w:rFonts w:ascii="Cambria Math" w:eastAsiaTheme="minorEastAsia" w:hAnsi="Cambria Math"/>
                  <w:i/>
                  <w:lang w:val="it-IT"/>
                </w:rPr>
              </m:ctrlPr>
            </m:sSupPr>
            <m:e>
              <m:r>
                <w:rPr>
                  <w:rFonts w:ascii="Cambria Math" w:eastAsiaTheme="minorEastAsia" w:hAnsi="Cambria Math"/>
                  <w:lang w:val="it-IT"/>
                </w:rPr>
                <m:t>L</m:t>
              </m:r>
            </m:e>
            <m:sup>
              <m:r>
                <w:rPr>
                  <w:rFonts w:ascii="Cambria Math" w:eastAsiaTheme="minorEastAsia" w:hAnsi="Cambria Math"/>
                  <w:lang w:val="it-IT"/>
                </w:rPr>
                <m:t>*</m:t>
              </m:r>
            </m:sup>
          </m:sSup>
          <m:r>
            <w:rPr>
              <w:rFonts w:ascii="Cambria Math" w:eastAsiaTheme="minorEastAsia" w:hAnsi="Cambria Math"/>
              <w:lang w:val="it-IT"/>
            </w:rPr>
            <m:t>)</m:t>
          </m:r>
          <m:nary>
            <m:naryPr>
              <m:limLoc m:val="subSup"/>
              <m:ctrlPr>
                <w:rPr>
                  <w:rFonts w:ascii="Cambria Math" w:eastAsiaTheme="minorEastAsia" w:hAnsi="Cambria Math"/>
                  <w:i/>
                  <w:lang w:val="it-IT"/>
                </w:rPr>
              </m:ctrlPr>
            </m:naryPr>
            <m:sub>
              <m:r>
                <w:rPr>
                  <w:rFonts w:ascii="Cambria Math" w:eastAsiaTheme="minorEastAsia" w:hAnsi="Cambria Math"/>
                  <w:lang w:val="it-IT"/>
                </w:rPr>
                <m:t>p</m:t>
              </m:r>
            </m:sub>
            <m:sup>
              <m:acc>
                <m:accPr>
                  <m:chr m:val="̅"/>
                  <m:ctrlPr>
                    <w:rPr>
                      <w:rFonts w:ascii="Cambria Math" w:eastAsiaTheme="minorEastAsia" w:hAnsi="Cambria Math"/>
                      <w:i/>
                      <w:lang w:val="it-IT"/>
                    </w:rPr>
                  </m:ctrlPr>
                </m:accPr>
                <m:e>
                  <m:r>
                    <w:rPr>
                      <w:rFonts w:ascii="Cambria Math" w:eastAsiaTheme="minorEastAsia" w:hAnsi="Cambria Math"/>
                      <w:lang w:val="it-IT"/>
                    </w:rPr>
                    <m:t>p</m:t>
                  </m:r>
                </m:e>
              </m:acc>
            </m:sup>
            <m:e>
              <m:r>
                <w:rPr>
                  <w:rFonts w:ascii="Cambria Math" w:eastAsiaTheme="minorEastAsia" w:hAnsi="Cambria Math"/>
                  <w:lang w:val="it-IT"/>
                </w:rPr>
                <m:t>f</m:t>
              </m:r>
              <m:d>
                <m:dPr>
                  <m:ctrlPr>
                    <w:rPr>
                      <w:rFonts w:ascii="Cambria Math" w:eastAsiaTheme="minorEastAsia" w:hAnsi="Cambria Math"/>
                      <w:i/>
                      <w:lang w:val="it-IT"/>
                    </w:rPr>
                  </m:ctrlPr>
                </m:dPr>
                <m:e>
                  <m:r>
                    <w:rPr>
                      <w:rFonts w:ascii="Cambria Math" w:eastAsiaTheme="minorEastAsia" w:hAnsi="Cambria Math"/>
                      <w:lang w:val="it-IT"/>
                    </w:rPr>
                    <m:t>p</m:t>
                  </m:r>
                </m:e>
              </m:d>
              <m:r>
                <w:rPr>
                  <w:rFonts w:ascii="Cambria Math" w:eastAsiaTheme="minorEastAsia" w:hAnsi="Cambria Math"/>
                  <w:lang w:val="it-IT"/>
                </w:rPr>
                <m:t>dp+ϕ</m:t>
              </m:r>
              <m:nary>
                <m:naryPr>
                  <m:limLoc m:val="subSup"/>
                  <m:ctrlPr>
                    <w:rPr>
                      <w:rFonts w:ascii="Cambria Math" w:eastAsiaTheme="minorEastAsia" w:hAnsi="Cambria Math"/>
                      <w:i/>
                      <w:lang w:val="it-IT"/>
                    </w:rPr>
                  </m:ctrlPr>
                </m:naryPr>
                <m:sub>
                  <m:r>
                    <w:rPr>
                      <w:rFonts w:ascii="Cambria Math" w:eastAsiaTheme="minorEastAsia" w:hAnsi="Cambria Math"/>
                      <w:lang w:val="it-IT"/>
                    </w:rPr>
                    <m:t>p</m:t>
                  </m:r>
                </m:sub>
                <m:sup>
                  <m:acc>
                    <m:accPr>
                      <m:chr m:val="̅"/>
                      <m:ctrlPr>
                        <w:rPr>
                          <w:rFonts w:ascii="Cambria Math" w:eastAsiaTheme="minorEastAsia" w:hAnsi="Cambria Math"/>
                          <w:i/>
                          <w:lang w:val="it-IT"/>
                        </w:rPr>
                      </m:ctrlPr>
                    </m:accPr>
                    <m:e>
                      <m:r>
                        <w:rPr>
                          <w:rFonts w:ascii="Cambria Math" w:eastAsiaTheme="minorEastAsia" w:hAnsi="Cambria Math"/>
                          <w:lang w:val="it-IT"/>
                        </w:rPr>
                        <m:t>p</m:t>
                      </m:r>
                    </m:e>
                  </m:acc>
                </m:sup>
                <m:e>
                  <m:r>
                    <w:rPr>
                      <w:rFonts w:ascii="Cambria Math" w:eastAsiaTheme="minorEastAsia" w:hAnsi="Cambria Math"/>
                      <w:lang w:val="it-IT"/>
                    </w:rPr>
                    <m:t>f</m:t>
                  </m:r>
                  <m:d>
                    <m:dPr>
                      <m:ctrlPr>
                        <w:rPr>
                          <w:rFonts w:ascii="Cambria Math" w:eastAsiaTheme="minorEastAsia" w:hAnsi="Cambria Math"/>
                          <w:i/>
                          <w:lang w:val="it-IT"/>
                        </w:rPr>
                      </m:ctrlPr>
                    </m:dPr>
                    <m:e>
                      <m:r>
                        <w:rPr>
                          <w:rFonts w:ascii="Cambria Math" w:eastAsiaTheme="minorEastAsia" w:hAnsi="Cambria Math"/>
                          <w:lang w:val="it-IT"/>
                        </w:rPr>
                        <m:t>p</m:t>
                      </m:r>
                    </m:e>
                  </m:d>
                  <m:r>
                    <w:rPr>
                      <w:rFonts w:ascii="Cambria Math" w:eastAsiaTheme="minorEastAsia" w:hAnsi="Cambria Math"/>
                      <w:lang w:val="it-IT"/>
                    </w:rPr>
                    <m:t>dp</m:t>
                  </m:r>
                </m:e>
              </m:nary>
            </m:e>
          </m:nary>
        </m:oMath>
      </m:oMathPara>
    </w:p>
    <w:p w14:paraId="66BA9804" w14:textId="2B3FC447" w:rsidR="0033143C" w:rsidRDefault="0033143C" w:rsidP="0033143C">
      <w:pPr>
        <w:jc w:val="center"/>
        <w:rPr>
          <w:rFonts w:eastAsiaTheme="minorEastAsia"/>
          <w:i/>
          <w:lang w:val="it-IT"/>
        </w:rPr>
      </w:pPr>
      <w:r w:rsidRPr="0033143C">
        <w:rPr>
          <w:rFonts w:eastAsiaTheme="minorEastAsia"/>
          <w:i/>
          <w:lang w:val="it-IT"/>
        </w:rPr>
        <w:t>Equazione (5)</w:t>
      </w:r>
    </w:p>
    <w:p w14:paraId="5E26F94D" w14:textId="7A8201CF" w:rsidR="0033143C" w:rsidRDefault="0033143C" w:rsidP="0033143C">
      <w:pPr>
        <w:jc w:val="both"/>
        <w:rPr>
          <w:rFonts w:eastAsiaTheme="minorEastAsia"/>
          <w:lang w:val="it-IT"/>
        </w:rPr>
      </w:pPr>
      <w:r>
        <w:rPr>
          <w:rFonts w:eastAsiaTheme="minorEastAsia"/>
          <w:lang w:val="it-IT"/>
        </w:rPr>
        <w:lastRenderedPageBreak/>
        <w:t>Il primo termine rappresenta la probabilità di dual agency. Il secondo termine rappresenta la probabilità che l’acquirente venga identificato da un broker, e questa probabilità è esogena. Il modello quindi implica che a</w:t>
      </w:r>
      <w:r w:rsidR="00630CA0">
        <w:rPr>
          <w:rFonts w:eastAsiaTheme="minorEastAsia"/>
          <w:lang w:val="it-IT"/>
        </w:rPr>
        <w:t>lti costi di transazione impatti</w:t>
      </w:r>
      <w:r>
        <w:rPr>
          <w:rFonts w:eastAsiaTheme="minorEastAsia"/>
          <w:lang w:val="it-IT"/>
        </w:rPr>
        <w:t xml:space="preserve">no negativamente sulla probabilità di vendita. </w:t>
      </w:r>
      <m:oMath>
        <m:r>
          <w:rPr>
            <w:rFonts w:ascii="Cambria Math" w:eastAsiaTheme="minorEastAsia" w:hAnsi="Cambria Math"/>
            <w:lang w:val="it-IT"/>
          </w:rPr>
          <m:t>ψ</m:t>
        </m:r>
      </m:oMath>
      <w:r>
        <w:rPr>
          <w:rFonts w:eastAsiaTheme="minorEastAsia"/>
          <w:lang w:val="it-IT"/>
        </w:rPr>
        <w:t xml:space="preserve"> cresce strettamente in </w:t>
      </w:r>
      <m:oMath>
        <m:sSup>
          <m:sSupPr>
            <m:ctrlPr>
              <w:rPr>
                <w:rFonts w:ascii="Cambria Math" w:eastAsiaTheme="minorEastAsia" w:hAnsi="Cambria Math"/>
                <w:i/>
                <w:lang w:val="it-IT"/>
              </w:rPr>
            </m:ctrlPr>
          </m:sSupPr>
          <m:e>
            <m:r>
              <w:rPr>
                <w:rFonts w:ascii="Cambria Math" w:eastAsiaTheme="minorEastAsia" w:hAnsi="Cambria Math"/>
                <w:lang w:val="it-IT"/>
              </w:rPr>
              <m:t>L</m:t>
            </m:r>
          </m:e>
          <m:sup>
            <m:r>
              <w:rPr>
                <w:rFonts w:ascii="Cambria Math" w:eastAsiaTheme="minorEastAsia" w:hAnsi="Cambria Math"/>
                <w:lang w:val="it-IT"/>
              </w:rPr>
              <m:t>*</m:t>
            </m:r>
          </m:sup>
        </m:sSup>
      </m:oMath>
      <w:r>
        <w:rPr>
          <w:rFonts w:eastAsiaTheme="minorEastAsia"/>
          <w:lang w:val="it-IT"/>
        </w:rPr>
        <w:t xml:space="preserve">. Dal momento che i costi di transazione, </w:t>
      </w:r>
      <w:r>
        <w:rPr>
          <w:rFonts w:eastAsiaTheme="minorEastAsia"/>
          <w:i/>
          <w:lang w:val="it-IT"/>
        </w:rPr>
        <w:t>s</w:t>
      </w:r>
      <w:r>
        <w:rPr>
          <w:rFonts w:eastAsiaTheme="minorEastAsia"/>
          <w:lang w:val="it-IT"/>
        </w:rPr>
        <w:t xml:space="preserve">, diminuiscono </w:t>
      </w:r>
      <m:oMath>
        <m:sSup>
          <m:sSupPr>
            <m:ctrlPr>
              <w:rPr>
                <w:rFonts w:ascii="Cambria Math" w:eastAsiaTheme="minorEastAsia" w:hAnsi="Cambria Math"/>
                <w:i/>
                <w:lang w:val="it-IT"/>
              </w:rPr>
            </m:ctrlPr>
          </m:sSupPr>
          <m:e>
            <m:r>
              <w:rPr>
                <w:rFonts w:ascii="Cambria Math" w:eastAsiaTheme="minorEastAsia" w:hAnsi="Cambria Math"/>
                <w:lang w:val="it-IT"/>
              </w:rPr>
              <m:t>L</m:t>
            </m:r>
          </m:e>
          <m:sup>
            <m:r>
              <w:rPr>
                <w:rFonts w:ascii="Cambria Math" w:eastAsiaTheme="minorEastAsia" w:hAnsi="Cambria Math"/>
                <w:lang w:val="it-IT"/>
              </w:rPr>
              <m:t>*</m:t>
            </m:r>
          </m:sup>
        </m:sSup>
      </m:oMath>
      <w:r>
        <w:rPr>
          <w:rFonts w:eastAsiaTheme="minorEastAsia"/>
          <w:lang w:val="it-IT"/>
        </w:rPr>
        <w:t xml:space="preserve">, comporta un minore </w:t>
      </w:r>
      <m:oMath>
        <m:r>
          <w:rPr>
            <w:rFonts w:ascii="Cambria Math" w:eastAsiaTheme="minorEastAsia" w:hAnsi="Cambria Math"/>
            <w:lang w:val="it-IT"/>
          </w:rPr>
          <m:t>ψ</m:t>
        </m:r>
      </m:oMath>
      <w:r>
        <w:rPr>
          <w:rFonts w:eastAsiaTheme="minorEastAsia"/>
          <w:lang w:val="it-IT"/>
        </w:rPr>
        <w:t xml:space="preserve">. E quindi, ancora una volta, il modello indica che a costi di transazione maggiori corrisponde una probabilità di vendita minore. </w:t>
      </w:r>
    </w:p>
    <w:p w14:paraId="7452FC90" w14:textId="758ECC78" w:rsidR="0033143C" w:rsidRDefault="0033143C" w:rsidP="0033143C">
      <w:pPr>
        <w:jc w:val="both"/>
        <w:rPr>
          <w:rFonts w:eastAsiaTheme="minorEastAsia"/>
          <w:lang w:val="it-IT"/>
        </w:rPr>
      </w:pPr>
      <w:r>
        <w:rPr>
          <w:rFonts w:eastAsiaTheme="minorEastAsia"/>
          <w:lang w:val="it-IT"/>
        </w:rPr>
        <w:t xml:space="preserve">Si rimanda al Capitolo 3 per la dimostrazione empirica. </w:t>
      </w:r>
    </w:p>
    <w:p w14:paraId="02472044" w14:textId="37669D24" w:rsidR="006A1193" w:rsidRDefault="006A1193" w:rsidP="006A1193">
      <w:pPr>
        <w:pStyle w:val="Heading3"/>
        <w:rPr>
          <w:rFonts w:eastAsiaTheme="minorEastAsia"/>
          <w:lang w:val="it-IT"/>
        </w:rPr>
      </w:pPr>
      <w:bookmarkStart w:id="16" w:name="_Toc100246235"/>
      <w:r>
        <w:rPr>
          <w:rFonts w:eastAsiaTheme="minorEastAsia"/>
          <w:lang w:val="it-IT"/>
        </w:rPr>
        <w:t>Regolamentazione</w:t>
      </w:r>
      <w:bookmarkEnd w:id="16"/>
    </w:p>
    <w:p w14:paraId="00B38043" w14:textId="5BF94F77" w:rsidR="004B5605" w:rsidRDefault="004B5605" w:rsidP="006A1193">
      <w:pPr>
        <w:rPr>
          <w:lang w:val="it-IT"/>
        </w:rPr>
      </w:pPr>
    </w:p>
    <w:p w14:paraId="066A6D2A" w14:textId="6651F7CB" w:rsidR="004B5605" w:rsidRDefault="004B5605" w:rsidP="006A1193">
      <w:pPr>
        <w:rPr>
          <w:lang w:val="it-IT"/>
        </w:rPr>
      </w:pPr>
      <w:r>
        <w:rPr>
          <w:lang w:val="it-IT"/>
        </w:rPr>
        <w:t>I ricercatori che si occupano di studiare l’economia immobiliare hanno posto molte energie sull’argomento regolamentazione dal momento che pare essere il fattore più importante nell’influenzare l’offerta del mercato.</w:t>
      </w:r>
    </w:p>
    <w:p w14:paraId="2D3215A2" w14:textId="43A17080" w:rsidR="00F84D81" w:rsidRDefault="004B5605" w:rsidP="00B31650">
      <w:pPr>
        <w:rPr>
          <w:lang w:val="it-IT"/>
        </w:rPr>
      </w:pPr>
      <w:r>
        <w:rPr>
          <w:lang w:val="it-IT"/>
        </w:rPr>
        <w:t>Dal momento che, al 31.12.2019, vi sono 479,574 imprese di costruzioni in Italia</w:t>
      </w:r>
      <w:r>
        <w:rPr>
          <w:rStyle w:val="FootnoteReference"/>
          <w:lang w:val="it-IT"/>
        </w:rPr>
        <w:footnoteReference w:id="25"/>
      </w:r>
      <w:r w:rsidR="003077F6">
        <w:rPr>
          <w:lang w:val="it-IT"/>
        </w:rPr>
        <w:t xml:space="preserve"> </w:t>
      </w:r>
      <w:r w:rsidR="006238D9">
        <w:rPr>
          <w:lang w:val="it-IT"/>
        </w:rPr>
        <w:t xml:space="preserve">con un fatturato medio di €344mila </w:t>
      </w:r>
      <w:r w:rsidR="00630CA0" w:rsidRPr="00630CA0">
        <w:rPr>
          <w:lang w:val="it-IT"/>
        </w:rPr>
        <w:t xml:space="preserve">e al 31.12.2022 invece 3,759,710 imprese di costruzione in America </w:t>
      </w:r>
      <w:r w:rsidR="006238D9">
        <w:rPr>
          <w:lang w:val="it-IT"/>
        </w:rPr>
        <w:t>con un fatturato medio di $625mila</w:t>
      </w:r>
      <w:r w:rsidR="006238D9">
        <w:rPr>
          <w:rStyle w:val="FootnoteReference"/>
          <w:lang w:val="it-IT"/>
        </w:rPr>
        <w:footnoteReference w:id="26"/>
      </w:r>
      <w:r w:rsidR="006238D9">
        <w:rPr>
          <w:lang w:val="it-IT"/>
        </w:rPr>
        <w:t xml:space="preserve"> </w:t>
      </w:r>
      <w:r w:rsidR="003077F6">
        <w:rPr>
          <w:lang w:val="it-IT"/>
        </w:rPr>
        <w:t>si assume l’offerta del mercato come non monopolistica e non caratterizz</w:t>
      </w:r>
      <w:r w:rsidR="00F84D81">
        <w:rPr>
          <w:lang w:val="it-IT"/>
        </w:rPr>
        <w:t>ata da player di grandi entità.</w:t>
      </w:r>
    </w:p>
    <w:p w14:paraId="1776249E" w14:textId="2F349008" w:rsidR="00C60284" w:rsidRPr="00B31650" w:rsidRDefault="00C60284" w:rsidP="00B31650">
      <w:pPr>
        <w:rPr>
          <w:lang w:val="it-IT"/>
        </w:rPr>
      </w:pPr>
      <w:r>
        <w:rPr>
          <w:lang w:val="it-IT"/>
        </w:rPr>
        <w:t xml:space="preserve">Il problema alla base dell’offerta nel mercato immobiliare è la limitazione nella densità di costruzione. Le politiche di urbanizzazione impongono limiti alla densità abitativa, stringendo così la potenzialità del mercato. </w:t>
      </w:r>
    </w:p>
    <w:p w14:paraId="5993C5A3" w14:textId="1D6F59EF" w:rsidR="002933BF" w:rsidRDefault="002933BF" w:rsidP="002A0EA3">
      <w:pPr>
        <w:jc w:val="both"/>
        <w:rPr>
          <w:rFonts w:eastAsiaTheme="minorEastAsia"/>
          <w:lang w:val="it-IT"/>
        </w:rPr>
      </w:pPr>
      <w:r>
        <w:rPr>
          <w:rFonts w:eastAsiaTheme="minorEastAsia"/>
          <w:lang w:val="it-IT"/>
        </w:rPr>
        <w:t xml:space="preserve">I modelli economici più semplici che si sono occupati dell’argomento prevedono che la regolamentazione riduca l’elasticità dell’offerta di immobili. Questo comporta che ad un aumento della curva di domanda corrisponde un maggiore incremento dei prezzi e una minore crescita delle quantità rispetto allo stato precedente. La maggior parte dei paper di ricerca trovano una forte correlazione positiva tra la regolamentazione e il prezzo degli immobili, e una forte correlazione negativa fra la regolamentazione e il volume di nuove costruzioni. La regolamentazione riduce altresì la sensibilità della curva di offerta a shock della domanda, oltre che influenzare la dimensione delle aree metropolitane e le caratteristiche degli edifici ivi costruiti. </w:t>
      </w:r>
    </w:p>
    <w:p w14:paraId="0ED76B65" w14:textId="16535613" w:rsidR="00316BAC" w:rsidRDefault="002933BF" w:rsidP="002A0EA3">
      <w:pPr>
        <w:jc w:val="both"/>
        <w:rPr>
          <w:rFonts w:eastAsiaTheme="minorEastAsia"/>
          <w:lang w:val="it-IT"/>
        </w:rPr>
      </w:pPr>
      <w:r w:rsidRPr="00316BAC">
        <w:rPr>
          <w:rFonts w:eastAsiaTheme="minorEastAsia"/>
          <w:lang w:val="it-IT"/>
        </w:rPr>
        <w:t>Secondo William Fischel</w:t>
      </w:r>
      <w:r>
        <w:rPr>
          <w:rStyle w:val="FootnoteReference"/>
          <w:rFonts w:eastAsiaTheme="minorEastAsia"/>
          <w:lang w:val="it-IT"/>
        </w:rPr>
        <w:footnoteReference w:id="27"/>
      </w:r>
      <w:r w:rsidR="00316BAC">
        <w:rPr>
          <w:rFonts w:eastAsiaTheme="minorEastAsia"/>
          <w:lang w:val="it-IT"/>
        </w:rPr>
        <w:t xml:space="preserve"> i proprietari di immobili sono capaci di influenzare pesantemente la regolamentazione. Nel suo “</w:t>
      </w:r>
      <w:r w:rsidR="00316BAC">
        <w:rPr>
          <w:rFonts w:eastAsiaTheme="minorEastAsia"/>
          <w:i/>
          <w:lang w:val="it-IT"/>
        </w:rPr>
        <w:t xml:space="preserve">The Homevoter Hypothesis” </w:t>
      </w:r>
      <w:r w:rsidR="00316BAC">
        <w:rPr>
          <w:rFonts w:eastAsiaTheme="minorEastAsia"/>
          <w:lang w:val="it-IT"/>
        </w:rPr>
        <w:t xml:space="preserve">sostiene che i proprietari di immobili hanno un grande incentivo nell’accordarsi per fermare gli sviluppi immobiliari sfavorevoli per il valore della loro prima casa, dal momento che è il loro investimento principale. L’idea di Fischel è che i servizi e disservizi locali vengono capitalizzati nel prezzo degli immobili. </w:t>
      </w:r>
      <w:r w:rsidR="00316BAC" w:rsidRPr="00C31689">
        <w:rPr>
          <w:rFonts w:eastAsiaTheme="minorEastAsia"/>
          <w:lang w:val="it-IT"/>
        </w:rPr>
        <w:t>A su</w:t>
      </w:r>
      <w:r w:rsidR="00C31689" w:rsidRPr="00C31689">
        <w:rPr>
          <w:rFonts w:eastAsiaTheme="minorEastAsia"/>
          <w:lang w:val="it-IT"/>
        </w:rPr>
        <w:t xml:space="preserve">pporto di questa argomentazione, cita una serie di studi che evidenziano come i prezzi degli immobili con </w:t>
      </w:r>
      <w:r w:rsidR="00C31689">
        <w:rPr>
          <w:rFonts w:eastAsiaTheme="minorEastAsia"/>
          <w:lang w:val="it-IT"/>
        </w:rPr>
        <w:t xml:space="preserve">disamenità (ad esempio vicini a discariche, autostrade, linee ferroviarie…) riflettono prezzi minori rispetto a quelle in posizioni migliori. Come dice lui “la preoccupazione per il valore della casa è il driver principale del comportamento dell’amministrazione locale”. </w:t>
      </w:r>
    </w:p>
    <w:p w14:paraId="18BD4555" w14:textId="51AB5CB8" w:rsidR="00C31689" w:rsidRDefault="00C31689" w:rsidP="002A0EA3">
      <w:pPr>
        <w:jc w:val="both"/>
        <w:rPr>
          <w:rFonts w:eastAsiaTheme="minorEastAsia"/>
          <w:lang w:val="it-IT"/>
        </w:rPr>
      </w:pPr>
      <w:r>
        <w:rPr>
          <w:rFonts w:eastAsiaTheme="minorEastAsia"/>
          <w:lang w:val="it-IT"/>
        </w:rPr>
        <w:t>Ortalo-Magne e Prat</w:t>
      </w:r>
      <w:r>
        <w:rPr>
          <w:rStyle w:val="FootnoteReference"/>
          <w:rFonts w:eastAsiaTheme="minorEastAsia"/>
          <w:lang w:val="it-IT"/>
        </w:rPr>
        <w:footnoteReference w:id="28"/>
      </w:r>
      <w:r>
        <w:rPr>
          <w:rFonts w:eastAsiaTheme="minorEastAsia"/>
          <w:lang w:val="it-IT"/>
        </w:rPr>
        <w:t xml:space="preserve"> si chiedono se e sotto quali circostanze la politica economica locale incide sull’offerta di immobili e in che modo impatta sull’efficienza della stessa. Creano dunque un modello per capire chi partecipa al processo decisionale di sviluppo urbano, i driver dei partecipanti e il modo in cui le loro </w:t>
      </w:r>
      <w:r>
        <w:rPr>
          <w:rFonts w:eastAsiaTheme="minorEastAsia"/>
          <w:lang w:val="it-IT"/>
        </w:rPr>
        <w:lastRenderedPageBreak/>
        <w:t xml:space="preserve">preferenze si traducono in regolamentazioni. Per fare ciò si avvalgono di un </w:t>
      </w:r>
      <w:r>
        <w:rPr>
          <w:rFonts w:eastAsiaTheme="minorEastAsia"/>
          <w:i/>
          <w:lang w:val="it-IT"/>
        </w:rPr>
        <w:t>modello di scelta della location</w:t>
      </w:r>
      <w:r>
        <w:rPr>
          <w:rFonts w:eastAsiaTheme="minorEastAsia"/>
          <w:lang w:val="it-IT"/>
        </w:rPr>
        <w:t xml:space="preserve"> per determinare chi vive in certe aree, un </w:t>
      </w:r>
      <w:r>
        <w:rPr>
          <w:rFonts w:eastAsiaTheme="minorEastAsia"/>
          <w:i/>
          <w:lang w:val="it-IT"/>
        </w:rPr>
        <w:t xml:space="preserve">modello di investimento immobiliare </w:t>
      </w:r>
      <w:r>
        <w:rPr>
          <w:rFonts w:eastAsiaTheme="minorEastAsia"/>
          <w:lang w:val="it-IT"/>
        </w:rPr>
        <w:t xml:space="preserve">per prevedere quali asset immobiliari i residenti hanno in proprietà, e un </w:t>
      </w:r>
      <w:r>
        <w:rPr>
          <w:rFonts w:eastAsiaTheme="minorEastAsia"/>
          <w:i/>
          <w:lang w:val="it-IT"/>
        </w:rPr>
        <w:t xml:space="preserve">modello di scelta collettiva </w:t>
      </w:r>
      <w:r>
        <w:rPr>
          <w:rFonts w:eastAsiaTheme="minorEastAsia"/>
          <w:lang w:val="it-IT"/>
        </w:rPr>
        <w:t xml:space="preserve">per mappare le identità e le preferenze dei residenti locali nelle politiche decisionali dello sviluppo urbano. L’obiettivo è quello di fare un primo passo verso una teoria che unisca tre elementi: il consumo abitativo, l’investimento immobiliare e la scelta collettiva di sviluppo urbano. </w:t>
      </w:r>
    </w:p>
    <w:p w14:paraId="0166C056" w14:textId="2AA07BD3" w:rsidR="00ED548A" w:rsidRDefault="00206473" w:rsidP="005702A7">
      <w:pPr>
        <w:jc w:val="both"/>
        <w:rPr>
          <w:rFonts w:eastAsiaTheme="minorEastAsia"/>
          <w:lang w:val="it-IT"/>
        </w:rPr>
      </w:pPr>
      <w:r>
        <w:rPr>
          <w:rFonts w:eastAsiaTheme="minorEastAsia"/>
          <w:lang w:val="it-IT"/>
        </w:rPr>
        <w:t>In particolare,</w:t>
      </w:r>
      <w:r w:rsidR="00ED548A">
        <w:rPr>
          <w:rFonts w:eastAsiaTheme="minorEastAsia"/>
          <w:lang w:val="it-IT"/>
        </w:rPr>
        <w:t xml:space="preserve"> quello che fanno è come segue. Le famiglie scelgono se vivere in campagna, dove pagano un affitto fisso e guadagnano uno stipendio normalizzato a zero, o in una città dove lo stipendio è una funzione della produttività totale della città che varia nel tempo e una componente fissa idiosincratica. In città le famiglie scelgono se comprare l’immobile in cui vivere o affittare. </w:t>
      </w:r>
      <w:r w:rsidR="00041E8F">
        <w:rPr>
          <w:rFonts w:eastAsiaTheme="minorEastAsia"/>
          <w:lang w:val="it-IT"/>
        </w:rPr>
        <w:t>Vi è un premio fisso tra i</w:t>
      </w:r>
      <w:r w:rsidR="005702A7" w:rsidRPr="00041E8F">
        <w:rPr>
          <w:rFonts w:eastAsiaTheme="minorEastAsia"/>
          <w:lang w:val="it-IT"/>
        </w:rPr>
        <w:t xml:space="preserve"> rendimenti </w:t>
      </w:r>
      <w:r w:rsidR="00041E8F">
        <w:rPr>
          <w:rFonts w:eastAsiaTheme="minorEastAsia"/>
          <w:lang w:val="it-IT"/>
        </w:rPr>
        <w:t>dati da</w:t>
      </w:r>
      <w:r w:rsidR="005702A7" w:rsidRPr="00041E8F">
        <w:rPr>
          <w:rFonts w:eastAsiaTheme="minorEastAsia"/>
          <w:lang w:val="it-IT"/>
        </w:rPr>
        <w:t xml:space="preserve">ll’investire in </w:t>
      </w:r>
      <w:r w:rsidR="00041E8F" w:rsidRPr="00041E8F">
        <w:rPr>
          <w:rFonts w:eastAsiaTheme="minorEastAsia"/>
          <w:lang w:val="it-IT"/>
        </w:rPr>
        <w:t xml:space="preserve">immobili con finalità di alloggio e immobili messi a reddito, che </w:t>
      </w:r>
      <w:r w:rsidR="00041E8F">
        <w:rPr>
          <w:rFonts w:eastAsiaTheme="minorEastAsia"/>
          <w:lang w:val="it-IT"/>
        </w:rPr>
        <w:t xml:space="preserve">ha lo scopo di riflettere una serie di fattori tra cui il beneficio non pecuniario della proprietà e il suo trattamento fiscale favorevole, il costo di gestire un immobile messo a reddito e il rischio morale nel mercato degli affitti. Il beneficio dato dalla proprietà di un alloggio finisce con la morte dell’individuo. Quindi il tradeoff che un individuo deve affrontare è quello di scegliere tra il premio della proprietà e il rischio prezzo associato con la stessa. I permessi per le nuove costruzioni vengono dati dalla maggioranza di voto dei residenti della città. I costruttori devono pagare una commissione per ogni nuovo permesso di costruzione accordato. Le commissioni vengono divise egualmente fra i residenti. Queste commissioni rappresentano quindi il beneficio economico per la comunità nello sviluppo immobiliare della propria città. </w:t>
      </w:r>
    </w:p>
    <w:p w14:paraId="69BB22D8" w14:textId="3D7B0D95" w:rsidR="00041E8F" w:rsidRDefault="00041E8F" w:rsidP="005702A7">
      <w:pPr>
        <w:jc w:val="both"/>
        <w:rPr>
          <w:rFonts w:eastAsiaTheme="minorEastAsia"/>
          <w:lang w:val="it-IT"/>
        </w:rPr>
      </w:pPr>
      <w:r>
        <w:rPr>
          <w:rFonts w:eastAsiaTheme="minorEastAsia"/>
          <w:lang w:val="it-IT"/>
        </w:rPr>
        <w:t>Non solo i residenti ricevono dell</w:t>
      </w:r>
      <w:r w:rsidR="003426EC">
        <w:rPr>
          <w:rFonts w:eastAsiaTheme="minorEastAsia"/>
          <w:lang w:val="it-IT"/>
        </w:rPr>
        <w:t xml:space="preserve">e quote di tutte le commissioni </w:t>
      </w:r>
      <w:r>
        <w:rPr>
          <w:rFonts w:eastAsiaTheme="minorEastAsia"/>
          <w:lang w:val="it-IT"/>
        </w:rPr>
        <w:t xml:space="preserve">pagate, ma beneficiano anche dalle nuove costruzioni poiché aumenta l’offerta che riduce i costi degli affitti che i residenti pagano o a terzi o a sé stessi nel caso vivessero in un immobile di cui sono proprietari. Di converso un aumento dell’offerta comporta una discesa dei prezzi degli immobili che si traduce in una riduzione dei consumi. Nel modello, non vengono iniziate nuove costruzioni se il beneficio netto per il residente votante mediano è negativo (ovvero se il beneficio di dover pagare affitti minori e la quota parte della commissione sono minori della perdita dei consumi dovuti alla discesa dei prezzi degli immobili). </w:t>
      </w:r>
      <w:r w:rsidR="007D7A5C">
        <w:rPr>
          <w:rFonts w:eastAsiaTheme="minorEastAsia"/>
          <w:lang w:val="it-IT"/>
        </w:rPr>
        <w:t xml:space="preserve">Usando questo modello, </w:t>
      </w:r>
      <w:r w:rsidR="007D7A5C" w:rsidRPr="007D7A5C">
        <w:rPr>
          <w:rFonts w:eastAsiaTheme="minorEastAsia"/>
          <w:lang w:val="it-IT"/>
        </w:rPr>
        <w:t xml:space="preserve">Ortalo-Magne </w:t>
      </w:r>
      <w:r w:rsidR="007D7A5C">
        <w:rPr>
          <w:rFonts w:eastAsiaTheme="minorEastAsia"/>
          <w:lang w:val="it-IT"/>
        </w:rPr>
        <w:t>e</w:t>
      </w:r>
      <w:r w:rsidR="007D7A5C" w:rsidRPr="007D7A5C">
        <w:rPr>
          <w:rFonts w:eastAsiaTheme="minorEastAsia"/>
          <w:lang w:val="it-IT"/>
        </w:rPr>
        <w:t xml:space="preserve"> Prat</w:t>
      </w:r>
      <w:r w:rsidR="007D7A5C">
        <w:rPr>
          <w:rFonts w:eastAsiaTheme="minorEastAsia"/>
          <w:lang w:val="it-IT"/>
        </w:rPr>
        <w:t xml:space="preserve"> dimostrano che i sussidi alla proprietà di immobili rendono il mercato RE meno conveniente. Ipotizzando non vi siano limiti nelle nuove costruzioni, il sussidio non avrebbe alcun effetto sulla convenienza poiché sarebbe perfettamente compensato da un innalzamento dei prezzi. Tuttavia il sussidio porta il cittadino medio a detenere più immobili, aumentando così l’opposizione allo sviluppo urbano. È quindi il limite alle nuove costruzioni che destabilizza il mercato e lo rende impraticabile per il cittadino medio.</w:t>
      </w:r>
    </w:p>
    <w:p w14:paraId="2D743581" w14:textId="68625CFF" w:rsidR="007D7A5C" w:rsidRPr="00041E8F" w:rsidRDefault="007D7A5C" w:rsidP="005702A7">
      <w:pPr>
        <w:jc w:val="both"/>
        <w:rPr>
          <w:rFonts w:eastAsiaTheme="minorEastAsia"/>
          <w:lang w:val="it-IT"/>
        </w:rPr>
      </w:pPr>
      <w:r>
        <w:rPr>
          <w:rFonts w:eastAsiaTheme="minorEastAsia"/>
          <w:lang w:val="it-IT"/>
        </w:rPr>
        <w:t xml:space="preserve">Di contrasto un aumento della commissione sulle nuove costruzioni incentiva allo sviluppo urbano portando ad un ingrandimento delle dimensioni della città. L’espansione della città riduce gli affitti. Fischel dimostra che più i proprietari di immobili ricevono dei benefici dalle nuove costruzioni, meno è probabile che si opporranno allo sviluppo. </w:t>
      </w:r>
    </w:p>
    <w:p w14:paraId="00C5C794" w14:textId="3578B6C8" w:rsidR="007D5C79" w:rsidRDefault="007D5C79" w:rsidP="002A0EA3">
      <w:pPr>
        <w:jc w:val="both"/>
        <w:rPr>
          <w:rFonts w:eastAsiaTheme="minorEastAsia"/>
          <w:lang w:val="it-IT"/>
        </w:rPr>
      </w:pPr>
      <w:r w:rsidRPr="007D5C79">
        <w:rPr>
          <w:rFonts w:eastAsiaTheme="minorEastAsia"/>
          <w:highlight w:val="yellow"/>
          <w:lang w:val="it-IT"/>
        </w:rPr>
        <w:t xml:space="preserve">Mettere qui il modello </w:t>
      </w:r>
      <w:r w:rsidR="003426EC">
        <w:rPr>
          <w:rFonts w:eastAsiaTheme="minorEastAsia"/>
          <w:highlight w:val="yellow"/>
          <w:lang w:val="it-IT"/>
        </w:rPr>
        <w:t>matematico</w:t>
      </w:r>
      <w:r w:rsidRPr="007D5C79">
        <w:rPr>
          <w:rFonts w:eastAsiaTheme="minorEastAsia"/>
          <w:highlight w:val="yellow"/>
          <w:lang w:val="it-IT"/>
        </w:rPr>
        <w:t>?</w:t>
      </w:r>
    </w:p>
    <w:p w14:paraId="3DFBC252" w14:textId="200B7547" w:rsidR="001D0011" w:rsidRPr="00F96097" w:rsidRDefault="001D0011" w:rsidP="001D0011">
      <w:pPr>
        <w:pStyle w:val="Heading3"/>
        <w:rPr>
          <w:rFonts w:eastAsiaTheme="minorEastAsia"/>
          <w:lang w:val="it-IT"/>
        </w:rPr>
      </w:pPr>
      <w:bookmarkStart w:id="17" w:name="_Toc100246236"/>
      <w:r w:rsidRPr="00F96097">
        <w:rPr>
          <w:rFonts w:eastAsiaTheme="minorEastAsia"/>
          <w:lang w:val="it-IT"/>
        </w:rPr>
        <w:t>Liquidità</w:t>
      </w:r>
      <w:r w:rsidR="00D56AA9">
        <w:rPr>
          <w:rStyle w:val="FootnoteReference"/>
          <w:rFonts w:eastAsiaTheme="minorEastAsia"/>
        </w:rPr>
        <w:footnoteReference w:id="29"/>
      </w:r>
      <w:bookmarkEnd w:id="17"/>
    </w:p>
    <w:p w14:paraId="39CBC0F3" w14:textId="18D6652C" w:rsidR="00764C29" w:rsidRDefault="00444DC6" w:rsidP="001D0011">
      <w:pPr>
        <w:rPr>
          <w:lang w:val="it-IT"/>
        </w:rPr>
      </w:pPr>
      <w:r>
        <w:rPr>
          <w:lang w:val="it-IT"/>
        </w:rPr>
        <w:t xml:space="preserve">L’illiquidità di mercato è un concetto elusivo. Non viene osservata in modo diretto e ha una serie di implicazioni che non possono essere catturate con una sola misura. Vi sono due differenti prospettive nello studio dell’illiquidità. </w:t>
      </w:r>
    </w:p>
    <w:p w14:paraId="73F40766" w14:textId="218F9391" w:rsidR="00444DC6" w:rsidRDefault="00444DC6" w:rsidP="001D0011">
      <w:pPr>
        <w:rPr>
          <w:lang w:val="it-IT"/>
        </w:rPr>
      </w:pPr>
      <w:r>
        <w:rPr>
          <w:lang w:val="it-IT"/>
        </w:rPr>
        <w:t xml:space="preserve">La prima asserisce che il rischio di liquidità nasce dall’asimmetria informativa. </w:t>
      </w:r>
      <w:r w:rsidR="000C34E7">
        <w:rPr>
          <w:lang w:val="it-IT"/>
        </w:rPr>
        <w:t>La seconda sostiene che il rischio di liquidità deriva dai costi di transazione elevati.</w:t>
      </w:r>
    </w:p>
    <w:p w14:paraId="1C1CD681" w14:textId="3078852E" w:rsidR="000C34E7" w:rsidRDefault="00940BE4" w:rsidP="001D0011">
      <w:pPr>
        <w:rPr>
          <w:lang w:val="it-IT"/>
        </w:rPr>
      </w:pPr>
      <w:r>
        <w:rPr>
          <w:lang w:val="it-IT"/>
        </w:rPr>
        <w:lastRenderedPageBreak/>
        <w:t>S</w:t>
      </w:r>
      <w:r w:rsidR="000C34E7">
        <w:rPr>
          <w:lang w:val="it-IT"/>
        </w:rPr>
        <w:t xml:space="preserve">ui mercati finanziari </w:t>
      </w:r>
      <w:r>
        <w:rPr>
          <w:lang w:val="it-IT"/>
        </w:rPr>
        <w:t>il prezzo si forma facendo incontrare offerta e domanda in ogni istante temporale e la sua misura è come i flussi degli ordini impattano sul prezzo.</w:t>
      </w:r>
    </w:p>
    <w:p w14:paraId="1A9A05BD" w14:textId="71A5DA46" w:rsidR="00940BE4" w:rsidRDefault="00940BE4" w:rsidP="001D0011">
      <w:pPr>
        <w:rPr>
          <w:lang w:val="it-IT"/>
        </w:rPr>
      </w:pPr>
      <w:r>
        <w:rPr>
          <w:lang w:val="it-IT"/>
        </w:rPr>
        <w:t xml:space="preserve">Invece i prezzi nel mercato RE si formano con la ricerca sequenziale di venditori e acquirenti insieme alla optimal stopping rule dei venditori; </w:t>
      </w:r>
      <w:r w:rsidR="00F924F6">
        <w:rPr>
          <w:lang w:val="it-IT"/>
        </w:rPr>
        <w:t xml:space="preserve">quindi l’illiquidità nel mercato RE non può essere misurata con l’impatto dei flussi degli ordini sui prezzi. </w:t>
      </w:r>
    </w:p>
    <w:p w14:paraId="3B693E3E" w14:textId="5B8F52C8" w:rsidR="00673158" w:rsidRDefault="00764C29" w:rsidP="00764C29">
      <w:pPr>
        <w:jc w:val="both"/>
        <w:rPr>
          <w:lang w:val="it-IT"/>
        </w:rPr>
      </w:pPr>
      <w:r w:rsidRPr="00764C29">
        <w:rPr>
          <w:lang w:val="it-IT"/>
        </w:rPr>
        <w:t>Con gli occhi di un investit</w:t>
      </w:r>
      <w:r w:rsidR="009601AF">
        <w:rPr>
          <w:lang w:val="it-IT"/>
        </w:rPr>
        <w:t>o</w:t>
      </w:r>
      <w:r w:rsidRPr="00764C29">
        <w:rPr>
          <w:lang w:val="it-IT"/>
        </w:rPr>
        <w:t>re, il più grande motivo</w:t>
      </w:r>
      <w:r>
        <w:rPr>
          <w:lang w:val="it-IT"/>
        </w:rPr>
        <w:t xml:space="preserve"> di esitazione nell’operare nel mercato immobiliare è la cronica bassa liquidità. La prospettiva di dover aspettare mesi, se non anni, per vedere il proprio investimento liquidato terrorizza, se non addirittura </w:t>
      </w:r>
      <w:r w:rsidR="003426EC">
        <w:rPr>
          <w:lang w:val="it-IT"/>
        </w:rPr>
        <w:t>respinge</w:t>
      </w:r>
      <w:r>
        <w:rPr>
          <w:lang w:val="it-IT"/>
        </w:rPr>
        <w:t>, una gran parte del capitale che circola nei mercati.</w:t>
      </w:r>
    </w:p>
    <w:p w14:paraId="53AF3CEF" w14:textId="05D43E03" w:rsidR="00673158" w:rsidRDefault="00673158" w:rsidP="00673158">
      <w:pPr>
        <w:jc w:val="center"/>
        <w:rPr>
          <w:lang w:val="it-IT"/>
        </w:rPr>
      </w:pPr>
      <w:r>
        <w:rPr>
          <w:noProof/>
        </w:rPr>
        <w:drawing>
          <wp:inline distT="0" distB="0" distL="0" distR="0" wp14:anchorId="5984AB02" wp14:editId="51A16316">
            <wp:extent cx="4572000" cy="2743200"/>
            <wp:effectExtent l="0" t="0" r="0" b="0"/>
            <wp:docPr id="14" name="Chart 14">
              <a:extLst xmlns:a="http://schemas.openxmlformats.org/drawingml/2006/main">
                <a:ext uri="{FF2B5EF4-FFF2-40B4-BE49-F238E27FC236}">
                  <a16:creationId xmlns:a16="http://schemas.microsoft.com/office/drawing/2014/main" id="{7A568193-EC74-40CD-92E8-467F373773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3A5BA1C7" w14:textId="411160F0" w:rsidR="00673158" w:rsidRPr="00673158" w:rsidRDefault="00673158" w:rsidP="00673158">
      <w:pPr>
        <w:jc w:val="center"/>
      </w:pPr>
      <w:r w:rsidRPr="00673158">
        <w:t xml:space="preserve">Figura 11: The median number of days property listings spend on the market in </w:t>
      </w:r>
      <w:r>
        <w:t>USA</w:t>
      </w:r>
      <w:r w:rsidRPr="00673158">
        <w:t xml:space="preserve"> </w:t>
      </w:r>
      <w:r>
        <w:t>observed monthly</w:t>
      </w:r>
      <w:r>
        <w:rPr>
          <w:rStyle w:val="FootnoteReference"/>
        </w:rPr>
        <w:footnoteReference w:id="30"/>
      </w:r>
    </w:p>
    <w:p w14:paraId="7676597D" w14:textId="62B9695D" w:rsidR="00764C29" w:rsidRDefault="00F96097" w:rsidP="00764C29">
      <w:pPr>
        <w:jc w:val="both"/>
        <w:rPr>
          <w:lang w:val="it-IT"/>
        </w:rPr>
      </w:pPr>
      <w:r>
        <w:rPr>
          <w:lang w:val="it-IT"/>
        </w:rPr>
        <w:t xml:space="preserve">L’idea di fondo è che il mercato immobiliare sia composto da beni eterogenei che vengono scambiati su mercati decentralizzati e che le transazioni su questo mercato </w:t>
      </w:r>
      <w:r w:rsidR="00FD4C1F">
        <w:rPr>
          <w:lang w:val="it-IT"/>
        </w:rPr>
        <w:t>siano</w:t>
      </w:r>
      <w:r>
        <w:rPr>
          <w:lang w:val="it-IT"/>
        </w:rPr>
        <w:t xml:space="preserve"> spesso caratterizzate da ricerche costose e commissioni alte a livello assoluto. La tesi è che l’aspetto più importante della illiquidità del mercato immobiliare (sia residenziale che commerciale) siano il tempo di latenza per la vendita e l’incertezza riguardo la valutazione. </w:t>
      </w:r>
    </w:p>
    <w:p w14:paraId="54E20913" w14:textId="6C00BF3B" w:rsidR="00764C29" w:rsidRDefault="00764C29" w:rsidP="00764C29">
      <w:pPr>
        <w:jc w:val="both"/>
        <w:rPr>
          <w:lang w:val="it-IT"/>
        </w:rPr>
      </w:pPr>
      <w:r>
        <w:rPr>
          <w:lang w:val="it-IT"/>
        </w:rPr>
        <w:t>Vista l’eterogeneità e l’infrequenza con cui gli asset immobiliari vengono scambiati, è evidente che non è corretto applicare le usuali formule di stima di rischio e ricavo:</w:t>
      </w:r>
    </w:p>
    <w:bookmarkStart w:id="18" w:name="_Hlk97804545"/>
    <w:p w14:paraId="73B530E5" w14:textId="3C22F0C9" w:rsidR="00764C29" w:rsidRPr="00764C29" w:rsidRDefault="00004AB9" w:rsidP="00764C29">
      <w:pPr>
        <w:jc w:val="both"/>
        <w:rPr>
          <w:rFonts w:eastAsiaTheme="minorEastAsia"/>
          <w:lang w:val="it-IT"/>
        </w:rPr>
      </w:pPr>
      <m:oMathPara>
        <m:oMath>
          <m:acc>
            <m:accPr>
              <m:ctrlPr>
                <w:rPr>
                  <w:rFonts w:ascii="Cambria Math" w:hAnsi="Cambria Math"/>
                  <w:i/>
                  <w:lang w:val="it-IT"/>
                </w:rPr>
              </m:ctrlPr>
            </m:accPr>
            <m:e>
              <m:r>
                <w:rPr>
                  <w:rFonts w:ascii="Cambria Math" w:hAnsi="Cambria Math"/>
                  <w:lang w:val="it-IT"/>
                </w:rPr>
                <m:t>r</m:t>
              </m:r>
            </m:e>
          </m:acc>
          <m:r>
            <w:rPr>
              <w:rFonts w:ascii="Cambria Math" w:hAnsi="Cambria Math"/>
              <w:lang w:val="it-IT"/>
            </w:rPr>
            <m:t>=</m:t>
          </m:r>
          <m:f>
            <m:fPr>
              <m:ctrlPr>
                <w:rPr>
                  <w:rFonts w:ascii="Cambria Math" w:hAnsi="Cambria Math"/>
                  <w:i/>
                  <w:lang w:val="it-IT"/>
                </w:rPr>
              </m:ctrlPr>
            </m:fPr>
            <m:num>
              <m:nary>
                <m:naryPr>
                  <m:chr m:val="∑"/>
                  <m:limLoc m:val="undOvr"/>
                  <m:ctrlPr>
                    <w:rPr>
                      <w:rFonts w:ascii="Cambria Math" w:hAnsi="Cambria Math"/>
                      <w:i/>
                      <w:lang w:val="it-IT"/>
                    </w:rPr>
                  </m:ctrlPr>
                </m:naryPr>
                <m:sub>
                  <m:r>
                    <w:rPr>
                      <w:rFonts w:ascii="Cambria Math" w:hAnsi="Cambria Math"/>
                      <w:lang w:val="it-IT"/>
                    </w:rPr>
                    <m:t>i=1</m:t>
                  </m:r>
                </m:sub>
                <m:sup>
                  <m:r>
                    <w:rPr>
                      <w:rFonts w:ascii="Cambria Math" w:hAnsi="Cambria Math"/>
                      <w:lang w:val="it-IT"/>
                    </w:rPr>
                    <m:t>T</m:t>
                  </m:r>
                </m:sup>
                <m:e>
                  <m:d>
                    <m:dPr>
                      <m:ctrlPr>
                        <w:rPr>
                          <w:rFonts w:ascii="Cambria Math" w:hAnsi="Cambria Math"/>
                          <w:i/>
                          <w:lang w:val="it-IT"/>
                        </w:rPr>
                      </m:ctrlPr>
                    </m:dPr>
                    <m:e>
                      <m:f>
                        <m:fPr>
                          <m:ctrlPr>
                            <w:rPr>
                              <w:rFonts w:ascii="Cambria Math" w:hAnsi="Cambria Math"/>
                              <w:i/>
                              <w:lang w:val="it-IT"/>
                            </w:rPr>
                          </m:ctrlPr>
                        </m:fPr>
                        <m:num>
                          <m:sSub>
                            <m:sSubPr>
                              <m:ctrlPr>
                                <w:rPr>
                                  <w:rFonts w:ascii="Cambria Math" w:hAnsi="Cambria Math"/>
                                  <w:i/>
                                  <w:lang w:val="it-IT"/>
                                </w:rPr>
                              </m:ctrlPr>
                            </m:sSubPr>
                            <m:e>
                              <m:r>
                                <w:rPr>
                                  <w:rFonts w:ascii="Cambria Math" w:hAnsi="Cambria Math"/>
                                  <w:lang w:val="it-IT"/>
                                </w:rPr>
                                <m:t>P</m:t>
                              </m:r>
                            </m:e>
                            <m:sub>
                              <m:r>
                                <w:rPr>
                                  <w:rFonts w:ascii="Cambria Math" w:hAnsi="Cambria Math"/>
                                  <w:lang w:val="it-IT"/>
                                </w:rPr>
                                <m:t>i</m:t>
                              </m:r>
                            </m:sub>
                          </m:sSub>
                          <m:r>
                            <w:rPr>
                              <w:rFonts w:ascii="Cambria Math" w:hAnsi="Cambria Math"/>
                              <w:lang w:val="it-IT"/>
                            </w:rPr>
                            <m:t>-</m:t>
                          </m:r>
                          <m:sSub>
                            <m:sSubPr>
                              <m:ctrlPr>
                                <w:rPr>
                                  <w:rFonts w:ascii="Cambria Math" w:hAnsi="Cambria Math"/>
                                  <w:i/>
                                  <w:lang w:val="it-IT"/>
                                </w:rPr>
                              </m:ctrlPr>
                            </m:sSubPr>
                            <m:e>
                              <m:r>
                                <w:rPr>
                                  <w:rFonts w:ascii="Cambria Math" w:hAnsi="Cambria Math"/>
                                  <w:lang w:val="it-IT"/>
                                </w:rPr>
                                <m:t>P</m:t>
                              </m:r>
                            </m:e>
                            <m:sub>
                              <m:r>
                                <w:rPr>
                                  <w:rFonts w:ascii="Cambria Math" w:hAnsi="Cambria Math"/>
                                  <w:lang w:val="it-IT"/>
                                </w:rPr>
                                <m:t>i-1</m:t>
                              </m:r>
                            </m:sub>
                          </m:sSub>
                        </m:num>
                        <m:den>
                          <m:sSub>
                            <m:sSubPr>
                              <m:ctrlPr>
                                <w:rPr>
                                  <w:rFonts w:ascii="Cambria Math" w:hAnsi="Cambria Math"/>
                                  <w:i/>
                                  <w:lang w:val="it-IT"/>
                                </w:rPr>
                              </m:ctrlPr>
                            </m:sSubPr>
                            <m:e>
                              <m:r>
                                <w:rPr>
                                  <w:rFonts w:ascii="Cambria Math" w:hAnsi="Cambria Math"/>
                                  <w:lang w:val="it-IT"/>
                                </w:rPr>
                                <m:t>P</m:t>
                              </m:r>
                            </m:e>
                            <m:sub>
                              <m:r>
                                <w:rPr>
                                  <w:rFonts w:ascii="Cambria Math" w:hAnsi="Cambria Math"/>
                                  <w:lang w:val="it-IT"/>
                                </w:rPr>
                                <m:t>i-1</m:t>
                              </m:r>
                            </m:sub>
                          </m:sSub>
                        </m:den>
                      </m:f>
                    </m:e>
                  </m:d>
                </m:e>
              </m:nary>
            </m:num>
            <m:den>
              <m:r>
                <w:rPr>
                  <w:rFonts w:ascii="Cambria Math" w:hAnsi="Cambria Math"/>
                  <w:lang w:val="it-IT"/>
                </w:rPr>
                <m:t>T</m:t>
              </m:r>
            </m:den>
          </m:f>
        </m:oMath>
      </m:oMathPara>
      <w:bookmarkEnd w:id="18"/>
    </w:p>
    <w:p w14:paraId="19D6127F" w14:textId="04478741" w:rsidR="00764C29" w:rsidRPr="00764C29" w:rsidRDefault="00004AB9" w:rsidP="00764C29">
      <w:pPr>
        <w:jc w:val="both"/>
        <w:rPr>
          <w:rFonts w:eastAsiaTheme="minorEastAsia"/>
          <w:lang w:val="it-IT"/>
        </w:rPr>
      </w:pPr>
      <m:oMathPara>
        <m:oMath>
          <m:acc>
            <m:accPr>
              <m:ctrlPr>
                <w:rPr>
                  <w:rFonts w:ascii="Cambria Math" w:eastAsiaTheme="minorEastAsia" w:hAnsi="Cambria Math"/>
                  <w:i/>
                  <w:lang w:val="it-IT"/>
                </w:rPr>
              </m:ctrlPr>
            </m:accPr>
            <m:e>
              <m:r>
                <w:rPr>
                  <w:rFonts w:ascii="Cambria Math" w:eastAsiaTheme="minorEastAsia" w:hAnsi="Cambria Math"/>
                  <w:lang w:val="it-IT"/>
                </w:rPr>
                <m:t>σ</m:t>
              </m:r>
            </m:e>
          </m:acc>
          <m:r>
            <w:rPr>
              <w:rFonts w:ascii="Cambria Math" w:eastAsiaTheme="minorEastAsia" w:hAnsi="Cambria Math"/>
              <w:lang w:val="it-IT"/>
            </w:rPr>
            <m:t>=</m:t>
          </m:r>
          <m:rad>
            <m:radPr>
              <m:degHide m:val="1"/>
              <m:ctrlPr>
                <w:rPr>
                  <w:rFonts w:ascii="Cambria Math" w:eastAsiaTheme="minorEastAsia" w:hAnsi="Cambria Math"/>
                  <w:i/>
                  <w:lang w:val="it-IT"/>
                </w:rPr>
              </m:ctrlPr>
            </m:radPr>
            <m:deg/>
            <m:e>
              <m:f>
                <m:fPr>
                  <m:ctrlPr>
                    <w:rPr>
                      <w:rFonts w:ascii="Cambria Math" w:eastAsiaTheme="minorEastAsia" w:hAnsi="Cambria Math"/>
                      <w:i/>
                      <w:lang w:val="it-IT"/>
                    </w:rPr>
                  </m:ctrlPr>
                </m:fPr>
                <m:num>
                  <m:nary>
                    <m:naryPr>
                      <m:chr m:val="∑"/>
                      <m:limLoc m:val="undOvr"/>
                      <m:ctrlPr>
                        <w:rPr>
                          <w:rFonts w:ascii="Cambria Math" w:eastAsiaTheme="minorEastAsia" w:hAnsi="Cambria Math"/>
                          <w:i/>
                          <w:lang w:val="it-IT"/>
                        </w:rPr>
                      </m:ctrlPr>
                    </m:naryPr>
                    <m:sub>
                      <m:r>
                        <w:rPr>
                          <w:rFonts w:ascii="Cambria Math" w:eastAsiaTheme="minorEastAsia" w:hAnsi="Cambria Math"/>
                          <w:lang w:val="it-IT"/>
                        </w:rPr>
                        <m:t>i=1</m:t>
                      </m:r>
                    </m:sub>
                    <m:sup>
                      <m:r>
                        <w:rPr>
                          <w:rFonts w:ascii="Cambria Math" w:eastAsiaTheme="minorEastAsia" w:hAnsi="Cambria Math"/>
                          <w:lang w:val="it-IT"/>
                        </w:rPr>
                        <m:t>T</m:t>
                      </m:r>
                    </m:sup>
                    <m:e>
                      <m:sSup>
                        <m:sSupPr>
                          <m:ctrlPr>
                            <w:rPr>
                              <w:rFonts w:ascii="Cambria Math" w:eastAsiaTheme="minorEastAsia" w:hAnsi="Cambria Math"/>
                              <w:i/>
                              <w:lang w:val="it-IT"/>
                            </w:rPr>
                          </m:ctrlPr>
                        </m:sSupPr>
                        <m:e>
                          <m:d>
                            <m:dPr>
                              <m:ctrlPr>
                                <w:rPr>
                                  <w:rFonts w:ascii="Cambria Math" w:eastAsiaTheme="minorEastAsia" w:hAnsi="Cambria Math"/>
                                  <w:i/>
                                  <w:lang w:val="it-IT"/>
                                </w:rPr>
                              </m:ctrlPr>
                            </m:dPr>
                            <m:e>
                              <m:f>
                                <m:fPr>
                                  <m:ctrlPr>
                                    <w:rPr>
                                      <w:rFonts w:ascii="Cambria Math" w:eastAsiaTheme="minorEastAsia" w:hAnsi="Cambria Math"/>
                                      <w:i/>
                                      <w:lang w:val="it-IT"/>
                                    </w:rPr>
                                  </m:ctrlPr>
                                </m:fPr>
                                <m:num>
                                  <m:sSub>
                                    <m:sSubPr>
                                      <m:ctrlPr>
                                        <w:rPr>
                                          <w:rFonts w:ascii="Cambria Math" w:eastAsiaTheme="minorEastAsia" w:hAnsi="Cambria Math"/>
                                          <w:i/>
                                          <w:lang w:val="it-IT"/>
                                        </w:rPr>
                                      </m:ctrlPr>
                                    </m:sSubPr>
                                    <m:e>
                                      <m:r>
                                        <w:rPr>
                                          <w:rFonts w:ascii="Cambria Math" w:eastAsiaTheme="minorEastAsia" w:hAnsi="Cambria Math"/>
                                          <w:lang w:val="it-IT"/>
                                        </w:rPr>
                                        <m:t>P</m:t>
                                      </m:r>
                                    </m:e>
                                    <m:sub>
                                      <m:r>
                                        <w:rPr>
                                          <w:rFonts w:ascii="Cambria Math" w:eastAsiaTheme="minorEastAsia" w:hAnsi="Cambria Math"/>
                                          <w:lang w:val="it-IT"/>
                                        </w:rPr>
                                        <m:t>i</m:t>
                                      </m:r>
                                    </m:sub>
                                  </m:sSub>
                                  <m:r>
                                    <w:rPr>
                                      <w:rFonts w:ascii="Cambria Math" w:eastAsiaTheme="minorEastAsia" w:hAnsi="Cambria Math"/>
                                      <w:lang w:val="it-IT"/>
                                    </w:rPr>
                                    <m:t>-</m:t>
                                  </m:r>
                                  <m:sSub>
                                    <m:sSubPr>
                                      <m:ctrlPr>
                                        <w:rPr>
                                          <w:rFonts w:ascii="Cambria Math" w:eastAsiaTheme="minorEastAsia" w:hAnsi="Cambria Math"/>
                                          <w:i/>
                                          <w:lang w:val="it-IT"/>
                                        </w:rPr>
                                      </m:ctrlPr>
                                    </m:sSubPr>
                                    <m:e>
                                      <m:r>
                                        <w:rPr>
                                          <w:rFonts w:ascii="Cambria Math" w:eastAsiaTheme="minorEastAsia" w:hAnsi="Cambria Math"/>
                                          <w:lang w:val="it-IT"/>
                                        </w:rPr>
                                        <m:t>P</m:t>
                                      </m:r>
                                    </m:e>
                                    <m:sub>
                                      <m:r>
                                        <w:rPr>
                                          <w:rFonts w:ascii="Cambria Math" w:eastAsiaTheme="minorEastAsia" w:hAnsi="Cambria Math"/>
                                          <w:lang w:val="it-IT"/>
                                        </w:rPr>
                                        <m:t>i-1</m:t>
                                      </m:r>
                                    </m:sub>
                                  </m:sSub>
                                </m:num>
                                <m:den>
                                  <m:sSub>
                                    <m:sSubPr>
                                      <m:ctrlPr>
                                        <w:rPr>
                                          <w:rFonts w:ascii="Cambria Math" w:eastAsiaTheme="minorEastAsia" w:hAnsi="Cambria Math"/>
                                          <w:i/>
                                          <w:lang w:val="it-IT"/>
                                        </w:rPr>
                                      </m:ctrlPr>
                                    </m:sSubPr>
                                    <m:e>
                                      <m:r>
                                        <w:rPr>
                                          <w:rFonts w:ascii="Cambria Math" w:eastAsiaTheme="minorEastAsia" w:hAnsi="Cambria Math"/>
                                          <w:lang w:val="it-IT"/>
                                        </w:rPr>
                                        <m:t>P</m:t>
                                      </m:r>
                                    </m:e>
                                    <m:sub>
                                      <m:r>
                                        <w:rPr>
                                          <w:rFonts w:ascii="Cambria Math" w:eastAsiaTheme="minorEastAsia" w:hAnsi="Cambria Math"/>
                                          <w:lang w:val="it-IT"/>
                                        </w:rPr>
                                        <m:t>i-1</m:t>
                                      </m:r>
                                    </m:sub>
                                  </m:sSub>
                                </m:den>
                              </m:f>
                              <m:r>
                                <w:rPr>
                                  <w:rFonts w:ascii="Cambria Math" w:eastAsiaTheme="minorEastAsia" w:hAnsi="Cambria Math"/>
                                  <w:lang w:val="it-IT"/>
                                </w:rPr>
                                <m:t>-</m:t>
                              </m:r>
                              <m:acc>
                                <m:accPr>
                                  <m:ctrlPr>
                                    <w:rPr>
                                      <w:rFonts w:ascii="Cambria Math" w:eastAsiaTheme="minorEastAsia" w:hAnsi="Cambria Math"/>
                                      <w:i/>
                                      <w:lang w:val="it-IT"/>
                                    </w:rPr>
                                  </m:ctrlPr>
                                </m:accPr>
                                <m:e>
                                  <m:r>
                                    <w:rPr>
                                      <w:rFonts w:ascii="Cambria Math" w:eastAsiaTheme="minorEastAsia" w:hAnsi="Cambria Math"/>
                                      <w:lang w:val="it-IT"/>
                                    </w:rPr>
                                    <m:t>r</m:t>
                                  </m:r>
                                </m:e>
                              </m:acc>
                            </m:e>
                          </m:d>
                        </m:e>
                        <m:sup>
                          <m:r>
                            <w:rPr>
                              <w:rFonts w:ascii="Cambria Math" w:eastAsiaTheme="minorEastAsia" w:hAnsi="Cambria Math"/>
                              <w:lang w:val="it-IT"/>
                            </w:rPr>
                            <m:t>2</m:t>
                          </m:r>
                        </m:sup>
                      </m:sSup>
                    </m:e>
                  </m:nary>
                </m:num>
                <m:den>
                  <m:r>
                    <w:rPr>
                      <w:rFonts w:ascii="Cambria Math" w:eastAsiaTheme="minorEastAsia" w:hAnsi="Cambria Math"/>
                      <w:lang w:val="it-IT"/>
                    </w:rPr>
                    <m:t>T</m:t>
                  </m:r>
                </m:den>
              </m:f>
            </m:e>
          </m:rad>
        </m:oMath>
      </m:oMathPara>
    </w:p>
    <w:p w14:paraId="2C7E1B8D" w14:textId="6A9CDFAC" w:rsidR="00764C29" w:rsidRDefault="00764C29" w:rsidP="00764C29">
      <w:pPr>
        <w:jc w:val="center"/>
        <w:rPr>
          <w:rFonts w:eastAsiaTheme="minorEastAsia"/>
          <w:i/>
          <w:lang w:val="it-IT"/>
        </w:rPr>
      </w:pPr>
      <w:r w:rsidRPr="00764C29">
        <w:rPr>
          <w:rFonts w:eastAsiaTheme="minorEastAsia"/>
          <w:i/>
          <w:lang w:val="it-IT"/>
        </w:rPr>
        <w:t>Equazione (6)</w:t>
      </w:r>
    </w:p>
    <w:p w14:paraId="1F3DB7A2" w14:textId="0EB84270" w:rsidR="00764C29" w:rsidRDefault="00764C29" w:rsidP="00764C29">
      <w:pPr>
        <w:jc w:val="both"/>
        <w:rPr>
          <w:rFonts w:eastAsiaTheme="minorEastAsia"/>
          <w:lang w:val="it-IT"/>
        </w:rPr>
      </w:pPr>
      <w:r>
        <w:rPr>
          <w:rFonts w:eastAsiaTheme="minorEastAsia"/>
          <w:lang w:val="it-IT"/>
        </w:rPr>
        <w:t xml:space="preserve">È necessario tener conto delle peculiarità del mercato RE per poter arrivare ad una stima ex-ante esatta dei </w:t>
      </w:r>
      <w:r w:rsidR="009601AF">
        <w:rPr>
          <w:rFonts w:eastAsiaTheme="minorEastAsia"/>
          <w:lang w:val="it-IT"/>
        </w:rPr>
        <w:t>rendimenti</w:t>
      </w:r>
      <w:r>
        <w:rPr>
          <w:rFonts w:eastAsiaTheme="minorEastAsia"/>
          <w:lang w:val="it-IT"/>
        </w:rPr>
        <w:t xml:space="preserve"> attesi.</w:t>
      </w:r>
    </w:p>
    <w:p w14:paraId="6F99D542" w14:textId="43776553" w:rsidR="00D561EE" w:rsidRDefault="00D561EE" w:rsidP="00764C29">
      <w:pPr>
        <w:jc w:val="both"/>
        <w:rPr>
          <w:rFonts w:eastAsiaTheme="minorEastAsia"/>
          <w:lang w:val="it-IT"/>
        </w:rPr>
      </w:pPr>
      <w:r w:rsidRPr="00D561EE">
        <w:rPr>
          <w:rFonts w:eastAsiaTheme="minorEastAsia"/>
          <w:lang w:val="it-IT"/>
        </w:rPr>
        <w:lastRenderedPageBreak/>
        <w:t>Il processo di scambio nel mercato immobiliare è molto diverso da quello dei mercati di capitali relativi alle azioni societarie. È facile capirlo in modo intuitivo: il tempo che intercorre tra la messa in vendita di un immobile e il suo effettivo acquisto dalla controparte è molto maggiore rispetto a quello delle azioni sul mercato dei capitali.</w:t>
      </w:r>
    </w:p>
    <w:p w14:paraId="04D740E0" w14:textId="5676ECE7" w:rsidR="007B0DD3" w:rsidRDefault="007B0DD3" w:rsidP="00764C29">
      <w:pPr>
        <w:jc w:val="both"/>
        <w:rPr>
          <w:rFonts w:eastAsiaTheme="minorEastAsia"/>
          <w:lang w:val="it-IT"/>
        </w:rPr>
      </w:pPr>
      <w:r>
        <w:rPr>
          <w:rFonts w:eastAsiaTheme="minorEastAsia"/>
          <w:lang w:val="it-IT"/>
        </w:rPr>
        <w:t>Infatti le correnti metodologie di apprezzamento immobiliare si basano puramente sui prezzi storici e sul tempo in cui avvengono le transazion</w:t>
      </w:r>
      <w:r w:rsidR="00D561EE">
        <w:rPr>
          <w:rFonts w:eastAsiaTheme="minorEastAsia"/>
          <w:lang w:val="it-IT"/>
        </w:rPr>
        <w:t>i</w:t>
      </w:r>
      <w:r>
        <w:rPr>
          <w:rFonts w:eastAsiaTheme="minorEastAsia"/>
          <w:lang w:val="it-IT"/>
        </w:rPr>
        <w:t>, che però non tengono conto dell’incertezza del marketing period.</w:t>
      </w:r>
    </w:p>
    <w:p w14:paraId="2B6B4C43" w14:textId="209355FF" w:rsidR="00D561EE" w:rsidRDefault="00D561EE" w:rsidP="00D561EE">
      <w:pPr>
        <w:pStyle w:val="Heading4"/>
        <w:rPr>
          <w:rFonts w:eastAsiaTheme="minorEastAsia"/>
          <w:lang w:val="it-IT"/>
        </w:rPr>
      </w:pPr>
      <w:r>
        <w:rPr>
          <w:rFonts w:eastAsiaTheme="minorEastAsia"/>
          <w:lang w:val="it-IT"/>
        </w:rPr>
        <w:t>La dinamica dei prezzi nel RE</w:t>
      </w:r>
    </w:p>
    <w:p w14:paraId="4F56CCD6" w14:textId="2E8CB019" w:rsidR="00D561EE" w:rsidRDefault="00D623DD" w:rsidP="00D561EE">
      <w:pPr>
        <w:rPr>
          <w:rFonts w:eastAsiaTheme="minorEastAsia"/>
          <w:lang w:val="it-IT"/>
        </w:rPr>
      </w:pPr>
      <w:r>
        <w:rPr>
          <w:lang w:val="it-IT"/>
        </w:rPr>
        <w:t xml:space="preserve">La Figura X illustra la dinamica del prezzo nel mercato immobiliare che è caratterizzato da un peculiare processo di transazione. </w:t>
      </w:r>
      <m:oMath>
        <m:sSub>
          <m:sSubPr>
            <m:ctrlPr>
              <w:rPr>
                <w:rFonts w:ascii="Cambria Math" w:hAnsi="Cambria Math"/>
                <w:i/>
                <w:lang w:val="it-IT"/>
              </w:rPr>
            </m:ctrlPr>
          </m:sSubPr>
          <m:e>
            <m:r>
              <w:rPr>
                <w:rFonts w:ascii="Cambria Math" w:hAnsi="Cambria Math"/>
                <w:lang w:val="it-IT"/>
              </w:rPr>
              <m:t>T</m:t>
            </m:r>
          </m:e>
          <m:sub>
            <m:r>
              <w:rPr>
                <w:rFonts w:ascii="Cambria Math" w:hAnsi="Cambria Math"/>
                <w:lang w:val="it-IT"/>
              </w:rPr>
              <m:t>H</m:t>
            </m:r>
          </m:sub>
        </m:sSub>
      </m:oMath>
      <w:r>
        <w:rPr>
          <w:rFonts w:eastAsiaTheme="minorEastAsia"/>
          <w:lang w:val="it-IT"/>
        </w:rPr>
        <w:t xml:space="preserve"> è l’istante in cui l’immobile viene messo sul mercato e </w:t>
      </w:r>
      <m:oMath>
        <m:acc>
          <m:accPr>
            <m:chr m:val="̃"/>
            <m:ctrlPr>
              <w:rPr>
                <w:rFonts w:ascii="Cambria Math" w:eastAsiaTheme="minorEastAsia" w:hAnsi="Cambria Math"/>
                <w:i/>
                <w:lang w:val="it-IT"/>
              </w:rPr>
            </m:ctrlPr>
          </m:accPr>
          <m:e>
            <m:r>
              <w:rPr>
                <w:rFonts w:ascii="Cambria Math" w:eastAsiaTheme="minorEastAsia" w:hAnsi="Cambria Math"/>
                <w:lang w:val="it-IT"/>
              </w:rPr>
              <m:t>t</m:t>
            </m:r>
          </m:e>
        </m:acc>
      </m:oMath>
      <w:r>
        <w:rPr>
          <w:rFonts w:eastAsiaTheme="minorEastAsia"/>
          <w:lang w:val="it-IT"/>
        </w:rPr>
        <w:t xml:space="preserve"> è un potenziale marketing period con prezzo di vendita </w:t>
      </w:r>
      <m:oMath>
        <m:acc>
          <m:accPr>
            <m:chr m:val="̃"/>
            <m:ctrlPr>
              <w:rPr>
                <w:rFonts w:ascii="Cambria Math" w:eastAsiaTheme="minorEastAsia" w:hAnsi="Cambria Math"/>
                <w:i/>
                <w:lang w:val="it-IT"/>
              </w:rPr>
            </m:ctrlPr>
          </m:accPr>
          <m:e>
            <m:sSub>
              <m:sSubPr>
                <m:ctrlPr>
                  <w:rPr>
                    <w:rFonts w:ascii="Cambria Math" w:eastAsiaTheme="minorEastAsia" w:hAnsi="Cambria Math"/>
                    <w:i/>
                    <w:lang w:val="it-IT"/>
                  </w:rPr>
                </m:ctrlPr>
              </m:sSubPr>
              <m:e>
                <m:r>
                  <w:rPr>
                    <w:rFonts w:ascii="Cambria Math" w:eastAsiaTheme="minorEastAsia" w:hAnsi="Cambria Math"/>
                    <w:lang w:val="it-IT"/>
                  </w:rPr>
                  <m:t>P</m:t>
                </m:r>
              </m:e>
              <m:sub>
                <m:sSub>
                  <m:sSubPr>
                    <m:ctrlPr>
                      <w:rPr>
                        <w:rFonts w:ascii="Cambria Math" w:eastAsiaTheme="minorEastAsia" w:hAnsi="Cambria Math"/>
                        <w:i/>
                        <w:lang w:val="it-IT"/>
                      </w:rPr>
                    </m:ctrlPr>
                  </m:sSubPr>
                  <m:e>
                    <m:r>
                      <w:rPr>
                        <w:rFonts w:ascii="Cambria Math" w:eastAsiaTheme="minorEastAsia" w:hAnsi="Cambria Math"/>
                        <w:lang w:val="it-IT"/>
                      </w:rPr>
                      <m:t>T</m:t>
                    </m:r>
                  </m:e>
                  <m:sub>
                    <m:r>
                      <w:rPr>
                        <w:rFonts w:ascii="Cambria Math" w:eastAsiaTheme="minorEastAsia" w:hAnsi="Cambria Math"/>
                        <w:lang w:val="it-IT"/>
                      </w:rPr>
                      <m:t>H</m:t>
                    </m:r>
                  </m:sub>
                </m:sSub>
                <m:r>
                  <w:rPr>
                    <w:rFonts w:ascii="Cambria Math" w:eastAsiaTheme="minorEastAsia" w:hAnsi="Cambria Math"/>
                    <w:lang w:val="it-IT"/>
                  </w:rPr>
                  <m:t>+</m:t>
                </m:r>
                <m:acc>
                  <m:accPr>
                    <m:chr m:val="̃"/>
                    <m:ctrlPr>
                      <w:rPr>
                        <w:rFonts w:ascii="Cambria Math" w:eastAsiaTheme="minorEastAsia" w:hAnsi="Cambria Math"/>
                        <w:i/>
                        <w:lang w:val="it-IT"/>
                      </w:rPr>
                    </m:ctrlPr>
                  </m:accPr>
                  <m:e>
                    <m:r>
                      <w:rPr>
                        <w:rFonts w:ascii="Cambria Math" w:eastAsiaTheme="minorEastAsia" w:hAnsi="Cambria Math"/>
                        <w:lang w:val="it-IT"/>
                      </w:rPr>
                      <m:t>t</m:t>
                    </m:r>
                  </m:e>
                </m:acc>
              </m:sub>
            </m:sSub>
          </m:e>
        </m:acc>
        <m:r>
          <w:rPr>
            <w:rFonts w:ascii="Cambria Math" w:eastAsiaTheme="minorEastAsia" w:hAnsi="Cambria Math"/>
            <w:lang w:val="it-IT"/>
          </w:rPr>
          <m:t xml:space="preserve"> (</m:t>
        </m:r>
        <m:acc>
          <m:accPr>
            <m:chr m:val="̃"/>
            <m:ctrlPr>
              <w:rPr>
                <w:rFonts w:ascii="Cambria Math" w:eastAsiaTheme="minorEastAsia" w:hAnsi="Cambria Math"/>
                <w:i/>
                <w:lang w:val="it-IT"/>
              </w:rPr>
            </m:ctrlPr>
          </m:accPr>
          <m:e>
            <m:r>
              <w:rPr>
                <w:rFonts w:ascii="Cambria Math" w:eastAsiaTheme="minorEastAsia" w:hAnsi="Cambria Math"/>
                <w:lang w:val="it-IT"/>
              </w:rPr>
              <m:t>t</m:t>
            </m:r>
          </m:e>
        </m:acc>
        <m:r>
          <w:rPr>
            <w:rFonts w:ascii="Cambria Math" w:eastAsiaTheme="minorEastAsia" w:hAnsi="Cambria Math"/>
            <w:lang w:val="it-IT"/>
          </w:rPr>
          <m:t>=</m:t>
        </m:r>
        <m:sSub>
          <m:sSubPr>
            <m:ctrlPr>
              <w:rPr>
                <w:rFonts w:ascii="Cambria Math" w:eastAsiaTheme="minorEastAsia" w:hAnsi="Cambria Math"/>
                <w:i/>
                <w:lang w:val="it-IT"/>
              </w:rPr>
            </m:ctrlPr>
          </m:sSubPr>
          <m:e>
            <m:r>
              <w:rPr>
                <w:rFonts w:ascii="Cambria Math" w:eastAsiaTheme="minorEastAsia" w:hAnsi="Cambria Math"/>
                <w:lang w:val="it-IT"/>
              </w:rPr>
              <m:t>t</m:t>
            </m:r>
          </m:e>
          <m:sub>
            <m:r>
              <w:rPr>
                <w:rFonts w:ascii="Cambria Math" w:eastAsiaTheme="minorEastAsia" w:hAnsi="Cambria Math"/>
                <w:lang w:val="it-IT"/>
              </w:rPr>
              <m:t>1</m:t>
            </m:r>
          </m:sub>
        </m:sSub>
        <m:r>
          <w:rPr>
            <w:rFonts w:ascii="Cambria Math" w:eastAsiaTheme="minorEastAsia" w:hAnsi="Cambria Math"/>
            <w:lang w:val="it-IT"/>
          </w:rPr>
          <m:t>,</m:t>
        </m:r>
        <m:sSub>
          <m:sSubPr>
            <m:ctrlPr>
              <w:rPr>
                <w:rFonts w:ascii="Cambria Math" w:eastAsiaTheme="minorEastAsia" w:hAnsi="Cambria Math"/>
                <w:i/>
                <w:lang w:val="it-IT"/>
              </w:rPr>
            </m:ctrlPr>
          </m:sSubPr>
          <m:e>
            <m:r>
              <w:rPr>
                <w:rFonts w:ascii="Cambria Math" w:eastAsiaTheme="minorEastAsia" w:hAnsi="Cambria Math"/>
                <w:lang w:val="it-IT"/>
              </w:rPr>
              <m:t>t</m:t>
            </m:r>
          </m:e>
          <m:sub>
            <m:r>
              <w:rPr>
                <w:rFonts w:ascii="Cambria Math" w:eastAsiaTheme="minorEastAsia" w:hAnsi="Cambria Math"/>
                <w:lang w:val="it-IT"/>
              </w:rPr>
              <m:t>2</m:t>
            </m:r>
          </m:sub>
        </m:sSub>
        <m:r>
          <w:rPr>
            <w:rFonts w:ascii="Cambria Math" w:eastAsiaTheme="minorEastAsia" w:hAnsi="Cambria Math"/>
            <w:lang w:val="it-IT"/>
          </w:rPr>
          <m:t>…)</m:t>
        </m:r>
      </m:oMath>
      <w:r w:rsidR="004478D2">
        <w:rPr>
          <w:rFonts w:eastAsiaTheme="minorEastAsia"/>
          <w:lang w:val="it-IT"/>
        </w:rPr>
        <w:t xml:space="preserve">. In ogni periodo </w:t>
      </w:r>
      <m:oMath>
        <m:sSub>
          <m:sSubPr>
            <m:ctrlPr>
              <w:rPr>
                <w:rFonts w:ascii="Cambria Math" w:eastAsiaTheme="minorEastAsia" w:hAnsi="Cambria Math"/>
                <w:i/>
                <w:lang w:val="it-IT"/>
              </w:rPr>
            </m:ctrlPr>
          </m:sSubPr>
          <m:e>
            <m:r>
              <w:rPr>
                <w:rFonts w:ascii="Cambria Math" w:eastAsiaTheme="minorEastAsia" w:hAnsi="Cambria Math"/>
                <w:lang w:val="it-IT"/>
              </w:rPr>
              <m:t>t</m:t>
            </m:r>
          </m:e>
          <m:sub>
            <m:r>
              <w:rPr>
                <w:rFonts w:ascii="Cambria Math" w:eastAsiaTheme="minorEastAsia" w:hAnsi="Cambria Math"/>
                <w:lang w:val="it-IT"/>
              </w:rPr>
              <m:t>i</m:t>
            </m:r>
          </m:sub>
        </m:sSub>
      </m:oMath>
      <w:r w:rsidR="004478D2">
        <w:rPr>
          <w:rFonts w:eastAsiaTheme="minorEastAsia"/>
          <w:lang w:val="it-IT"/>
        </w:rPr>
        <w:t xml:space="preserve"> il venditore dell’immobile si vede arrivare dei potenziali acquirenti con tempistiche e offerte casuali. Vi sono due possibilità:</w:t>
      </w:r>
    </w:p>
    <w:p w14:paraId="664C7DE8" w14:textId="595A4653" w:rsidR="004478D2" w:rsidRDefault="004478D2" w:rsidP="005879DB">
      <w:pPr>
        <w:pStyle w:val="ListParagraph"/>
        <w:numPr>
          <w:ilvl w:val="0"/>
          <w:numId w:val="9"/>
        </w:numPr>
        <w:rPr>
          <w:lang w:val="it-IT"/>
        </w:rPr>
      </w:pPr>
      <w:r>
        <w:rPr>
          <w:lang w:val="it-IT"/>
        </w:rPr>
        <w:t>Il venditore accetta l’offerta poiché il prezzo offerto è maggiore o uguale del prezzo minimo accettabile (</w:t>
      </w:r>
      <w:r w:rsidRPr="004478D2">
        <w:rPr>
          <w:lang w:val="it-IT"/>
        </w:rPr>
        <w:t>MAP – Minimum Acceptable Price)</w:t>
      </w:r>
      <w:r>
        <w:rPr>
          <w:lang w:val="it-IT"/>
        </w:rPr>
        <w:t>;</w:t>
      </w:r>
    </w:p>
    <w:p w14:paraId="7748B391" w14:textId="2DA0C7BD" w:rsidR="004478D2" w:rsidRDefault="004478D2" w:rsidP="005879DB">
      <w:pPr>
        <w:pStyle w:val="ListParagraph"/>
        <w:numPr>
          <w:ilvl w:val="0"/>
          <w:numId w:val="9"/>
        </w:numPr>
        <w:rPr>
          <w:lang w:val="it-IT"/>
        </w:rPr>
      </w:pPr>
      <w:r>
        <w:rPr>
          <w:lang w:val="it-IT"/>
        </w:rPr>
        <w:t xml:space="preserve">Il venditore non accetta poiché il prezzo offerto è inferiore al MAP o semplicemente perché non vi è alcun acquirente. </w:t>
      </w:r>
    </w:p>
    <w:p w14:paraId="0C1B7302" w14:textId="263E6833" w:rsidR="004478D2" w:rsidRDefault="004478D2" w:rsidP="004478D2">
      <w:pPr>
        <w:jc w:val="center"/>
        <w:rPr>
          <w:lang w:val="it-IT"/>
        </w:rPr>
      </w:pPr>
      <w:r>
        <w:rPr>
          <w:noProof/>
        </w:rPr>
        <w:drawing>
          <wp:inline distT="0" distB="0" distL="0" distR="0" wp14:anchorId="37D946CC" wp14:editId="79F4250D">
            <wp:extent cx="3987800" cy="228600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rotWithShape="1">
                    <a:blip r:embed="rId16"/>
                    <a:srcRect l="10583" t="54554" r="24258" b="15956"/>
                    <a:stretch/>
                  </pic:blipFill>
                  <pic:spPr bwMode="auto">
                    <a:xfrm>
                      <a:off x="0" y="0"/>
                      <a:ext cx="3987800" cy="2286000"/>
                    </a:xfrm>
                    <a:prstGeom prst="rect">
                      <a:avLst/>
                    </a:prstGeom>
                    <a:ln>
                      <a:noFill/>
                    </a:ln>
                    <a:extLst>
                      <a:ext uri="{53640926-AAD7-44D8-BBD7-CCE9431645EC}">
                        <a14:shadowObscured xmlns:a14="http://schemas.microsoft.com/office/drawing/2010/main"/>
                      </a:ext>
                    </a:extLst>
                  </pic:spPr>
                </pic:pic>
              </a:graphicData>
            </a:graphic>
          </wp:inline>
        </w:drawing>
      </w:r>
    </w:p>
    <w:p w14:paraId="43302566" w14:textId="1236284B" w:rsidR="004478D2" w:rsidRDefault="004478D2" w:rsidP="004478D2">
      <w:pPr>
        <w:jc w:val="center"/>
        <w:rPr>
          <w:lang w:val="it-IT"/>
        </w:rPr>
      </w:pPr>
      <w:r>
        <w:rPr>
          <w:lang w:val="it-IT"/>
        </w:rPr>
        <w:t>Figura 12</w:t>
      </w:r>
    </w:p>
    <w:p w14:paraId="42B46D7C" w14:textId="39D72768" w:rsidR="001D4D9C" w:rsidRPr="004478D2" w:rsidRDefault="001D4D9C" w:rsidP="001D4D9C">
      <w:pPr>
        <w:pStyle w:val="Heading4"/>
        <w:rPr>
          <w:lang w:val="it-IT"/>
        </w:rPr>
      </w:pPr>
      <w:r>
        <w:rPr>
          <w:lang w:val="it-IT"/>
        </w:rPr>
        <w:t>Liquidity Bias</w:t>
      </w:r>
    </w:p>
    <w:p w14:paraId="4F29E7AC" w14:textId="1FDBE57D" w:rsidR="007B0DD3" w:rsidRDefault="007B0DD3" w:rsidP="00764C29">
      <w:pPr>
        <w:jc w:val="both"/>
        <w:rPr>
          <w:rFonts w:eastAsiaTheme="minorEastAsia"/>
          <w:lang w:val="it-IT"/>
        </w:rPr>
      </w:pPr>
      <w:r>
        <w:rPr>
          <w:rFonts w:eastAsiaTheme="minorEastAsia"/>
          <w:lang w:val="it-IT"/>
        </w:rPr>
        <w:t xml:space="preserve">L’incertezza del marketing period aggiunge un rischio per l’investitore. Per esempio, si supponga che ci siano </w:t>
      </w:r>
      <m:oMath>
        <m:r>
          <w:rPr>
            <w:rFonts w:ascii="Cambria Math" w:eastAsiaTheme="minorEastAsia" w:hAnsi="Cambria Math"/>
            <w:lang w:val="it-IT"/>
          </w:rPr>
          <m:t>N</m:t>
        </m:r>
      </m:oMath>
      <w:r>
        <w:rPr>
          <w:rFonts w:eastAsiaTheme="minorEastAsia"/>
          <w:lang w:val="it-IT"/>
        </w:rPr>
        <w:t xml:space="preserve"> immobili simili fra loro messi in vendita sul mercato al tempo </w:t>
      </w:r>
      <w:bookmarkStart w:id="19" w:name="_Hlk97805012"/>
      <m:oMath>
        <m:sSub>
          <m:sSubPr>
            <m:ctrlPr>
              <w:rPr>
                <w:rFonts w:ascii="Cambria Math" w:eastAsiaTheme="minorEastAsia" w:hAnsi="Cambria Math"/>
                <w:i/>
                <w:lang w:val="it-IT"/>
              </w:rPr>
            </m:ctrlPr>
          </m:sSubPr>
          <m:e>
            <m:r>
              <w:rPr>
                <w:rFonts w:ascii="Cambria Math" w:eastAsiaTheme="minorEastAsia" w:hAnsi="Cambria Math"/>
                <w:lang w:val="it-IT"/>
              </w:rPr>
              <m:t>T</m:t>
            </m:r>
          </m:e>
          <m:sub>
            <m:r>
              <w:rPr>
                <w:rFonts w:ascii="Cambria Math" w:eastAsiaTheme="minorEastAsia" w:hAnsi="Cambria Math"/>
                <w:lang w:val="it-IT"/>
              </w:rPr>
              <m:t>H</m:t>
            </m:r>
          </m:sub>
        </m:sSub>
      </m:oMath>
      <w:bookmarkEnd w:id="19"/>
      <w:r>
        <w:rPr>
          <w:rFonts w:eastAsiaTheme="minorEastAsia"/>
          <w:lang w:val="it-IT"/>
        </w:rPr>
        <w:t>. Per semplicità, si assuma che questi asset fossero stati comprati al tempo 0</w:t>
      </w:r>
      <w:r w:rsidR="000372C9">
        <w:rPr>
          <w:rFonts w:eastAsiaTheme="minorEastAsia"/>
          <w:lang w:val="it-IT"/>
        </w:rPr>
        <w:t xml:space="preserve"> con un prezzo di €1</w:t>
      </w:r>
      <w:r w:rsidR="00FD4C1F">
        <w:rPr>
          <w:rFonts w:eastAsiaTheme="minorEastAsia"/>
          <w:lang w:val="it-IT"/>
        </w:rPr>
        <w:t xml:space="preserve"> ciascuno</w:t>
      </w:r>
      <w:r w:rsidR="000372C9">
        <w:rPr>
          <w:rFonts w:eastAsiaTheme="minorEastAsia"/>
          <w:lang w:val="it-IT"/>
        </w:rPr>
        <w:t xml:space="preserve">. In ogni istante </w:t>
      </w:r>
      <m:oMath>
        <m:r>
          <w:rPr>
            <w:rFonts w:ascii="Cambria Math" w:eastAsiaTheme="minorEastAsia" w:hAnsi="Cambria Math"/>
            <w:lang w:val="it-IT"/>
          </w:rPr>
          <m:t>T</m:t>
        </m:r>
      </m:oMath>
      <w:r w:rsidR="000372C9">
        <w:rPr>
          <w:rFonts w:eastAsiaTheme="minorEastAsia"/>
          <w:lang w:val="it-IT"/>
        </w:rPr>
        <w:t xml:space="preserve">, si ipotizza che vi siano </w:t>
      </w:r>
      <m:oMath>
        <m:r>
          <w:rPr>
            <w:rFonts w:ascii="Cambria Math" w:eastAsiaTheme="minorEastAsia" w:hAnsi="Cambria Math"/>
            <w:lang w:val="it-IT"/>
          </w:rPr>
          <m:t>n (n≤N)</m:t>
        </m:r>
      </m:oMath>
      <w:r w:rsidR="000372C9">
        <w:rPr>
          <w:rFonts w:eastAsiaTheme="minorEastAsia"/>
          <w:lang w:val="it-IT"/>
        </w:rPr>
        <w:t xml:space="preserve"> asset che vengono venduti. La Figura 1</w:t>
      </w:r>
      <w:r w:rsidR="00673158">
        <w:rPr>
          <w:rFonts w:eastAsiaTheme="minorEastAsia"/>
          <w:lang w:val="it-IT"/>
        </w:rPr>
        <w:t>2</w:t>
      </w:r>
      <w:r w:rsidR="000372C9">
        <w:rPr>
          <w:rFonts w:eastAsiaTheme="minorEastAsia"/>
          <w:lang w:val="it-IT"/>
        </w:rPr>
        <w:t xml:space="preserve"> illustra l’istante e il prezzo di vendita:</w:t>
      </w:r>
    </w:p>
    <w:p w14:paraId="0ABCB170" w14:textId="3F9E4586" w:rsidR="000372C9" w:rsidRDefault="000372C9" w:rsidP="000372C9">
      <w:pPr>
        <w:jc w:val="center"/>
        <w:rPr>
          <w:rFonts w:eastAsiaTheme="minorEastAsia"/>
          <w:lang w:val="it-IT"/>
        </w:rPr>
      </w:pPr>
      <w:r>
        <w:rPr>
          <w:noProof/>
        </w:rPr>
        <w:drawing>
          <wp:inline distT="0" distB="0" distL="0" distR="0" wp14:anchorId="34B52D7D" wp14:editId="52CDE385">
            <wp:extent cx="4654550" cy="18986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9234" t="58731" r="14712" b="16776"/>
                    <a:stretch/>
                  </pic:blipFill>
                  <pic:spPr bwMode="auto">
                    <a:xfrm>
                      <a:off x="0" y="0"/>
                      <a:ext cx="4654550" cy="1898650"/>
                    </a:xfrm>
                    <a:prstGeom prst="rect">
                      <a:avLst/>
                    </a:prstGeom>
                    <a:ln>
                      <a:noFill/>
                    </a:ln>
                    <a:extLst>
                      <a:ext uri="{53640926-AAD7-44D8-BBD7-CCE9431645EC}">
                        <a14:shadowObscured xmlns:a14="http://schemas.microsoft.com/office/drawing/2010/main"/>
                      </a:ext>
                    </a:extLst>
                  </pic:spPr>
                </pic:pic>
              </a:graphicData>
            </a:graphic>
          </wp:inline>
        </w:drawing>
      </w:r>
    </w:p>
    <w:p w14:paraId="35DE0836" w14:textId="0DE1EFEE" w:rsidR="000372C9" w:rsidRDefault="000372C9" w:rsidP="000372C9">
      <w:pPr>
        <w:jc w:val="center"/>
        <w:rPr>
          <w:rFonts w:eastAsiaTheme="minorEastAsia"/>
          <w:lang w:val="it-IT"/>
        </w:rPr>
      </w:pPr>
      <w:r>
        <w:rPr>
          <w:rFonts w:eastAsiaTheme="minorEastAsia"/>
          <w:lang w:val="it-IT"/>
        </w:rPr>
        <w:lastRenderedPageBreak/>
        <w:t>Figura 1</w:t>
      </w:r>
      <w:r w:rsidR="004478D2">
        <w:rPr>
          <w:rFonts w:eastAsiaTheme="minorEastAsia"/>
          <w:lang w:val="it-IT"/>
        </w:rPr>
        <w:t xml:space="preserve">3 </w:t>
      </w:r>
    </w:p>
    <w:p w14:paraId="0E234C8E" w14:textId="667E0AD5" w:rsidR="000372C9" w:rsidRDefault="00DF6560" w:rsidP="000372C9">
      <w:pPr>
        <w:jc w:val="both"/>
        <w:rPr>
          <w:rFonts w:eastAsiaTheme="minorEastAsia"/>
          <w:lang w:val="it-IT"/>
        </w:rPr>
      </w:pPr>
      <w:r>
        <w:rPr>
          <w:rFonts w:eastAsiaTheme="minorEastAsia"/>
          <w:lang w:val="it-IT"/>
        </w:rPr>
        <w:t xml:space="preserve">Al tempo </w:t>
      </w:r>
      <m:oMath>
        <m:sSub>
          <m:sSubPr>
            <m:ctrlPr>
              <w:rPr>
                <w:rFonts w:ascii="Cambria Math" w:eastAsiaTheme="minorEastAsia" w:hAnsi="Cambria Math"/>
                <w:i/>
                <w:lang w:val="it-IT"/>
              </w:rPr>
            </m:ctrlPr>
          </m:sSubPr>
          <m:e>
            <m:r>
              <w:rPr>
                <w:rFonts w:ascii="Cambria Math" w:eastAsiaTheme="minorEastAsia" w:hAnsi="Cambria Math"/>
                <w:lang w:val="it-IT"/>
              </w:rPr>
              <m:t>T</m:t>
            </m:r>
          </m:e>
          <m:sub>
            <m:r>
              <w:rPr>
                <w:rFonts w:ascii="Cambria Math" w:eastAsiaTheme="minorEastAsia" w:hAnsi="Cambria Math"/>
                <w:lang w:val="it-IT"/>
              </w:rPr>
              <m:t>H</m:t>
            </m:r>
          </m:sub>
        </m:sSub>
        <m:r>
          <w:rPr>
            <w:rFonts w:ascii="Cambria Math" w:eastAsiaTheme="minorEastAsia" w:hAnsi="Cambria Math"/>
            <w:lang w:val="it-IT"/>
          </w:rPr>
          <m:t>+T</m:t>
        </m:r>
      </m:oMath>
      <w:r>
        <w:rPr>
          <w:rFonts w:eastAsiaTheme="minorEastAsia"/>
          <w:lang w:val="it-IT"/>
        </w:rPr>
        <w:t xml:space="preserve"> si osserva che l’immobile </w:t>
      </w:r>
      <m:oMath>
        <m:r>
          <w:rPr>
            <w:rFonts w:ascii="Cambria Math" w:eastAsiaTheme="minorEastAsia" w:hAnsi="Cambria Math"/>
            <w:lang w:val="it-IT"/>
          </w:rPr>
          <m:t>i</m:t>
        </m:r>
      </m:oMath>
      <w:r>
        <w:rPr>
          <w:rFonts w:eastAsiaTheme="minorEastAsia"/>
          <w:lang w:val="it-IT"/>
        </w:rPr>
        <w:t xml:space="preserve"> è stato venduto al tempo </w:t>
      </w:r>
      <m:oMath>
        <m:sSub>
          <m:sSubPr>
            <m:ctrlPr>
              <w:rPr>
                <w:rFonts w:ascii="Cambria Math" w:eastAsiaTheme="minorEastAsia" w:hAnsi="Cambria Math"/>
                <w:i/>
                <w:lang w:val="it-IT"/>
              </w:rPr>
            </m:ctrlPr>
          </m:sSubPr>
          <m:e>
            <m:r>
              <w:rPr>
                <w:rFonts w:ascii="Cambria Math" w:eastAsiaTheme="minorEastAsia" w:hAnsi="Cambria Math"/>
                <w:lang w:val="it-IT"/>
              </w:rPr>
              <m:t>T</m:t>
            </m:r>
          </m:e>
          <m:sub>
            <m:r>
              <w:rPr>
                <w:rFonts w:ascii="Cambria Math" w:eastAsiaTheme="minorEastAsia" w:hAnsi="Cambria Math"/>
                <w:lang w:val="it-IT"/>
              </w:rPr>
              <m:t>i</m:t>
            </m:r>
          </m:sub>
        </m:sSub>
      </m:oMath>
      <w:r>
        <w:rPr>
          <w:rFonts w:eastAsiaTheme="minorEastAsia"/>
          <w:lang w:val="it-IT"/>
        </w:rPr>
        <w:t xml:space="preserve"> con un rendimento medio:</w:t>
      </w:r>
    </w:p>
    <w:p w14:paraId="0C726D37" w14:textId="3100ACF0" w:rsidR="00DF6560" w:rsidRPr="00550720" w:rsidRDefault="00004AB9" w:rsidP="00DF6560">
      <w:pPr>
        <w:jc w:val="center"/>
        <w:rPr>
          <w:rFonts w:eastAsiaTheme="minorEastAsia"/>
          <w:lang w:val="it-IT"/>
        </w:rPr>
      </w:pPr>
      <m:oMathPara>
        <m:oMath>
          <m:acc>
            <m:accPr>
              <m:ctrlPr>
                <w:rPr>
                  <w:rFonts w:ascii="Cambria Math" w:eastAsiaTheme="minorEastAsia" w:hAnsi="Cambria Math"/>
                  <w:i/>
                  <w:lang w:val="it-IT"/>
                </w:rPr>
              </m:ctrlPr>
            </m:accPr>
            <m:e>
              <m:r>
                <w:rPr>
                  <w:rFonts w:ascii="Cambria Math" w:eastAsiaTheme="minorEastAsia" w:hAnsi="Cambria Math"/>
                  <w:lang w:val="it-IT"/>
                </w:rPr>
                <m:t>r</m:t>
              </m:r>
            </m:e>
          </m:acc>
          <m:r>
            <w:rPr>
              <w:rFonts w:ascii="Cambria Math" w:eastAsiaTheme="minorEastAsia" w:hAnsi="Cambria Math"/>
              <w:lang w:val="it-IT"/>
            </w:rPr>
            <m:t>=</m:t>
          </m:r>
          <m:f>
            <m:fPr>
              <m:ctrlPr>
                <w:rPr>
                  <w:rFonts w:ascii="Cambria Math" w:eastAsiaTheme="minorEastAsia" w:hAnsi="Cambria Math"/>
                  <w:i/>
                  <w:lang w:val="it-IT"/>
                </w:rPr>
              </m:ctrlPr>
            </m:fPr>
            <m:num>
              <m:nary>
                <m:naryPr>
                  <m:chr m:val="∑"/>
                  <m:limLoc m:val="undOvr"/>
                  <m:ctrlPr>
                    <w:rPr>
                      <w:rFonts w:ascii="Cambria Math" w:eastAsiaTheme="minorEastAsia" w:hAnsi="Cambria Math"/>
                      <w:i/>
                      <w:lang w:val="it-IT"/>
                    </w:rPr>
                  </m:ctrlPr>
                </m:naryPr>
                <m:sub>
                  <m:r>
                    <w:rPr>
                      <w:rFonts w:ascii="Cambria Math" w:eastAsiaTheme="minorEastAsia" w:hAnsi="Cambria Math"/>
                      <w:lang w:val="it-IT"/>
                    </w:rPr>
                    <m:t>i=1</m:t>
                  </m:r>
                </m:sub>
                <m:sup>
                  <m:r>
                    <w:rPr>
                      <w:rFonts w:ascii="Cambria Math" w:eastAsiaTheme="minorEastAsia" w:hAnsi="Cambria Math"/>
                      <w:lang w:val="it-IT"/>
                    </w:rPr>
                    <m:t>T</m:t>
                  </m:r>
                </m:sup>
                <m:e>
                  <m:d>
                    <m:dPr>
                      <m:ctrlPr>
                        <w:rPr>
                          <w:rFonts w:ascii="Cambria Math" w:eastAsiaTheme="minorEastAsia" w:hAnsi="Cambria Math"/>
                          <w:i/>
                          <w:lang w:val="it-IT"/>
                        </w:rPr>
                      </m:ctrlPr>
                    </m:dPr>
                    <m:e>
                      <m:f>
                        <m:fPr>
                          <m:ctrlPr>
                            <w:rPr>
                              <w:rFonts w:ascii="Cambria Math" w:eastAsiaTheme="minorEastAsia" w:hAnsi="Cambria Math"/>
                              <w:i/>
                              <w:lang w:val="it-IT"/>
                            </w:rPr>
                          </m:ctrlPr>
                        </m:fPr>
                        <m:num>
                          <m:sSub>
                            <m:sSubPr>
                              <m:ctrlPr>
                                <w:rPr>
                                  <w:rFonts w:ascii="Cambria Math" w:eastAsiaTheme="minorEastAsia" w:hAnsi="Cambria Math"/>
                                  <w:i/>
                                  <w:lang w:val="it-IT"/>
                                </w:rPr>
                              </m:ctrlPr>
                            </m:sSubPr>
                            <m:e>
                              <m:r>
                                <w:rPr>
                                  <w:rFonts w:ascii="Cambria Math" w:eastAsiaTheme="minorEastAsia" w:hAnsi="Cambria Math"/>
                                  <w:lang w:val="it-IT"/>
                                </w:rPr>
                                <m:t>P</m:t>
                              </m:r>
                            </m:e>
                            <m:sub>
                              <m:r>
                                <w:rPr>
                                  <w:rFonts w:ascii="Cambria Math" w:eastAsiaTheme="minorEastAsia" w:hAnsi="Cambria Math"/>
                                  <w:lang w:val="it-IT"/>
                                </w:rPr>
                                <m:t>i</m:t>
                              </m:r>
                            </m:sub>
                          </m:sSub>
                          <m:r>
                            <w:rPr>
                              <w:rFonts w:ascii="Cambria Math" w:eastAsiaTheme="minorEastAsia" w:hAnsi="Cambria Math"/>
                              <w:lang w:val="it-IT"/>
                            </w:rPr>
                            <m:t>-</m:t>
                          </m:r>
                          <m:sSub>
                            <m:sSubPr>
                              <m:ctrlPr>
                                <w:rPr>
                                  <w:rFonts w:ascii="Cambria Math" w:eastAsiaTheme="minorEastAsia" w:hAnsi="Cambria Math"/>
                                  <w:i/>
                                  <w:lang w:val="it-IT"/>
                                </w:rPr>
                              </m:ctrlPr>
                            </m:sSubPr>
                            <m:e>
                              <m:r>
                                <w:rPr>
                                  <w:rFonts w:ascii="Cambria Math" w:eastAsiaTheme="minorEastAsia" w:hAnsi="Cambria Math"/>
                                  <w:lang w:val="it-IT"/>
                                </w:rPr>
                                <m:t>P</m:t>
                              </m:r>
                            </m:e>
                            <m:sub>
                              <m:r>
                                <w:rPr>
                                  <w:rFonts w:ascii="Cambria Math" w:eastAsiaTheme="minorEastAsia" w:hAnsi="Cambria Math"/>
                                  <w:lang w:val="it-IT"/>
                                </w:rPr>
                                <m:t>i-1</m:t>
                              </m:r>
                            </m:sub>
                          </m:sSub>
                        </m:num>
                        <m:den>
                          <m:sSub>
                            <m:sSubPr>
                              <m:ctrlPr>
                                <w:rPr>
                                  <w:rFonts w:ascii="Cambria Math" w:eastAsiaTheme="minorEastAsia" w:hAnsi="Cambria Math"/>
                                  <w:i/>
                                  <w:lang w:val="it-IT"/>
                                </w:rPr>
                              </m:ctrlPr>
                            </m:sSubPr>
                            <m:e>
                              <m:r>
                                <w:rPr>
                                  <w:rFonts w:ascii="Cambria Math" w:eastAsiaTheme="minorEastAsia" w:hAnsi="Cambria Math"/>
                                  <w:lang w:val="it-IT"/>
                                </w:rPr>
                                <m:t>P</m:t>
                              </m:r>
                            </m:e>
                            <m:sub>
                              <m:r>
                                <w:rPr>
                                  <w:rFonts w:ascii="Cambria Math" w:eastAsiaTheme="minorEastAsia" w:hAnsi="Cambria Math"/>
                                  <w:lang w:val="it-IT"/>
                                </w:rPr>
                                <m:t>i-1</m:t>
                              </m:r>
                            </m:sub>
                          </m:sSub>
                        </m:den>
                      </m:f>
                    </m:e>
                  </m:d>
                </m:e>
              </m:nary>
            </m:num>
            <m:den>
              <m:r>
                <w:rPr>
                  <w:rFonts w:ascii="Cambria Math" w:eastAsiaTheme="minorEastAsia" w:hAnsi="Cambria Math"/>
                  <w:lang w:val="it-IT"/>
                </w:rPr>
                <m:t>n</m:t>
              </m:r>
            </m:den>
          </m:f>
        </m:oMath>
      </m:oMathPara>
    </w:p>
    <w:p w14:paraId="4BA69E88" w14:textId="487663E7" w:rsidR="00550720" w:rsidRDefault="00550720" w:rsidP="00550720">
      <w:pPr>
        <w:jc w:val="both"/>
        <w:rPr>
          <w:rFonts w:eastAsiaTheme="minorEastAsia"/>
          <w:lang w:val="it-IT"/>
        </w:rPr>
      </w:pPr>
      <w:r>
        <w:rPr>
          <w:rFonts w:eastAsiaTheme="minorEastAsia"/>
          <w:lang w:val="it-IT"/>
        </w:rPr>
        <w:t xml:space="preserve">E si noti che solo ex-post </w:t>
      </w:r>
      <m:oMath>
        <m:r>
          <w:rPr>
            <w:rFonts w:ascii="Cambria Math" w:eastAsiaTheme="minorEastAsia" w:hAnsi="Cambria Math"/>
            <w:lang w:val="it-IT"/>
          </w:rPr>
          <m:t>n</m:t>
        </m:r>
      </m:oMath>
      <w:r>
        <w:rPr>
          <w:rFonts w:eastAsiaTheme="minorEastAsia"/>
          <w:lang w:val="it-IT"/>
        </w:rPr>
        <w:t xml:space="preserve"> è conosciuto. </w:t>
      </w:r>
      <w:r w:rsidR="00BD5548">
        <w:rPr>
          <w:rFonts w:eastAsiaTheme="minorEastAsia"/>
          <w:lang w:val="it-IT"/>
        </w:rPr>
        <w:t xml:space="preserve">Quindi guardando indietro il tempo ed il numero di asset venduti sono variabile completamente deterministiche. Ma tuttavia, mettendosi al tempo </w:t>
      </w:r>
      <m:oMath>
        <m:sSub>
          <m:sSubPr>
            <m:ctrlPr>
              <w:rPr>
                <w:rFonts w:ascii="Cambria Math" w:eastAsiaTheme="minorEastAsia" w:hAnsi="Cambria Math"/>
                <w:i/>
                <w:lang w:val="it-IT"/>
              </w:rPr>
            </m:ctrlPr>
          </m:sSubPr>
          <m:e>
            <m:r>
              <w:rPr>
                <w:rFonts w:ascii="Cambria Math" w:eastAsiaTheme="minorEastAsia" w:hAnsi="Cambria Math"/>
                <w:lang w:val="it-IT"/>
              </w:rPr>
              <m:t>T</m:t>
            </m:r>
          </m:e>
          <m:sub>
            <m:r>
              <w:rPr>
                <w:rFonts w:ascii="Cambria Math" w:eastAsiaTheme="minorEastAsia" w:hAnsi="Cambria Math"/>
                <w:lang w:val="it-IT"/>
              </w:rPr>
              <m:t>H</m:t>
            </m:r>
          </m:sub>
        </m:sSub>
      </m:oMath>
      <w:r w:rsidR="00BD5548">
        <w:rPr>
          <w:rFonts w:eastAsiaTheme="minorEastAsia"/>
          <w:lang w:val="it-IT"/>
        </w:rPr>
        <w:t>, il tempo in cui questi asset verranno venduti non è conosciuto. È facile capire quindi come nel momento in cui il proprietario di un immobile vende sul mercato il proprio bene esso debba affrontare due tipologie di rischi: il rischio di prezzo e il rischio del markeitng period</w:t>
      </w:r>
      <w:r w:rsidR="00597DDA">
        <w:rPr>
          <w:rFonts w:eastAsiaTheme="minorEastAsia"/>
          <w:lang w:val="it-IT"/>
        </w:rPr>
        <w:t xml:space="preserve"> (</w:t>
      </w:r>
      <w:r w:rsidR="00597DDA" w:rsidRPr="00597DDA">
        <w:rPr>
          <w:rFonts w:eastAsiaTheme="minorEastAsia"/>
          <w:b/>
          <w:bCs/>
          <w:lang w:val="it-IT"/>
        </w:rPr>
        <w:t>liquidity bias</w:t>
      </w:r>
      <w:r w:rsidR="00597DDA">
        <w:rPr>
          <w:rFonts w:eastAsiaTheme="minorEastAsia"/>
          <w:lang w:val="it-IT"/>
        </w:rPr>
        <w:t>)</w:t>
      </w:r>
      <w:r w:rsidR="00BD5548">
        <w:rPr>
          <w:rFonts w:eastAsiaTheme="minorEastAsia"/>
          <w:lang w:val="it-IT"/>
        </w:rPr>
        <w:t xml:space="preserve">. </w:t>
      </w:r>
    </w:p>
    <w:p w14:paraId="735D7159" w14:textId="77ABD217" w:rsidR="00DF3D24" w:rsidRDefault="00DF3D24" w:rsidP="00550720">
      <w:pPr>
        <w:jc w:val="both"/>
        <w:rPr>
          <w:rFonts w:eastAsiaTheme="minorEastAsia"/>
          <w:lang w:val="it-IT"/>
        </w:rPr>
      </w:pPr>
      <w:r>
        <w:rPr>
          <w:rFonts w:eastAsiaTheme="minorEastAsia"/>
          <w:lang w:val="it-IT"/>
        </w:rPr>
        <w:t xml:space="preserve">È importante sottolineare come nel mercato finanziario centralizzato, dal momento che il tempo per scambiare un titolo è minimo, il rischio associato con lag temporali di scambio può essere ignorato. </w:t>
      </w:r>
    </w:p>
    <w:p w14:paraId="15A7A722" w14:textId="5515C33F" w:rsidR="007D4B42" w:rsidRDefault="007D4B42" w:rsidP="007D4B42">
      <w:pPr>
        <w:pStyle w:val="Heading4"/>
        <w:rPr>
          <w:rFonts w:eastAsiaTheme="minorEastAsia"/>
          <w:lang w:val="it-IT"/>
        </w:rPr>
      </w:pPr>
      <w:r>
        <w:rPr>
          <w:rFonts w:eastAsiaTheme="minorEastAsia"/>
          <w:lang w:val="it-IT"/>
        </w:rPr>
        <w:t>Valuation Bias</w:t>
      </w:r>
    </w:p>
    <w:p w14:paraId="2F1F2F51" w14:textId="0FCFB25A" w:rsidR="007D4B42" w:rsidRDefault="007D4B42" w:rsidP="007D4B42">
      <w:pPr>
        <w:rPr>
          <w:lang w:val="it-IT"/>
        </w:rPr>
      </w:pPr>
    </w:p>
    <w:p w14:paraId="2DF9F107" w14:textId="60B3CBE5" w:rsidR="007D4B42" w:rsidRDefault="007D4B42" w:rsidP="007D4B42">
      <w:pPr>
        <w:rPr>
          <w:rFonts w:eastAsiaTheme="minorEastAsia"/>
          <w:lang w:val="it-IT"/>
        </w:rPr>
      </w:pPr>
      <w:r>
        <w:rPr>
          <w:lang w:val="it-IT"/>
        </w:rPr>
        <w:t xml:space="preserve">Nel mercato finanziario, dal momento che gli investitori possono vendere i propri titoli sul mercato ai prezzi osservati in ogni momento, il prezzo storico al tempo </w:t>
      </w:r>
      <m:oMath>
        <m:r>
          <w:rPr>
            <w:rFonts w:ascii="Cambria Math" w:hAnsi="Cambria Math"/>
            <w:lang w:val="it-IT"/>
          </w:rPr>
          <m:t>t</m:t>
        </m:r>
      </m:oMath>
      <w:r>
        <w:rPr>
          <w:rFonts w:eastAsiaTheme="minorEastAsia"/>
          <w:lang w:val="it-IT"/>
        </w:rPr>
        <w:t xml:space="preserve"> rappresenta </w:t>
      </w:r>
      <w:r w:rsidR="00F71BE3">
        <w:rPr>
          <w:rFonts w:eastAsiaTheme="minorEastAsia"/>
          <w:lang w:val="it-IT"/>
        </w:rPr>
        <w:t>il prezzo effettivo, ovvero il prezzo a cui un venditore potrebbe scambiare in quel momento. Tuttavia, nel mercato immobiliare, come detto nel paragrafo precedente, vi è incertezza riguardo la durata del marketing period. Da qui nascono quindi due importanti differenze fra le due asset class:</w:t>
      </w:r>
    </w:p>
    <w:p w14:paraId="6BC11345" w14:textId="77777777" w:rsidR="00B51B01" w:rsidRDefault="00F71BE3" w:rsidP="005879DB">
      <w:pPr>
        <w:pStyle w:val="ListParagraph"/>
        <w:numPr>
          <w:ilvl w:val="0"/>
          <w:numId w:val="10"/>
        </w:numPr>
        <w:rPr>
          <w:lang w:val="it-IT"/>
        </w:rPr>
      </w:pPr>
      <w:r>
        <w:rPr>
          <w:lang w:val="it-IT"/>
        </w:rPr>
        <w:t>In ogni periodo, solo una piccola porzione di immobili viene effettivamente venduta e quindi tolta dal mercato. I transaction price (prezzi di transazione)</w:t>
      </w:r>
      <w:r w:rsidR="00B51B01">
        <w:rPr>
          <w:lang w:val="it-IT"/>
        </w:rPr>
        <w:t xml:space="preserve"> al tempo </w:t>
      </w:r>
      <w:r w:rsidR="00B51B01">
        <w:rPr>
          <w:i/>
          <w:iCs/>
          <w:lang w:val="it-IT"/>
        </w:rPr>
        <w:t>t</w:t>
      </w:r>
      <w:r w:rsidR="00B51B01">
        <w:rPr>
          <w:lang w:val="it-IT"/>
        </w:rPr>
        <w:t xml:space="preserve"> riflettono solo i prezzi degli immobili venduti in quel momento; tuttavia, potrebbero non rappresentare i prezzi di immobili simili ancora sul mercato in attesa di essere venduti. </w:t>
      </w:r>
    </w:p>
    <w:p w14:paraId="6CA1F09F" w14:textId="04DF2442" w:rsidR="00F71BE3" w:rsidRPr="00F71BE3" w:rsidRDefault="00B51B01" w:rsidP="005879DB">
      <w:pPr>
        <w:pStyle w:val="ListParagraph"/>
        <w:numPr>
          <w:ilvl w:val="0"/>
          <w:numId w:val="10"/>
        </w:numPr>
        <w:rPr>
          <w:lang w:val="it-IT"/>
        </w:rPr>
      </w:pPr>
      <w:r>
        <w:rPr>
          <w:lang w:val="it-IT"/>
        </w:rPr>
        <w:t xml:space="preserve">Gli investitori RE verosimilmente aspettano a lungo prima di vedere il proprio asset liquidato, al contrario del mercato finanziario. Quindi il prezzo delle proprietà vendute al tempo </w:t>
      </w:r>
      <w:r>
        <w:rPr>
          <w:i/>
          <w:iCs/>
          <w:lang w:val="it-IT"/>
        </w:rPr>
        <w:t xml:space="preserve">t </w:t>
      </w:r>
      <w:r>
        <w:rPr>
          <w:lang w:val="it-IT"/>
        </w:rPr>
        <w:t xml:space="preserve">potrebbe non riflettere il prezzo degli altri immobili appena messi sul mercato. In altre parole, il transaction price al tempo </w:t>
      </w:r>
      <w:r>
        <w:rPr>
          <w:i/>
          <w:iCs/>
          <w:lang w:val="it-IT"/>
        </w:rPr>
        <w:t xml:space="preserve">t </w:t>
      </w:r>
      <w:r>
        <w:rPr>
          <w:lang w:val="it-IT"/>
        </w:rPr>
        <w:t xml:space="preserve">non rappresenta il prezzo a cui un qualunque venditore potrebbe scambiare in quel momento.  </w:t>
      </w:r>
    </w:p>
    <w:p w14:paraId="713AF695" w14:textId="0D40F8C6" w:rsidR="007D4B42" w:rsidRPr="007D4B42" w:rsidRDefault="00280945" w:rsidP="007D4B42">
      <w:pPr>
        <w:rPr>
          <w:lang w:val="it-IT"/>
        </w:rPr>
      </w:pPr>
      <w:r>
        <w:rPr>
          <w:lang w:val="it-IT"/>
        </w:rPr>
        <w:t xml:space="preserve">Il time lag è importante poiché incide molto sull’apprezzamento degli immobili. Un invesitore che ha bisogno di liquidare la posizione immediatamente sarà disposto a far scendere il MAP, e quindi il transaction price, solo per non dover aspettare, non per un cambiamento nella valutazioen del proprio asset. </w:t>
      </w:r>
    </w:p>
    <w:p w14:paraId="1D664E3C" w14:textId="7A270544" w:rsidR="00081B99" w:rsidRDefault="00081B99" w:rsidP="00081B99">
      <w:pPr>
        <w:jc w:val="center"/>
        <w:rPr>
          <w:lang w:val="it-IT"/>
        </w:rPr>
      </w:pPr>
      <w:r>
        <w:rPr>
          <w:noProof/>
        </w:rPr>
        <w:drawing>
          <wp:inline distT="0" distB="0" distL="0" distR="0" wp14:anchorId="5269EAC0" wp14:editId="224CDF80">
            <wp:extent cx="3219450" cy="1885950"/>
            <wp:effectExtent l="0" t="0" r="0" b="0"/>
            <wp:docPr id="15" name="Picture 15" descr="A picture containing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Word&#10;&#10;Description automatically generated"/>
                    <pic:cNvPicPr/>
                  </pic:nvPicPr>
                  <pic:blipFill rotWithShape="1">
                    <a:blip r:embed="rId18"/>
                    <a:srcRect l="10997" t="56684" r="36398" b="18988"/>
                    <a:stretch/>
                  </pic:blipFill>
                  <pic:spPr bwMode="auto">
                    <a:xfrm>
                      <a:off x="0" y="0"/>
                      <a:ext cx="3219450" cy="1885950"/>
                    </a:xfrm>
                    <a:prstGeom prst="rect">
                      <a:avLst/>
                    </a:prstGeom>
                    <a:ln>
                      <a:noFill/>
                    </a:ln>
                    <a:extLst>
                      <a:ext uri="{53640926-AAD7-44D8-BBD7-CCE9431645EC}">
                        <a14:shadowObscured xmlns:a14="http://schemas.microsoft.com/office/drawing/2010/main"/>
                      </a:ext>
                    </a:extLst>
                  </pic:spPr>
                </pic:pic>
              </a:graphicData>
            </a:graphic>
          </wp:inline>
        </w:drawing>
      </w:r>
    </w:p>
    <w:p w14:paraId="460204C1" w14:textId="2D99422C" w:rsidR="00081B99" w:rsidRDefault="00081B99" w:rsidP="00081B99">
      <w:pPr>
        <w:jc w:val="center"/>
        <w:rPr>
          <w:lang w:val="it-IT"/>
        </w:rPr>
      </w:pPr>
      <w:r>
        <w:rPr>
          <w:lang w:val="it-IT"/>
        </w:rPr>
        <w:t>Figura 1</w:t>
      </w:r>
      <w:r w:rsidR="004478D2">
        <w:rPr>
          <w:lang w:val="it-IT"/>
        </w:rPr>
        <w:t>4</w:t>
      </w:r>
    </w:p>
    <w:p w14:paraId="582D64A2" w14:textId="09F8CA25" w:rsidR="00081B99" w:rsidRDefault="00081B99" w:rsidP="00081B99">
      <w:pPr>
        <w:jc w:val="both"/>
        <w:rPr>
          <w:lang w:val="it-IT"/>
        </w:rPr>
      </w:pPr>
      <w:r>
        <w:rPr>
          <w:lang w:val="it-IT"/>
        </w:rPr>
        <w:lastRenderedPageBreak/>
        <w:t xml:space="preserve">La Figura 13 illustra la relazione tra la distribuzione dei prezzi offerti (bidding prices) e dei prezzi andati a buon fine e trasformati in transazioni (transaction prices). </w:t>
      </w:r>
    </w:p>
    <w:p w14:paraId="353D6EF6" w14:textId="2E6B9018" w:rsidR="00E40497" w:rsidRDefault="00081B99" w:rsidP="00081B99">
      <w:pPr>
        <w:jc w:val="both"/>
        <w:rPr>
          <w:rFonts w:eastAsiaTheme="minorEastAsia"/>
          <w:lang w:val="it-IT"/>
        </w:rPr>
      </w:pPr>
      <w:r>
        <w:rPr>
          <w:lang w:val="it-IT"/>
        </w:rPr>
        <w:t xml:space="preserve">In ogni istante </w:t>
      </w:r>
      <m:oMath>
        <m:r>
          <w:rPr>
            <w:rFonts w:ascii="Cambria Math" w:hAnsi="Cambria Math"/>
            <w:lang w:val="it-IT"/>
          </w:rPr>
          <m:t>t</m:t>
        </m:r>
      </m:oMath>
      <w:r>
        <w:rPr>
          <w:rFonts w:eastAsiaTheme="minorEastAsia"/>
          <w:lang w:val="it-IT"/>
        </w:rPr>
        <w:t xml:space="preserve"> si supponga che i bidding prices si distribuiscano tra B e A, dove </w:t>
      </w:r>
      <m:oMath>
        <m:bar>
          <m:barPr>
            <m:ctrlPr>
              <w:rPr>
                <w:rFonts w:ascii="Cambria Math" w:eastAsiaTheme="minorEastAsia" w:hAnsi="Cambria Math"/>
                <w:i/>
                <w:lang w:val="it-IT"/>
              </w:rPr>
            </m:ctrlPr>
          </m:barPr>
          <m:e>
            <m:sSub>
              <m:sSubPr>
                <m:ctrlPr>
                  <w:rPr>
                    <w:rFonts w:ascii="Cambria Math" w:eastAsiaTheme="minorEastAsia" w:hAnsi="Cambria Math"/>
                    <w:i/>
                    <w:lang w:val="it-IT"/>
                  </w:rPr>
                </m:ctrlPr>
              </m:sSubPr>
              <m:e>
                <m:r>
                  <w:rPr>
                    <w:rFonts w:ascii="Cambria Math" w:eastAsiaTheme="minorEastAsia" w:hAnsi="Cambria Math"/>
                    <w:lang w:val="it-IT"/>
                  </w:rPr>
                  <m:t>P</m:t>
                </m:r>
              </m:e>
              <m:sub>
                <m:r>
                  <w:rPr>
                    <w:rFonts w:ascii="Cambria Math" w:eastAsiaTheme="minorEastAsia" w:hAnsi="Cambria Math"/>
                    <w:lang w:val="it-IT"/>
                  </w:rPr>
                  <m:t>t</m:t>
                </m:r>
              </m:sub>
            </m:sSub>
          </m:e>
        </m:bar>
      </m:oMath>
      <w:r>
        <w:rPr>
          <w:rFonts w:eastAsiaTheme="minorEastAsia"/>
          <w:lang w:val="it-IT"/>
        </w:rPr>
        <w:t xml:space="preserve"> </w:t>
      </w:r>
      <w:r w:rsidR="00E40497">
        <w:rPr>
          <w:rFonts w:eastAsiaTheme="minorEastAsia"/>
          <w:lang w:val="it-IT"/>
        </w:rPr>
        <w:t xml:space="preserve">è un possibile minimo bidding price mentre </w:t>
      </w:r>
      <m:oMath>
        <m:bar>
          <m:barPr>
            <m:pos m:val="top"/>
            <m:ctrlPr>
              <w:rPr>
                <w:rFonts w:ascii="Cambria Math" w:eastAsiaTheme="minorEastAsia" w:hAnsi="Cambria Math"/>
                <w:i/>
                <w:lang w:val="it-IT"/>
              </w:rPr>
            </m:ctrlPr>
          </m:barPr>
          <m:e>
            <m:sSub>
              <m:sSubPr>
                <m:ctrlPr>
                  <w:rPr>
                    <w:rFonts w:ascii="Cambria Math" w:eastAsiaTheme="minorEastAsia" w:hAnsi="Cambria Math"/>
                    <w:i/>
                    <w:lang w:val="it-IT"/>
                  </w:rPr>
                </m:ctrlPr>
              </m:sSubPr>
              <m:e>
                <m:r>
                  <w:rPr>
                    <w:rFonts w:ascii="Cambria Math" w:eastAsiaTheme="minorEastAsia" w:hAnsi="Cambria Math"/>
                    <w:lang w:val="it-IT"/>
                  </w:rPr>
                  <m:t>P</m:t>
                </m:r>
              </m:e>
              <m:sub>
                <m:r>
                  <w:rPr>
                    <w:rFonts w:ascii="Cambria Math" w:eastAsiaTheme="minorEastAsia" w:hAnsi="Cambria Math"/>
                    <w:lang w:val="it-IT"/>
                  </w:rPr>
                  <m:t>t</m:t>
                </m:r>
              </m:sub>
            </m:sSub>
          </m:e>
        </m:bar>
      </m:oMath>
      <w:r w:rsidR="00E40497">
        <w:rPr>
          <w:rFonts w:eastAsiaTheme="minorEastAsia"/>
          <w:lang w:val="it-IT"/>
        </w:rPr>
        <w:t xml:space="preserve"> è un p</w:t>
      </w:r>
      <w:r w:rsidR="003426EC">
        <w:rPr>
          <w:rFonts w:eastAsiaTheme="minorEastAsia"/>
          <w:lang w:val="it-IT"/>
        </w:rPr>
        <w:t>ossibile massimo bidding price.</w:t>
      </w:r>
    </w:p>
    <w:p w14:paraId="286F959B" w14:textId="5A8D30C0" w:rsidR="00081B99" w:rsidRDefault="00E40497" w:rsidP="00081B99">
      <w:pPr>
        <w:jc w:val="both"/>
        <w:rPr>
          <w:rFonts w:eastAsiaTheme="minorEastAsia"/>
          <w:lang w:val="it-IT"/>
        </w:rPr>
      </w:pPr>
      <w:r>
        <w:rPr>
          <w:rFonts w:eastAsiaTheme="minorEastAsia"/>
          <w:lang w:val="it-IT"/>
        </w:rPr>
        <w:t xml:space="preserve">Ci sono due importanti takeaways nella Figura 13. Il primo è che il transaction price è un bidding price sopra il MAP. </w:t>
      </w:r>
      <w:r w:rsidR="00863CBB">
        <w:rPr>
          <w:rFonts w:eastAsiaTheme="minorEastAsia"/>
          <w:lang w:val="it-IT"/>
        </w:rPr>
        <w:t xml:space="preserve">Dunque, il transaction price atteso </w:t>
      </w:r>
      <w:r w:rsidR="00372654">
        <w:rPr>
          <w:rFonts w:eastAsiaTheme="minorEastAsia"/>
          <w:lang w:val="it-IT"/>
        </w:rPr>
        <w:t>molto probabilmente è più alto del bidding price atteso lungo la linea temporale. Il secondo è che l’investitore che subisce uno shock di liquidità e deve vendere il suo immobile in tempo breve verosimilmente si aspetta di ricevere un prezzo dalla distribuzione dei bidding price che non quella dei transaction price. In altre parole vi potrebbe essere un bias se il suo rischio e rendimento vengono stimati dai transaction price. Questo bias viene chiamato “</w:t>
      </w:r>
      <w:r w:rsidR="00372654" w:rsidRPr="00597DDA">
        <w:rPr>
          <w:rFonts w:eastAsiaTheme="minorEastAsia"/>
          <w:b/>
          <w:bCs/>
          <w:lang w:val="it-IT"/>
        </w:rPr>
        <w:t>valuation bias</w:t>
      </w:r>
      <w:r w:rsidR="00372654">
        <w:rPr>
          <w:rFonts w:eastAsiaTheme="minorEastAsia"/>
          <w:lang w:val="it-IT"/>
        </w:rPr>
        <w:t>”</w:t>
      </w:r>
      <w:r w:rsidR="00CF702A">
        <w:rPr>
          <w:rFonts w:eastAsiaTheme="minorEastAsia"/>
          <w:lang w:val="it-IT"/>
        </w:rPr>
        <w:t xml:space="preserve"> e può essere inteso come il valore del tempo che l’asset rimane sul mercato prima di essere venduto.</w:t>
      </w:r>
    </w:p>
    <w:p w14:paraId="75942D2F" w14:textId="53958834" w:rsidR="00CF702A" w:rsidRDefault="00CF702A" w:rsidP="00CF702A">
      <w:pPr>
        <w:jc w:val="center"/>
        <w:rPr>
          <w:rFonts w:eastAsiaTheme="minorEastAsia"/>
          <w:lang w:val="it-IT"/>
        </w:rPr>
      </w:pPr>
      <w:r>
        <w:rPr>
          <w:noProof/>
        </w:rPr>
        <w:drawing>
          <wp:inline distT="0" distB="0" distL="0" distR="0" wp14:anchorId="68693FFE" wp14:editId="63F54644">
            <wp:extent cx="3714750" cy="2676525"/>
            <wp:effectExtent l="0" t="0" r="0" b="952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rotWithShape="1">
                    <a:blip r:embed="rId19"/>
                    <a:srcRect l="4565" t="29735" r="14505" b="24230"/>
                    <a:stretch/>
                  </pic:blipFill>
                  <pic:spPr bwMode="auto">
                    <a:xfrm>
                      <a:off x="0" y="0"/>
                      <a:ext cx="3719295" cy="2679800"/>
                    </a:xfrm>
                    <a:prstGeom prst="rect">
                      <a:avLst/>
                    </a:prstGeom>
                    <a:ln>
                      <a:noFill/>
                    </a:ln>
                    <a:extLst>
                      <a:ext uri="{53640926-AAD7-44D8-BBD7-CCE9431645EC}">
                        <a14:shadowObscured xmlns:a14="http://schemas.microsoft.com/office/drawing/2010/main"/>
                      </a:ext>
                    </a:extLst>
                  </pic:spPr>
                </pic:pic>
              </a:graphicData>
            </a:graphic>
          </wp:inline>
        </w:drawing>
      </w:r>
    </w:p>
    <w:p w14:paraId="2A970324" w14:textId="037921B1" w:rsidR="00CF702A" w:rsidRDefault="00CF702A" w:rsidP="00CF702A">
      <w:pPr>
        <w:jc w:val="center"/>
        <w:rPr>
          <w:rFonts w:eastAsiaTheme="minorEastAsia"/>
          <w:lang w:val="it-IT"/>
        </w:rPr>
      </w:pPr>
      <w:r>
        <w:rPr>
          <w:rFonts w:eastAsiaTheme="minorEastAsia"/>
          <w:lang w:val="it-IT"/>
        </w:rPr>
        <w:t>Figura 1</w:t>
      </w:r>
      <w:r w:rsidR="004478D2">
        <w:rPr>
          <w:rFonts w:eastAsiaTheme="minorEastAsia"/>
          <w:lang w:val="it-IT"/>
        </w:rPr>
        <w:t>5</w:t>
      </w:r>
    </w:p>
    <w:p w14:paraId="287B4B06" w14:textId="51FFACB3" w:rsidR="00CF702A" w:rsidRDefault="00CF702A" w:rsidP="00081B99">
      <w:pPr>
        <w:jc w:val="both"/>
        <w:rPr>
          <w:rFonts w:eastAsiaTheme="minorEastAsia"/>
          <w:lang w:val="it-IT"/>
        </w:rPr>
      </w:pPr>
      <w:r>
        <w:rPr>
          <w:lang w:val="it-IT"/>
        </w:rPr>
        <w:t xml:space="preserve">È possibile </w:t>
      </w:r>
      <w:r w:rsidR="00597DDA">
        <w:rPr>
          <w:lang w:val="it-IT"/>
        </w:rPr>
        <w:t xml:space="preserve">capire meglio la relazione fra il liquidity bias e il valuation bias in Figura 14. Con la presenza del rischio di marketing period (il marketing period può essere indicato come una variabile casuale </w:t>
      </w:r>
      <m:oMath>
        <m:acc>
          <m:accPr>
            <m:chr m:val="̃"/>
            <m:ctrlPr>
              <w:rPr>
                <w:rFonts w:ascii="Cambria Math" w:hAnsi="Cambria Math"/>
                <w:i/>
                <w:lang w:val="it-IT"/>
              </w:rPr>
            </m:ctrlPr>
          </m:accPr>
          <m:e>
            <m:r>
              <w:rPr>
                <w:rFonts w:ascii="Cambria Math" w:hAnsi="Cambria Math"/>
                <w:lang w:val="it-IT"/>
              </w:rPr>
              <m:t>t</m:t>
            </m:r>
          </m:e>
        </m:acc>
        <m:r>
          <w:rPr>
            <w:rFonts w:ascii="Cambria Math" w:eastAsiaTheme="minorEastAsia" w:hAnsi="Cambria Math"/>
            <w:lang w:val="it-IT"/>
          </w:rPr>
          <m:t>&gt;0</m:t>
        </m:r>
      </m:oMath>
      <w:r w:rsidR="00597DDA">
        <w:rPr>
          <w:rFonts w:eastAsiaTheme="minorEastAsia"/>
          <w:lang w:val="it-IT"/>
        </w:rPr>
        <w:t xml:space="preserve">), gli investitori immobiliari devono affrontare sia il rischio legato ai transaction price sia quello legato al marketing period. </w:t>
      </w:r>
      <w:r w:rsidR="00526958">
        <w:rPr>
          <w:rFonts w:eastAsiaTheme="minorEastAsia"/>
          <w:lang w:val="it-IT"/>
        </w:rPr>
        <w:t xml:space="preserve">Il liquidity risk è dato dal fatto che i prezzi immobiliari in ogni istante non riescono a tenere conto anche del rischio di marketing period, mentre il valuation bias entra in gioco nel momento in cui i transaction price vengono applicati agli investitori che vendono velocemente. </w:t>
      </w:r>
    </w:p>
    <w:p w14:paraId="58912305" w14:textId="60C2B409" w:rsidR="00FD4C1F" w:rsidRDefault="00FD4C1F" w:rsidP="00081B99">
      <w:pPr>
        <w:jc w:val="both"/>
        <w:rPr>
          <w:rFonts w:eastAsiaTheme="minorEastAsia"/>
          <w:lang w:val="it-IT"/>
        </w:rPr>
      </w:pPr>
      <w:r w:rsidRPr="00FD4C1F">
        <w:rPr>
          <w:rFonts w:eastAsiaTheme="minorEastAsia"/>
          <w:highlight w:val="yellow"/>
          <w:lang w:val="it-IT"/>
        </w:rPr>
        <w:t xml:space="preserve">Modello </w:t>
      </w:r>
      <w:r w:rsidR="001D03D6">
        <w:rPr>
          <w:rFonts w:eastAsiaTheme="minorEastAsia"/>
          <w:highlight w:val="yellow"/>
          <w:lang w:val="it-IT"/>
        </w:rPr>
        <w:t>matematico</w:t>
      </w:r>
      <w:r w:rsidRPr="00FD4C1F">
        <w:rPr>
          <w:rFonts w:eastAsiaTheme="minorEastAsia"/>
          <w:highlight w:val="yellow"/>
          <w:lang w:val="it-IT"/>
        </w:rPr>
        <w:t>?</w:t>
      </w:r>
    </w:p>
    <w:p w14:paraId="100831D6" w14:textId="00289D5D" w:rsidR="00FD4C1F" w:rsidRDefault="00FD4C1F" w:rsidP="00081B99">
      <w:pPr>
        <w:jc w:val="both"/>
        <w:rPr>
          <w:lang w:val="it-IT"/>
        </w:rPr>
      </w:pPr>
      <w:r>
        <w:rPr>
          <w:lang w:val="it-IT"/>
        </w:rPr>
        <w:t xml:space="preserve">Lo studio di Z. Lin si conclude quindi dimostrando che il rischio ex-ante è sostanzialmente maggiore di quello calcolato </w:t>
      </w:r>
      <w:r w:rsidR="003426EC">
        <w:rPr>
          <w:lang w:val="it-IT"/>
        </w:rPr>
        <w:t>con le tecniche attuali</w:t>
      </w:r>
      <w:r>
        <w:rPr>
          <w:lang w:val="it-IT"/>
        </w:rPr>
        <w:t xml:space="preserve"> ex-post. Nel caso del mercato USA il rischio per investitori di breve termine nel mercato RE può essere fino a 4 volte più alto rispetto a quello ricavato con le valutazioni attuali. Inoltre, si conclude che i rendimenti ex-ante sono minori di quelli ex-post. </w:t>
      </w:r>
    </w:p>
    <w:p w14:paraId="63A40E65" w14:textId="63951746" w:rsidR="000F60CF" w:rsidRPr="00764C29" w:rsidRDefault="00FD4C1F" w:rsidP="00081B99">
      <w:pPr>
        <w:jc w:val="both"/>
        <w:rPr>
          <w:lang w:val="it-IT"/>
        </w:rPr>
      </w:pPr>
      <w:r>
        <w:rPr>
          <w:lang w:val="it-IT"/>
        </w:rPr>
        <w:t>È quindi importante notare che togliendo il rischio di liquidità e i transaction costs si avrebbero rendimen</w:t>
      </w:r>
      <w:r w:rsidR="003426EC">
        <w:rPr>
          <w:lang w:val="it-IT"/>
        </w:rPr>
        <w:t>ti più alti e rischi più bassi.</w:t>
      </w:r>
      <w:r w:rsidR="000F60CF">
        <w:rPr>
          <w:lang w:val="it-IT"/>
        </w:rPr>
        <w:t xml:space="preserve"> Infatti, </w:t>
      </w:r>
      <w:r w:rsidR="000F60CF" w:rsidRPr="000F60CF">
        <w:rPr>
          <w:lang w:val="it-IT"/>
        </w:rPr>
        <w:t>Aswath Damodaran</w:t>
      </w:r>
      <w:r w:rsidR="000F60CF">
        <w:rPr>
          <w:lang w:val="it-IT"/>
        </w:rPr>
        <w:t xml:space="preserve"> dimostrò nel 2005 con il suo “</w:t>
      </w:r>
      <w:r w:rsidR="000F60CF" w:rsidRPr="000F60CF">
        <w:rPr>
          <w:lang w:val="it-IT"/>
        </w:rPr>
        <w:t>Marketability and Value: Measuring the Illiquidity Discount</w:t>
      </w:r>
      <w:r w:rsidR="000F60CF">
        <w:rPr>
          <w:lang w:val="it-IT"/>
        </w:rPr>
        <w:t xml:space="preserve">” che le società quotate in borsa presentano un premio di liquidità superiore del 20-30% rispetto alle società non quotate. Questo premio è ascrivibile alla maggiore efficienza del mercato risultante da un incremento nel numero di partecipanti a parità di altre condizioni, volumi di transazioni più importanti, spread minori e un impatto inferiore sui prezzi. </w:t>
      </w:r>
    </w:p>
    <w:p w14:paraId="452F1D2A" w14:textId="020249C1" w:rsidR="00355894" w:rsidRDefault="00355894" w:rsidP="00355894">
      <w:pPr>
        <w:pStyle w:val="Heading2"/>
        <w:rPr>
          <w:rFonts w:eastAsiaTheme="minorEastAsia"/>
          <w:lang w:val="it-IT"/>
        </w:rPr>
      </w:pPr>
      <w:bookmarkStart w:id="20" w:name="_Toc100246237"/>
      <w:r>
        <w:rPr>
          <w:rFonts w:eastAsiaTheme="minorEastAsia"/>
          <w:lang w:val="it-IT"/>
        </w:rPr>
        <w:lastRenderedPageBreak/>
        <w:t>Perché è importante che il mercato sia efficiente?</w:t>
      </w:r>
      <w:bookmarkEnd w:id="20"/>
      <w:r>
        <w:rPr>
          <w:rFonts w:eastAsiaTheme="minorEastAsia"/>
          <w:lang w:val="it-IT"/>
        </w:rPr>
        <w:t xml:space="preserve"> </w:t>
      </w:r>
    </w:p>
    <w:p w14:paraId="4C69780B" w14:textId="77777777" w:rsidR="00983BE6" w:rsidRPr="00983BE6" w:rsidRDefault="00983BE6" w:rsidP="00983BE6">
      <w:pPr>
        <w:rPr>
          <w:lang w:val="it-IT"/>
        </w:rPr>
      </w:pPr>
      <w:r w:rsidRPr="00983BE6">
        <w:rPr>
          <w:highlight w:val="red"/>
          <w:lang w:val="it-IT"/>
        </w:rPr>
        <w:t>Inefficient market vuol dire che il mercato non è in equilibrio ma un continuo disequilibrio e fa fatica ad arrivare all’equilibrio.</w:t>
      </w:r>
      <w:r w:rsidRPr="00983BE6">
        <w:rPr>
          <w:lang w:val="it-IT"/>
        </w:rPr>
        <w:t xml:space="preserve"> </w:t>
      </w:r>
    </w:p>
    <w:p w14:paraId="052F1537" w14:textId="77777777" w:rsidR="00983BE6" w:rsidRPr="00983BE6" w:rsidRDefault="00983BE6" w:rsidP="00983BE6">
      <w:r w:rsidRPr="00983BE6">
        <w:rPr>
          <w:highlight w:val="yellow"/>
          <w:lang w:val="it-IT"/>
        </w:rPr>
        <w:t>Aggiungere la parte di scienza delle finanze per fare capire come i transaction costs impattano sulle curve di demand e supply.</w:t>
      </w:r>
      <w:r w:rsidRPr="00983BE6">
        <w:rPr>
          <w:lang w:val="it-IT"/>
        </w:rPr>
        <w:t xml:space="preserve"> </w:t>
      </w:r>
      <w:r w:rsidRPr="00983BE6">
        <w:t>Intuizione data da: Efficiency of the Market for Residential Real Estate</w:t>
      </w:r>
    </w:p>
    <w:p w14:paraId="7A4DA2F0" w14:textId="77777777" w:rsidR="00983BE6" w:rsidRPr="00983BE6" w:rsidRDefault="00983BE6" w:rsidP="00983BE6">
      <w:r w:rsidRPr="00983BE6">
        <w:t>Author(s): Karl L. Guntermann and Richard L. Smith</w:t>
      </w:r>
    </w:p>
    <w:p w14:paraId="0F70C7BA" w14:textId="77777777" w:rsidR="00983BE6" w:rsidRPr="00983BE6" w:rsidRDefault="00983BE6" w:rsidP="00983BE6">
      <w:r w:rsidRPr="00983BE6">
        <w:t>Source: Land Economics, Vol. 63, No. 1 (Feb., 1987), pp. 34-45</w:t>
      </w:r>
    </w:p>
    <w:p w14:paraId="7F3A980C" w14:textId="77777777" w:rsidR="00A83EDA" w:rsidRPr="00983BE6" w:rsidRDefault="00A83EDA" w:rsidP="00A83EDA"/>
    <w:p w14:paraId="43B41A36" w14:textId="4407CEF3" w:rsidR="0033143C" w:rsidRDefault="00355894" w:rsidP="002A0EA3">
      <w:pPr>
        <w:jc w:val="both"/>
        <w:rPr>
          <w:rFonts w:eastAsiaTheme="minorEastAsia"/>
          <w:lang w:val="it-IT"/>
        </w:rPr>
      </w:pPr>
      <w:r>
        <w:rPr>
          <w:rFonts w:eastAsiaTheme="minorEastAsia"/>
          <w:lang w:val="it-IT"/>
        </w:rPr>
        <w:t>Seguendo la t</w:t>
      </w:r>
      <w:r w:rsidR="00A83EDA">
        <w:rPr>
          <w:rFonts w:eastAsiaTheme="minorEastAsia"/>
          <w:lang w:val="it-IT"/>
        </w:rPr>
        <w:t xml:space="preserve">eoria economica </w:t>
      </w:r>
      <w:r>
        <w:rPr>
          <w:rFonts w:eastAsiaTheme="minorEastAsia"/>
          <w:lang w:val="it-IT"/>
        </w:rPr>
        <w:t xml:space="preserve">tradizionale, la domanda per beni immobiliari può essere definita come la quantità di spazio o il numero di unità domandate a prezzi diversi. </w:t>
      </w:r>
      <w:r w:rsidR="00181AE6">
        <w:rPr>
          <w:rFonts w:eastAsiaTheme="minorEastAsia"/>
          <w:lang w:val="it-IT"/>
        </w:rPr>
        <w:t xml:space="preserve">Tipicamente la funzione di domanda per immobili è inelastica vista la poca offerta di sostituzione del bene. </w:t>
      </w:r>
    </w:p>
    <w:p w14:paraId="18BBBB64" w14:textId="6A14DBD3" w:rsidR="00355894" w:rsidRDefault="00D5470C" w:rsidP="002A0EA3">
      <w:pPr>
        <w:jc w:val="both"/>
        <w:rPr>
          <w:rFonts w:eastAsiaTheme="minorEastAsia"/>
          <w:lang w:val="it-IT"/>
        </w:rPr>
      </w:pPr>
      <w:r>
        <w:rPr>
          <w:rFonts w:eastAsiaTheme="minorEastAsia"/>
          <w:lang w:val="it-IT"/>
        </w:rPr>
        <w:t>Gli affitti e i prezzi del mercato immobiliare vengono determinati attraverso l’interazione della curva di domanda e offert</w:t>
      </w:r>
      <w:r w:rsidR="00A83EDA">
        <w:rPr>
          <w:rFonts w:eastAsiaTheme="minorEastAsia"/>
          <w:lang w:val="it-IT"/>
        </w:rPr>
        <w:t xml:space="preserve">a, come in ogni altro mercato. </w:t>
      </w:r>
    </w:p>
    <w:p w14:paraId="4432E6D3" w14:textId="17462AA6" w:rsidR="00AA66D3" w:rsidRDefault="00AA66D3" w:rsidP="002A0EA3">
      <w:pPr>
        <w:jc w:val="both"/>
        <w:rPr>
          <w:rFonts w:eastAsiaTheme="minorEastAsia"/>
          <w:lang w:val="it-IT"/>
        </w:rPr>
      </w:pPr>
      <w:r>
        <w:rPr>
          <w:rFonts w:eastAsiaTheme="minorEastAsia"/>
          <w:lang w:val="it-IT"/>
        </w:rPr>
        <w:t>Le inefficienze presenti nel mercato immobiliare, come ad esempio i costi di transazione, possono essere pensati come delle imposte che gravano sulla curva della domanda. Il costo di ricerca è infatti sostenuto dagli acquirenti che devono, grazie alle poche informazioni disponibili, riuscire a massimizzare la propria utilità.</w:t>
      </w:r>
    </w:p>
    <w:p w14:paraId="79DEE61D" w14:textId="3D48B47F" w:rsidR="00AA66D3" w:rsidRDefault="006B5996" w:rsidP="002A0EA3">
      <w:pPr>
        <w:jc w:val="both"/>
        <w:rPr>
          <w:rFonts w:eastAsiaTheme="minorEastAsia"/>
          <w:lang w:val="it-IT"/>
        </w:rPr>
      </w:pPr>
      <w:r>
        <w:rPr>
          <w:rFonts w:eastAsiaTheme="minorEastAsia"/>
          <w:lang w:val="it-IT"/>
        </w:rPr>
        <w:t xml:space="preserve">Si immagini una situazione iniziale di questo tipo in cui le curve di offerta e domanda sono in equilibrio. </w:t>
      </w:r>
    </w:p>
    <w:p w14:paraId="30613195" w14:textId="29414CA5" w:rsidR="005B24D0" w:rsidRDefault="006B5996" w:rsidP="002A0EA3">
      <w:pPr>
        <w:jc w:val="both"/>
        <w:rPr>
          <w:rFonts w:eastAsiaTheme="minorEastAsia"/>
          <w:lang w:val="it-IT"/>
        </w:rPr>
      </w:pPr>
      <w:r w:rsidRPr="006B5996">
        <w:rPr>
          <w:rFonts w:eastAsiaTheme="minorEastAsia"/>
          <w:noProof/>
        </w:rPr>
        <mc:AlternateContent>
          <mc:Choice Requires="wpg">
            <w:drawing>
              <wp:inline distT="0" distB="0" distL="0" distR="0" wp14:anchorId="7A26870E" wp14:editId="59D777EF">
                <wp:extent cx="1966595" cy="1896110"/>
                <wp:effectExtent l="57150" t="38100" r="0" b="66040"/>
                <wp:docPr id="11" name="Group 15"/>
                <wp:cNvGraphicFramePr/>
                <a:graphic xmlns:a="http://schemas.openxmlformats.org/drawingml/2006/main">
                  <a:graphicData uri="http://schemas.microsoft.com/office/word/2010/wordprocessingGroup">
                    <wpg:wgp>
                      <wpg:cNvGrpSpPr/>
                      <wpg:grpSpPr>
                        <a:xfrm>
                          <a:off x="0" y="0"/>
                          <a:ext cx="1966595" cy="1896110"/>
                          <a:chOff x="0" y="0"/>
                          <a:chExt cx="4869754" cy="4081936"/>
                        </a:xfrm>
                      </wpg:grpSpPr>
                      <wps:wsp>
                        <wps:cNvPr id="12" name="Straight Arrow Connector 12"/>
                        <wps:cNvCnPr/>
                        <wps:spPr>
                          <a:xfrm flipV="1">
                            <a:off x="36576" y="0"/>
                            <a:ext cx="0" cy="40306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 name="Straight Arrow Connector 20"/>
                        <wps:cNvCnPr/>
                        <wps:spPr>
                          <a:xfrm>
                            <a:off x="0" y="4016045"/>
                            <a:ext cx="453542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 name="Straight Connector 21"/>
                        <wps:cNvCnPr/>
                        <wps:spPr>
                          <a:xfrm>
                            <a:off x="490118" y="855879"/>
                            <a:ext cx="3416198" cy="2421331"/>
                          </a:xfrm>
                          <a:prstGeom prst="line">
                            <a:avLst/>
                          </a:prstGeom>
                        </wps:spPr>
                        <wps:style>
                          <a:lnRef idx="1">
                            <a:schemeClr val="dk1"/>
                          </a:lnRef>
                          <a:fillRef idx="0">
                            <a:schemeClr val="dk1"/>
                          </a:fillRef>
                          <a:effectRef idx="0">
                            <a:schemeClr val="dk1"/>
                          </a:effectRef>
                          <a:fontRef idx="minor">
                            <a:schemeClr val="tx1"/>
                          </a:fontRef>
                        </wps:style>
                        <wps:bodyPr/>
                      </wps:wsp>
                      <wps:wsp>
                        <wps:cNvPr id="22" name="Straight Connector 22"/>
                        <wps:cNvCnPr/>
                        <wps:spPr>
                          <a:xfrm flipV="1">
                            <a:off x="416964" y="314554"/>
                            <a:ext cx="3247949" cy="247253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TextBox 13"/>
                        <wps:cNvSpPr txBox="1"/>
                        <wps:spPr>
                          <a:xfrm>
                            <a:off x="3712638" y="287153"/>
                            <a:ext cx="892985" cy="1063322"/>
                          </a:xfrm>
                          <a:prstGeom prst="rect">
                            <a:avLst/>
                          </a:prstGeom>
                          <a:noFill/>
                        </wps:spPr>
                        <wps:txbx>
                          <w:txbxContent>
                            <w:p w14:paraId="6D10DA15" w14:textId="77777777" w:rsidR="004366FD" w:rsidRDefault="004366FD" w:rsidP="006B5996">
                              <w:pPr>
                                <w:rPr>
                                  <w:rFonts w:hAnsi="Calibri"/>
                                  <w:color w:val="000000" w:themeColor="text1"/>
                                  <w:kern w:val="24"/>
                                  <w:sz w:val="36"/>
                                  <w:szCs w:val="36"/>
                                </w:rPr>
                              </w:pPr>
                              <w:r>
                                <w:rPr>
                                  <w:rFonts w:hAnsi="Calibri"/>
                                  <w:color w:val="000000" w:themeColor="text1"/>
                                  <w:kern w:val="24"/>
                                  <w:sz w:val="36"/>
                                  <w:szCs w:val="36"/>
                                </w:rPr>
                                <w:t>S</w:t>
                              </w:r>
                            </w:p>
                          </w:txbxContent>
                        </wps:txbx>
                        <wps:bodyPr wrap="square" rtlCol="0">
                          <a:spAutoFit/>
                        </wps:bodyPr>
                      </wps:wsp>
                      <wps:wsp>
                        <wps:cNvPr id="24" name="TextBox 14"/>
                        <wps:cNvSpPr txBox="1"/>
                        <wps:spPr>
                          <a:xfrm>
                            <a:off x="3978342" y="3018614"/>
                            <a:ext cx="891412" cy="1063322"/>
                          </a:xfrm>
                          <a:prstGeom prst="rect">
                            <a:avLst/>
                          </a:prstGeom>
                          <a:noFill/>
                        </wps:spPr>
                        <wps:txbx>
                          <w:txbxContent>
                            <w:p w14:paraId="0B120208" w14:textId="77777777" w:rsidR="004366FD" w:rsidRDefault="004366FD" w:rsidP="006B5996">
                              <w:pPr>
                                <w:rPr>
                                  <w:rFonts w:hAnsi="Calibri"/>
                                  <w:color w:val="000000" w:themeColor="text1"/>
                                  <w:kern w:val="24"/>
                                  <w:sz w:val="36"/>
                                  <w:szCs w:val="36"/>
                                </w:rPr>
                              </w:pPr>
                              <w:r>
                                <w:rPr>
                                  <w:rFonts w:hAnsi="Calibri"/>
                                  <w:color w:val="000000" w:themeColor="text1"/>
                                  <w:kern w:val="24"/>
                                  <w:sz w:val="36"/>
                                  <w:szCs w:val="36"/>
                                </w:rPr>
                                <w:t>D</w:t>
                              </w:r>
                            </w:p>
                          </w:txbxContent>
                        </wps:txbx>
                        <wps:bodyPr wrap="square" rtlCol="0">
                          <a:spAutoFit/>
                        </wps:bodyPr>
                      </wps:wsp>
                    </wpg:wgp>
                  </a:graphicData>
                </a:graphic>
              </wp:inline>
            </w:drawing>
          </mc:Choice>
          <mc:Fallback>
            <w:pict>
              <v:group w14:anchorId="7A26870E" id="Group 15" o:spid="_x0000_s1026" style="width:154.85pt;height:149.3pt;mso-position-horizontal-relative:char;mso-position-vertical-relative:line" coordsize="48697,408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QImtQMAAFIPAAAOAAAAZHJzL2Uyb0RvYy54bWzsV01v1DAQvSPxH6zcaeJ8bRJ1i6BALwgq&#10;CtzdxMlGJLax3Sb77xk7cXbb0kILVAJxSbuJZzx+8+bN+PD52HfokkrVcrb28EHgIcpKXrWsWXuf&#10;Pr55lnlIacIq0nFG196WKu/50dMnh4MoaMg3vKuoROCEqWIQa2+jtSh8X5Ub2hN1wAVl8LHmsica&#10;fsrGryQZwHvf+WEQpP7AZSUkL6lS8PbV9NE7sv7rmpb6fV0rqlG39iA2bZ/SPs/N0z86JEUjidi0&#10;5RwGeUAUPWkZbLq4ekU0QReyveGqb0vJFa/1Qcl7n9d1W1J7BjgNDq6d5kTyC2HP0hRDIxaYANpr&#10;OD3Ybfnu8lSitoLcYQ8x0kOO7LYIJwacQTQFrDmR4kycyvlFM/0y5x1r2Zu/cBI0Wli3C6x01KiE&#10;lzhP0yRPPFTCN5zlKcYz8OUGsnPDrty8ni3jLM1XSTxZxkGG8yg1UfluY9/Et4QzCCCR2uGkfg2n&#10;sw0R1MKvDAYOp9DhdKYlaZuNRi+k5AM65owB37hEOJygs2bHbMZNFQogdKChumvFZ8DD0maGL0qT&#10;VeqhmxACdQ14cRAFKazYh4AUQip9QnmPzD9rT81hLfFMW5DLt0pPhs7AxNIx89Sk7V6zCumtAAJo&#10;2RLWdHTexywBoF389j+97ehk/oHWwB+TZnsSW7n0uJPokkDNkbKkTOPFE6w2ZnXbdYth8GPDeb0x&#10;pbaq72O8WNidOdOLcd8yLr+3ux5dyPW03iEwndtAcM6rrc2shQZoZ4rlEfgXAhemOr2Vf7DEVupd&#10;/DNYXCnaOMBpENuiB5BdASZREodzAVqvS+n95x0geCfb/zHeLf1h4d2iMCi05WL4D0J5i+LtMS7O&#10;A4xhMgBJy5IkW+WGrzvWRTFOcQ7fjeaFcYijyJWj6zdOwmbN61pmlJoU31W5h4pX9cVt27GfFq6d&#10;0T1Fa2f4jxHnZsPcI85DWyVQJE9BmIAhEY4TGBKuUiiMV3mcOwqtwiTK5ib0n0J/X8+LXM/7CJ3p&#10;JR8RjvZanBlNkR7hvZlC5ta3P2ztSU+0wmEKXDDECbMVTqyjnfZkeZhnblYN0igKLUNvb3sSZr7b&#10;pYcUjL+BYQeCuqZCejwf51CnUQINcA2B8e3rBZHUQ1J3x9zeWkz0Sry40ODJTnC78WP2+ojTB5Tc&#10;NH0smbCVN0v/vTKRr7IoBnEwJRzgLMXXajjLcQyj9HRt+NOpmO5Ajjy/JyOQcXtxgyxduRnu/7YZ&#10;3F2Fj74BAAD//wMAUEsDBBQABgAIAAAAIQCnap573QAAAAUBAAAPAAAAZHJzL2Rvd25yZXYueG1s&#10;TI/NasMwEITvhb6D2EJvjeyE/LmWQwhtT6GQpFB621gb28RaGUuxnbeP2ktzWRhmmPk2XQ2mFh21&#10;rrKsIB5FIIhzqysuFHwd3l8WIJxH1lhbJgVXcrDKHh9STLTteUfd3hcilLBLUEHpfZNI6fKSDLqR&#10;bYiDd7KtQR9kW0jdYh/KTS3HUTSTBisOCyU2tCkpP+8vRsFHj/16Er912/Npc/05TD+/tzEp9fw0&#10;rF9BeBr8fxh+8QM6ZIHpaC+snagVhEf83w3eJFrOQRwVjJeLGcgslff02Q0AAP//AwBQSwECLQAU&#10;AAYACAAAACEAtoM4kv4AAADhAQAAEwAAAAAAAAAAAAAAAAAAAAAAW0NvbnRlbnRfVHlwZXNdLnht&#10;bFBLAQItABQABgAIAAAAIQA4/SH/1gAAAJQBAAALAAAAAAAAAAAAAAAAAC8BAABfcmVscy8ucmVs&#10;c1BLAQItABQABgAIAAAAIQA2fQImtQMAAFIPAAAOAAAAAAAAAAAAAAAAAC4CAABkcnMvZTJvRG9j&#10;LnhtbFBLAQItABQABgAIAAAAIQCnap573QAAAAUBAAAPAAAAAAAAAAAAAAAAAA8GAABkcnMvZG93&#10;bnJldi54bWxQSwUGAAAAAAQABADzAAAAGQcAAAAA&#10;">
                <v:shapetype id="_x0000_t32" coordsize="21600,21600" o:spt="32" o:oned="t" path="m,l21600,21600e" filled="f">
                  <v:path arrowok="t" fillok="f" o:connecttype="none"/>
                  <o:lock v:ext="edit" shapetype="t"/>
                </v:shapetype>
                <v:shape id="Straight Arrow Connector 12" o:spid="_x0000_s1027" type="#_x0000_t32" style="position:absolute;left:365;width:0;height:403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cyiwwAAANsAAAAPAAAAZHJzL2Rvd25yZXYueG1sRE9La8JA&#10;EL4L/odlhF6kbmq1SHSVNlLo1QfU3obsmI1mZ9PsNqb99V1B8DYf33MWq85WoqXGl44VPI0SEMS5&#10;0yUXCva798cZCB+QNVaOScEveVgt+70FptpdeEPtNhQihrBPUYEJoU6l9Lkhi37kauLIHV1jMUTY&#10;FFI3eInhtpLjJHmRFkuODQZrygzl5+2PVfB1nOr2LVuXuTlkz5/Dyd/36bBW6mHQvc5BBOrCXXxz&#10;f+g4fwzXX+IBcvkPAAD//wMAUEsBAi0AFAAGAAgAAAAhANvh9svuAAAAhQEAABMAAAAAAAAAAAAA&#10;AAAAAAAAAFtDb250ZW50X1R5cGVzXS54bWxQSwECLQAUAAYACAAAACEAWvQsW78AAAAVAQAACwAA&#10;AAAAAAAAAAAAAAAfAQAAX3JlbHMvLnJlbHNQSwECLQAUAAYACAAAACEATX3MosMAAADbAAAADwAA&#10;AAAAAAAAAAAAAAAHAgAAZHJzL2Rvd25yZXYueG1sUEsFBgAAAAADAAMAtwAAAPcCAAAAAA==&#10;" strokecolor="#4472c4 [3204]" strokeweight=".5pt">
                  <v:stroke endarrow="block" joinstyle="miter"/>
                </v:shape>
                <v:shape id="Straight Arrow Connector 20" o:spid="_x0000_s1028" type="#_x0000_t32" style="position:absolute;top:40160;width:4535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xaWwAAAANsAAAAPAAAAZHJzL2Rvd25yZXYueG1sRE9NS8NA&#10;EL0L/odlBC+l3TRU0dhtEUH0alqlxyE7ZkOzsyE7tum/dw6Cx8f7Xm+n2JsTjblL7GC5KMAQN8l3&#10;3DrY717nD2CyIHvsE5ODC2XYbq6v1lj5dOYPOtXSGg3hXKGDIDJU1uYmUMS8SAOxct9pjCgKx9b6&#10;Ec8aHntbFsW9jdixNgQc6CVQc6x/ovbSvpzVd7PH1fENPw9fQS6rpTh3ezM9P4ERmuRf/Od+9w5K&#10;Xa9f9AfYzS8AAAD//wMAUEsBAi0AFAAGAAgAAAAhANvh9svuAAAAhQEAABMAAAAAAAAAAAAAAAAA&#10;AAAAAFtDb250ZW50X1R5cGVzXS54bWxQSwECLQAUAAYACAAAACEAWvQsW78AAAAVAQAACwAAAAAA&#10;AAAAAAAAAAAfAQAAX3JlbHMvLnJlbHNQSwECLQAUAAYACAAAACEAylMWlsAAAADbAAAADwAAAAAA&#10;AAAAAAAAAAAHAgAAZHJzL2Rvd25yZXYueG1sUEsFBgAAAAADAAMAtwAAAPQCAAAAAA==&#10;" strokecolor="#4472c4 [3204]" strokeweight=".5pt">
                  <v:stroke endarrow="block" joinstyle="miter"/>
                </v:shape>
                <v:line id="Straight Connector 21" o:spid="_x0000_s1029" style="position:absolute;visibility:visible;mso-wrap-style:square" from="4901,8558" to="39063,32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RCVxAAAANsAAAAPAAAAZHJzL2Rvd25yZXYueG1sRI9Ba8JA&#10;FITvBf/D8oReSt2oIJq6iohCoaI1Lj0/sq9JMPs2ZLca/70rCD0OM/MNM192thYXan3lWMFwkIAg&#10;zp2puFCgT9v3KQgfkA3WjknBjTwsF72XOabGXflIlywUIkLYp6igDKFJpfR5SRb9wDXE0ft1rcUQ&#10;ZVtI0+I1wm0tR0kykRYrjgslNrQuKT9nf1bBl579vI0PU63tKdvjt642h91aqdd+t/oAEagL/+Fn&#10;+9MoGA3h8SX+ALm4AwAA//8DAFBLAQItABQABgAIAAAAIQDb4fbL7gAAAIUBAAATAAAAAAAAAAAA&#10;AAAAAAAAAABbQ29udGVudF9UeXBlc10ueG1sUEsBAi0AFAAGAAgAAAAhAFr0LFu/AAAAFQEAAAsA&#10;AAAAAAAAAAAAAAAAHwEAAF9yZWxzLy5yZWxzUEsBAi0AFAAGAAgAAAAhALDhEJXEAAAA2wAAAA8A&#10;AAAAAAAAAAAAAAAABwIAAGRycy9kb3ducmV2LnhtbFBLBQYAAAAAAwADALcAAAD4AgAAAAA=&#10;" strokecolor="black [3200]" strokeweight=".5pt">
                  <v:stroke joinstyle="miter"/>
                </v:line>
                <v:line id="Straight Connector 22" o:spid="_x0000_s1030" style="position:absolute;flip:y;visibility:visible;mso-wrap-style:square" from="4169,3145" to="36649,27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shapetype id="_x0000_t202" coordsize="21600,21600" o:spt="202" path="m,l,21600r21600,l21600,xe">
                  <v:stroke joinstyle="miter"/>
                  <v:path gradientshapeok="t" o:connecttype="rect"/>
                </v:shapetype>
                <v:shape id="TextBox 13" o:spid="_x0000_s1031" type="#_x0000_t202" style="position:absolute;left:37126;top:2871;width:8930;height:10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TPywgAAANsAAAAPAAAAZHJzL2Rvd25yZXYueG1sRI9Pa8JA&#10;FMTvBb/D8gq91Y2WiqSuIv4BD72o8f7IvmZDs29D9mnit3eFQo/DzPyGWawG36gbdbEObGAyzkAR&#10;l8HWXBkozvv3OagoyBabwGTgThFWy9HLAnMbej7S7SSVShCOORpwIm2udSwdeYzj0BIn7yd0HiXJ&#10;rtK2wz7BfaOnWTbTHmtOCw5b2jgqf09Xb0DErif3Yufj4TJ8b3uXlZ9YGPP2Oqy/QAkN8h/+ax+s&#10;gekHPL+kH6CXDwAAAP//AwBQSwECLQAUAAYACAAAACEA2+H2y+4AAACFAQAAEwAAAAAAAAAAAAAA&#10;AAAAAAAAW0NvbnRlbnRfVHlwZXNdLnhtbFBLAQItABQABgAIAAAAIQBa9CxbvwAAABUBAAALAAAA&#10;AAAAAAAAAAAAAB8BAABfcmVscy8ucmVsc1BLAQItABQABgAIAAAAIQD0PTPywgAAANsAAAAPAAAA&#10;AAAAAAAAAAAAAAcCAABkcnMvZG93bnJldi54bWxQSwUGAAAAAAMAAwC3AAAA9gIAAAAA&#10;" filled="f" stroked="f">
                  <v:textbox style="mso-fit-shape-to-text:t">
                    <w:txbxContent>
                      <w:p w14:paraId="6D10DA15" w14:textId="77777777" w:rsidR="004366FD" w:rsidRDefault="004366FD" w:rsidP="006B5996">
                        <w:pPr>
                          <w:rPr>
                            <w:rFonts w:hAnsi="Calibri"/>
                            <w:color w:val="000000" w:themeColor="text1"/>
                            <w:kern w:val="24"/>
                            <w:sz w:val="36"/>
                            <w:szCs w:val="36"/>
                          </w:rPr>
                        </w:pPr>
                        <w:r>
                          <w:rPr>
                            <w:rFonts w:hAnsi="Calibri"/>
                            <w:color w:val="000000" w:themeColor="text1"/>
                            <w:kern w:val="24"/>
                            <w:sz w:val="36"/>
                            <w:szCs w:val="36"/>
                          </w:rPr>
                          <w:t>S</w:t>
                        </w:r>
                      </w:p>
                    </w:txbxContent>
                  </v:textbox>
                </v:shape>
                <v:shape id="TextBox 14" o:spid="_x0000_s1032" type="#_x0000_t202" style="position:absolute;left:39783;top:30186;width:8914;height:10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KuGwgAAANsAAAAPAAAAZHJzL2Rvd25yZXYueG1sRI9Pa8JA&#10;FMTvBb/D8gq91Y3SiqSuIv4BD72o8f7IvmZDs29D9mnit3eFQo/DzPyGWawG36gbdbEObGAyzkAR&#10;l8HWXBkozvv3OagoyBabwGTgThFWy9HLAnMbej7S7SSVShCOORpwIm2udSwdeYzj0BIn7yd0HiXJ&#10;rtK2wz7BfaOnWTbTHmtOCw5b2jgqf09Xb0DErif3Yufj4TJ8b3uXlZ9YGPP2Oqy/QAkN8h/+ax+s&#10;gekHPL+kH6CXDwAAAP//AwBQSwECLQAUAAYACAAAACEA2+H2y+4AAACFAQAAEwAAAAAAAAAAAAAA&#10;AAAAAAAAW0NvbnRlbnRfVHlwZXNdLnhtbFBLAQItABQABgAIAAAAIQBa9CxbvwAAABUBAAALAAAA&#10;AAAAAAAAAAAAAB8BAABfcmVscy8ucmVsc1BLAQItABQABgAIAAAAIQB71KuGwgAAANsAAAAPAAAA&#10;AAAAAAAAAAAAAAcCAABkcnMvZG93bnJldi54bWxQSwUGAAAAAAMAAwC3AAAA9gIAAAAA&#10;" filled="f" stroked="f">
                  <v:textbox style="mso-fit-shape-to-text:t">
                    <w:txbxContent>
                      <w:p w14:paraId="0B120208" w14:textId="77777777" w:rsidR="004366FD" w:rsidRDefault="004366FD" w:rsidP="006B5996">
                        <w:pPr>
                          <w:rPr>
                            <w:rFonts w:hAnsi="Calibri"/>
                            <w:color w:val="000000" w:themeColor="text1"/>
                            <w:kern w:val="24"/>
                            <w:sz w:val="36"/>
                            <w:szCs w:val="36"/>
                          </w:rPr>
                        </w:pPr>
                        <w:r>
                          <w:rPr>
                            <w:rFonts w:hAnsi="Calibri"/>
                            <w:color w:val="000000" w:themeColor="text1"/>
                            <w:kern w:val="24"/>
                            <w:sz w:val="36"/>
                            <w:szCs w:val="36"/>
                          </w:rPr>
                          <w:t>D</w:t>
                        </w:r>
                      </w:p>
                    </w:txbxContent>
                  </v:textbox>
                </v:shape>
                <w10:anchorlock/>
              </v:group>
            </w:pict>
          </mc:Fallback>
        </mc:AlternateContent>
      </w:r>
    </w:p>
    <w:p w14:paraId="49262DFB" w14:textId="41D0BB8B" w:rsidR="006B5996" w:rsidRDefault="006B5996" w:rsidP="002A0EA3">
      <w:pPr>
        <w:jc w:val="both"/>
        <w:rPr>
          <w:rFonts w:eastAsiaTheme="minorEastAsia"/>
          <w:lang w:val="it-IT"/>
        </w:rPr>
      </w:pPr>
      <w:r>
        <w:rPr>
          <w:rFonts w:eastAsiaTheme="minorEastAsia"/>
          <w:lang w:val="it-IT"/>
        </w:rPr>
        <w:t>Se si pensa ai costi di transazione come un’imposta</w:t>
      </w:r>
      <w:r w:rsidR="00661F2B">
        <w:rPr>
          <w:rFonts w:eastAsiaTheme="minorEastAsia"/>
          <w:lang w:val="it-IT"/>
        </w:rPr>
        <w:t xml:space="preserve"> (</w:t>
      </w:r>
      <w:r w:rsidR="00661F2B">
        <w:rPr>
          <w:rFonts w:eastAsiaTheme="minorEastAsia" w:cstheme="minorHAnsi"/>
          <w:lang w:val="it-IT"/>
        </w:rPr>
        <w:t>τ</w:t>
      </w:r>
      <w:r w:rsidR="00661F2B">
        <w:rPr>
          <w:rFonts w:eastAsiaTheme="minorEastAsia"/>
          <w:lang w:val="it-IT"/>
        </w:rPr>
        <w:t>)</w:t>
      </w:r>
      <w:r>
        <w:rPr>
          <w:rFonts w:eastAsiaTheme="minorEastAsia"/>
          <w:lang w:val="it-IT"/>
        </w:rPr>
        <w:t xml:space="preserve"> che grava su una domanda è facile capire come questi incidano sul benessere collettivo:</w:t>
      </w:r>
    </w:p>
    <w:p w14:paraId="0529ED16" w14:textId="52CE4961" w:rsidR="006B5996" w:rsidRDefault="000E378B" w:rsidP="002A0EA3">
      <w:pPr>
        <w:jc w:val="both"/>
        <w:rPr>
          <w:rFonts w:eastAsiaTheme="minorEastAsia"/>
          <w:lang w:val="it-IT"/>
        </w:rPr>
      </w:pPr>
      <w:r w:rsidRPr="000E378B">
        <w:rPr>
          <w:rFonts w:eastAsiaTheme="minorEastAsia"/>
          <w:noProof/>
        </w:rPr>
        <mc:AlternateContent>
          <mc:Choice Requires="wpg">
            <w:drawing>
              <wp:inline distT="0" distB="0" distL="0" distR="0" wp14:anchorId="4EE1FDF5" wp14:editId="61E49A80">
                <wp:extent cx="1857388" cy="1701420"/>
                <wp:effectExtent l="0" t="0" r="0" b="0"/>
                <wp:docPr id="36" name="Group 41"/>
                <wp:cNvGraphicFramePr/>
                <a:graphic xmlns:a="http://schemas.openxmlformats.org/drawingml/2006/main">
                  <a:graphicData uri="http://schemas.microsoft.com/office/word/2010/wordprocessingGroup">
                    <wpg:wgp>
                      <wpg:cNvGrpSpPr/>
                      <wpg:grpSpPr>
                        <a:xfrm>
                          <a:off x="0" y="0"/>
                          <a:ext cx="1857388" cy="1701420"/>
                          <a:chOff x="0" y="0"/>
                          <a:chExt cx="2975890" cy="2438864"/>
                        </a:xfrm>
                      </wpg:grpSpPr>
                      <wpg:grpSp>
                        <wpg:cNvPr id="37" name="Group 37"/>
                        <wpg:cNvGrpSpPr/>
                        <wpg:grpSpPr>
                          <a:xfrm>
                            <a:off x="391797" y="0"/>
                            <a:ext cx="2584093" cy="1960872"/>
                            <a:chOff x="391797" y="0"/>
                            <a:chExt cx="2584093" cy="1960872"/>
                          </a:xfrm>
                        </wpg:grpSpPr>
                        <wps:wsp>
                          <wps:cNvPr id="38" name="Straight Arrow Connector 38"/>
                          <wps:cNvCnPr/>
                          <wps:spPr>
                            <a:xfrm flipV="1">
                              <a:off x="418392" y="86544"/>
                              <a:ext cx="0" cy="18726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 name="Straight Arrow Connector 39"/>
                          <wps:cNvCnPr/>
                          <wps:spPr>
                            <a:xfrm>
                              <a:off x="403619" y="1952438"/>
                              <a:ext cx="183187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a:off x="601580" y="484194"/>
                              <a:ext cx="1379816" cy="1124974"/>
                            </a:xfrm>
                            <a:prstGeom prst="line">
                              <a:avLst/>
                            </a:prstGeom>
                          </wps:spPr>
                          <wps:style>
                            <a:lnRef idx="1">
                              <a:schemeClr val="dk1"/>
                            </a:lnRef>
                            <a:fillRef idx="0">
                              <a:schemeClr val="dk1"/>
                            </a:fillRef>
                            <a:effectRef idx="0">
                              <a:schemeClr val="dk1"/>
                            </a:effectRef>
                            <a:fontRef idx="minor">
                              <a:schemeClr val="tx1"/>
                            </a:fontRef>
                          </wps:style>
                          <wps:bodyPr/>
                        </wps:wsp>
                        <wps:wsp>
                          <wps:cNvPr id="41" name="Straight Connector 41"/>
                          <wps:cNvCnPr/>
                          <wps:spPr>
                            <a:xfrm flipV="1">
                              <a:off x="572032" y="232689"/>
                              <a:ext cx="1311859" cy="1148766"/>
                            </a:xfrm>
                            <a:prstGeom prst="line">
                              <a:avLst/>
                            </a:prstGeom>
                          </wps:spPr>
                          <wps:style>
                            <a:lnRef idx="1">
                              <a:schemeClr val="dk1"/>
                            </a:lnRef>
                            <a:fillRef idx="0">
                              <a:schemeClr val="dk1"/>
                            </a:fillRef>
                            <a:effectRef idx="0">
                              <a:schemeClr val="dk1"/>
                            </a:effectRef>
                            <a:fontRef idx="minor">
                              <a:schemeClr val="tx1"/>
                            </a:fontRef>
                          </wps:style>
                          <wps:bodyPr/>
                        </wps:wsp>
                        <wps:wsp>
                          <wps:cNvPr id="42" name="TextBox 13"/>
                          <wps:cNvSpPr txBox="1"/>
                          <wps:spPr>
                            <a:xfrm>
                              <a:off x="1903327" y="219876"/>
                              <a:ext cx="360156" cy="516099"/>
                            </a:xfrm>
                            <a:prstGeom prst="rect">
                              <a:avLst/>
                            </a:prstGeom>
                            <a:noFill/>
                          </wps:spPr>
                          <wps:txbx>
                            <w:txbxContent>
                              <w:p w14:paraId="608F0549" w14:textId="77777777" w:rsidR="004366FD" w:rsidRDefault="004366FD" w:rsidP="000E378B">
                                <w:pPr>
                                  <w:rPr>
                                    <w:rFonts w:hAnsi="Calibri"/>
                                    <w:color w:val="000000" w:themeColor="text1"/>
                                    <w:kern w:val="24"/>
                                    <w:sz w:val="20"/>
                                    <w:szCs w:val="20"/>
                                  </w:rPr>
                                </w:pPr>
                                <w:r>
                                  <w:rPr>
                                    <w:rFonts w:hAnsi="Calibri"/>
                                    <w:color w:val="000000" w:themeColor="text1"/>
                                    <w:kern w:val="24"/>
                                    <w:sz w:val="20"/>
                                    <w:szCs w:val="20"/>
                                  </w:rPr>
                                  <w:t>S</w:t>
                                </w:r>
                              </w:p>
                            </w:txbxContent>
                          </wps:txbx>
                          <wps:bodyPr wrap="square" rtlCol="0">
                            <a:spAutoFit/>
                          </wps:bodyPr>
                        </wps:wsp>
                        <wps:wsp>
                          <wps:cNvPr id="43" name="TextBox 14"/>
                          <wps:cNvSpPr txBox="1"/>
                          <wps:spPr>
                            <a:xfrm>
                              <a:off x="2010663" y="1444773"/>
                              <a:ext cx="813913" cy="516099"/>
                            </a:xfrm>
                            <a:prstGeom prst="rect">
                              <a:avLst/>
                            </a:prstGeom>
                            <a:noFill/>
                          </wps:spPr>
                          <wps:txbx>
                            <w:txbxContent>
                              <w:p w14:paraId="69CAAD44" w14:textId="77777777" w:rsidR="004366FD" w:rsidRDefault="004366FD" w:rsidP="000E378B">
                                <w:pPr>
                                  <w:rPr>
                                    <w:rFonts w:hAnsi="Calibri"/>
                                    <w:color w:val="000000" w:themeColor="text1"/>
                                    <w:kern w:val="24"/>
                                    <w:sz w:val="20"/>
                                    <w:szCs w:val="20"/>
                                  </w:rPr>
                                </w:pPr>
                                <w:r>
                                  <w:rPr>
                                    <w:rFonts w:hAnsi="Calibri"/>
                                    <w:color w:val="000000" w:themeColor="text1"/>
                                    <w:kern w:val="24"/>
                                    <w:sz w:val="20"/>
                                    <w:szCs w:val="20"/>
                                  </w:rPr>
                                  <w:t>D</w:t>
                                </w:r>
                              </w:p>
                            </w:txbxContent>
                          </wps:txbx>
                          <wps:bodyPr wrap="square" rtlCol="0">
                            <a:spAutoFit/>
                          </wps:bodyPr>
                        </wps:wsp>
                        <wps:wsp>
                          <wps:cNvPr id="44" name="Straight Connector 44"/>
                          <wps:cNvCnPr/>
                          <wps:spPr>
                            <a:xfrm>
                              <a:off x="782462" y="268377"/>
                              <a:ext cx="1379816" cy="1124974"/>
                            </a:xfrm>
                            <a:prstGeom prst="line">
                              <a:avLst/>
                            </a:prstGeom>
                          </wps:spPr>
                          <wps:style>
                            <a:lnRef idx="1">
                              <a:schemeClr val="dk1"/>
                            </a:lnRef>
                            <a:fillRef idx="0">
                              <a:schemeClr val="dk1"/>
                            </a:fillRef>
                            <a:effectRef idx="0">
                              <a:schemeClr val="dk1"/>
                            </a:effectRef>
                            <a:fontRef idx="minor">
                              <a:schemeClr val="tx1"/>
                            </a:fontRef>
                          </wps:style>
                          <wps:bodyPr/>
                        </wps:wsp>
                        <wps:wsp>
                          <wps:cNvPr id="45" name="TextBox 17"/>
                          <wps:cNvSpPr txBox="1"/>
                          <wps:spPr>
                            <a:xfrm>
                              <a:off x="2161977" y="1161335"/>
                              <a:ext cx="813913" cy="516099"/>
                            </a:xfrm>
                            <a:prstGeom prst="rect">
                              <a:avLst/>
                            </a:prstGeom>
                            <a:noFill/>
                          </wps:spPr>
                          <wps:txbx>
                            <w:txbxContent>
                              <w:p w14:paraId="1F65EB30" w14:textId="77777777" w:rsidR="004366FD" w:rsidRDefault="004366FD" w:rsidP="000E378B">
                                <w:pPr>
                                  <w:rPr>
                                    <w:rFonts w:hAnsi="Calibri"/>
                                    <w:color w:val="000000" w:themeColor="text1"/>
                                    <w:kern w:val="24"/>
                                    <w:sz w:val="20"/>
                                    <w:szCs w:val="20"/>
                                  </w:rPr>
                                </w:pPr>
                                <w:r>
                                  <w:rPr>
                                    <w:rFonts w:hAnsi="Calibri"/>
                                    <w:color w:val="000000" w:themeColor="text1"/>
                                    <w:kern w:val="24"/>
                                    <w:sz w:val="20"/>
                                    <w:szCs w:val="20"/>
                                  </w:rPr>
                                  <w:t>D’</w:t>
                                </w:r>
                              </w:p>
                            </w:txbxContent>
                          </wps:txbx>
                          <wps:bodyPr wrap="square" rtlCol="0">
                            <a:spAutoFit/>
                          </wps:bodyPr>
                        </wps:wsp>
                        <wps:wsp>
                          <wps:cNvPr id="46" name="Left Brace 46"/>
                          <wps:cNvSpPr/>
                          <wps:spPr>
                            <a:xfrm rot="2489249">
                              <a:off x="533544" y="157709"/>
                              <a:ext cx="190559" cy="369332"/>
                            </a:xfrm>
                            <a:prstGeom prst="leftBrace">
                              <a:avLst/>
                            </a:prstGeom>
                          </wps:spPr>
                          <wps:style>
                            <a:lnRef idx="1">
                              <a:schemeClr val="accent1"/>
                            </a:lnRef>
                            <a:fillRef idx="0">
                              <a:schemeClr val="accent1"/>
                            </a:fillRef>
                            <a:effectRef idx="0">
                              <a:schemeClr val="accent1"/>
                            </a:effectRef>
                            <a:fontRef idx="minor">
                              <a:schemeClr val="tx1"/>
                            </a:fontRef>
                          </wps:style>
                          <wps:bodyPr rtlCol="0" anchor="ctr"/>
                        </wps:wsp>
                        <wps:wsp>
                          <wps:cNvPr id="47" name="TextBox 19"/>
                          <wps:cNvSpPr txBox="1"/>
                          <wps:spPr>
                            <a:xfrm>
                              <a:off x="391797" y="0"/>
                              <a:ext cx="360156" cy="516099"/>
                            </a:xfrm>
                            <a:prstGeom prst="rect">
                              <a:avLst/>
                            </a:prstGeom>
                            <a:noFill/>
                          </wps:spPr>
                          <wps:txbx>
                            <w:txbxContent>
                              <w:p w14:paraId="23FC4FFB" w14:textId="77777777" w:rsidR="004366FD" w:rsidRDefault="004366FD" w:rsidP="000E378B">
                                <w:pPr>
                                  <w:rPr>
                                    <w:rFonts w:hAnsi="Calibri"/>
                                    <w:color w:val="000000" w:themeColor="text1"/>
                                    <w:kern w:val="24"/>
                                    <w:sz w:val="20"/>
                                    <w:szCs w:val="20"/>
                                  </w:rPr>
                                </w:pPr>
                                <w:r>
                                  <w:rPr>
                                    <w:rFonts w:hAnsi="Calibri"/>
                                    <w:color w:val="000000" w:themeColor="text1"/>
                                    <w:kern w:val="24"/>
                                    <w:sz w:val="20"/>
                                    <w:szCs w:val="20"/>
                                  </w:rPr>
                                  <w:t>τ</w:t>
                                </w:r>
                              </w:p>
                            </w:txbxContent>
                          </wps:txbx>
                          <wps:bodyPr wrap="square" rtlCol="0">
                            <a:spAutoFit/>
                          </wps:bodyPr>
                        </wps:wsp>
                      </wpg:grpSp>
                      <wps:wsp>
                        <wps:cNvPr id="48" name="Straight Connector 48"/>
                        <wps:cNvCnPr>
                          <a:cxnSpLocks/>
                        </wps:cNvCnPr>
                        <wps:spPr>
                          <a:xfrm>
                            <a:off x="418392" y="723827"/>
                            <a:ext cx="901165" cy="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49" name="Straight Connector 49"/>
                        <wps:cNvCnPr>
                          <a:cxnSpLocks/>
                        </wps:cNvCnPr>
                        <wps:spPr>
                          <a:xfrm>
                            <a:off x="418392" y="905534"/>
                            <a:ext cx="685764" cy="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50" name="Straight Connector 50"/>
                        <wps:cNvCnPr>
                          <a:cxnSpLocks/>
                        </wps:cNvCnPr>
                        <wps:spPr>
                          <a:xfrm>
                            <a:off x="1104156" y="905534"/>
                            <a:ext cx="0" cy="1053702"/>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51" name="Straight Connector 51"/>
                        <wps:cNvCnPr>
                          <a:cxnSpLocks/>
                        </wps:cNvCnPr>
                        <wps:spPr>
                          <a:xfrm>
                            <a:off x="1319557" y="723827"/>
                            <a:ext cx="0" cy="1228611"/>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52" name="TextBox 36"/>
                        <wps:cNvSpPr txBox="1"/>
                        <wps:spPr>
                          <a:xfrm>
                            <a:off x="0" y="703704"/>
                            <a:ext cx="717261" cy="516099"/>
                          </a:xfrm>
                          <a:prstGeom prst="rect">
                            <a:avLst/>
                          </a:prstGeom>
                          <a:noFill/>
                        </wps:spPr>
                        <wps:txbx>
                          <w:txbxContent>
                            <w:p w14:paraId="219504DC" w14:textId="77777777" w:rsidR="004366FD" w:rsidRDefault="004366FD" w:rsidP="000E378B">
                              <w:pPr>
                                <w:rPr>
                                  <w:rFonts w:hAnsi="Calibri"/>
                                  <w:color w:val="000000" w:themeColor="text1"/>
                                  <w:kern w:val="24"/>
                                  <w:sz w:val="20"/>
                                  <w:szCs w:val="20"/>
                                </w:rPr>
                              </w:pPr>
                              <w:r>
                                <w:rPr>
                                  <w:rFonts w:hAnsi="Calibri"/>
                                  <w:color w:val="000000" w:themeColor="text1"/>
                                  <w:kern w:val="24"/>
                                  <w:sz w:val="20"/>
                                  <w:szCs w:val="20"/>
                                </w:rPr>
                                <w:t>pn</w:t>
                              </w:r>
                            </w:p>
                          </w:txbxContent>
                        </wps:txbx>
                        <wps:bodyPr wrap="square" rtlCol="0">
                          <a:spAutoFit/>
                        </wps:bodyPr>
                      </wps:wsp>
                      <wps:wsp>
                        <wps:cNvPr id="53" name="TextBox 37"/>
                        <wps:cNvSpPr txBox="1"/>
                        <wps:spPr>
                          <a:xfrm>
                            <a:off x="22703" y="497533"/>
                            <a:ext cx="976696" cy="516099"/>
                          </a:xfrm>
                          <a:prstGeom prst="rect">
                            <a:avLst/>
                          </a:prstGeom>
                          <a:noFill/>
                        </wps:spPr>
                        <wps:txbx>
                          <w:txbxContent>
                            <w:p w14:paraId="2405CFD1" w14:textId="77777777" w:rsidR="004366FD" w:rsidRDefault="004366FD" w:rsidP="000E378B">
                              <w:pPr>
                                <w:rPr>
                                  <w:rFonts w:hAnsi="Calibri"/>
                                  <w:color w:val="000000" w:themeColor="text1"/>
                                  <w:kern w:val="24"/>
                                  <w:sz w:val="20"/>
                                  <w:szCs w:val="20"/>
                                </w:rPr>
                              </w:pPr>
                              <w:r>
                                <w:rPr>
                                  <w:rFonts w:hAnsi="Calibri"/>
                                  <w:color w:val="000000" w:themeColor="text1"/>
                                  <w:kern w:val="24"/>
                                  <w:sz w:val="20"/>
                                  <w:szCs w:val="20"/>
                                </w:rPr>
                                <w:t>P*</w:t>
                              </w:r>
                            </w:p>
                          </w:txbxContent>
                        </wps:txbx>
                        <wps:bodyPr wrap="square" rtlCol="0">
                          <a:spAutoFit/>
                        </wps:bodyPr>
                      </wps:wsp>
                      <wps:wsp>
                        <wps:cNvPr id="54" name="TextBox 39"/>
                        <wps:cNvSpPr txBox="1"/>
                        <wps:spPr>
                          <a:xfrm>
                            <a:off x="752259" y="1922765"/>
                            <a:ext cx="611452" cy="516099"/>
                          </a:xfrm>
                          <a:prstGeom prst="rect">
                            <a:avLst/>
                          </a:prstGeom>
                          <a:noFill/>
                        </wps:spPr>
                        <wps:txbx>
                          <w:txbxContent>
                            <w:p w14:paraId="0B25A073" w14:textId="77777777" w:rsidR="004366FD" w:rsidRDefault="004366FD" w:rsidP="000E378B">
                              <w:pPr>
                                <w:rPr>
                                  <w:rFonts w:hAnsi="Calibri"/>
                                  <w:color w:val="000000" w:themeColor="text1"/>
                                  <w:kern w:val="24"/>
                                  <w:sz w:val="20"/>
                                  <w:szCs w:val="20"/>
                                </w:rPr>
                              </w:pPr>
                              <w:r>
                                <w:rPr>
                                  <w:rFonts w:hAnsi="Calibri"/>
                                  <w:color w:val="000000" w:themeColor="text1"/>
                                  <w:kern w:val="24"/>
                                  <w:sz w:val="20"/>
                                  <w:szCs w:val="20"/>
                                </w:rPr>
                                <w:t>qn</w:t>
                              </w:r>
                            </w:p>
                          </w:txbxContent>
                        </wps:txbx>
                        <wps:bodyPr wrap="square" rtlCol="0">
                          <a:spAutoFit/>
                        </wps:bodyPr>
                      </wps:wsp>
                      <wps:wsp>
                        <wps:cNvPr id="55" name="TextBox 40"/>
                        <wps:cNvSpPr txBox="1"/>
                        <wps:spPr>
                          <a:xfrm>
                            <a:off x="1163879" y="1904754"/>
                            <a:ext cx="610435" cy="516099"/>
                          </a:xfrm>
                          <a:prstGeom prst="rect">
                            <a:avLst/>
                          </a:prstGeom>
                          <a:noFill/>
                        </wps:spPr>
                        <wps:txbx>
                          <w:txbxContent>
                            <w:p w14:paraId="4DBF066C" w14:textId="77777777" w:rsidR="004366FD" w:rsidRDefault="004366FD" w:rsidP="000E378B">
                              <w:pPr>
                                <w:rPr>
                                  <w:rFonts w:hAnsi="Calibri"/>
                                  <w:color w:val="000000" w:themeColor="text1"/>
                                  <w:kern w:val="24"/>
                                  <w:sz w:val="20"/>
                                  <w:szCs w:val="20"/>
                                </w:rPr>
                              </w:pPr>
                              <w:r>
                                <w:rPr>
                                  <w:rFonts w:hAnsi="Calibri"/>
                                  <w:color w:val="000000" w:themeColor="text1"/>
                                  <w:kern w:val="24"/>
                                  <w:sz w:val="20"/>
                                  <w:szCs w:val="20"/>
                                </w:rPr>
                                <w:t>q*</w:t>
                              </w:r>
                            </w:p>
                          </w:txbxContent>
                        </wps:txbx>
                        <wps:bodyPr wrap="square" rtlCol="0">
                          <a:spAutoFit/>
                        </wps:bodyPr>
                      </wps:wsp>
                    </wpg:wgp>
                  </a:graphicData>
                </a:graphic>
              </wp:inline>
            </w:drawing>
          </mc:Choice>
          <mc:Fallback>
            <w:pict>
              <v:group w14:anchorId="4EE1FDF5" id="Group 41" o:spid="_x0000_s1033" style="width:146.25pt;height:133.95pt;mso-position-horizontal-relative:char;mso-position-vertical-relative:line" coordsize="29758,243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HQHmgYAAGYrAAAOAAAAZHJzL2Uyb0RvYy54bWzsWtmO2zYUfS/QfyD03ljULiOeIJksL0Eb&#10;dNK+c7TYQmRRpThjz9/3kKIWr1NPAqMO/DJjW7oUL+927rl6/Wa9LMljJpqCVzOLvrItklUJT4tq&#10;PrP++vrxt8gijWRVykpeZTPrKWusNze//vJ6VU8zhy94mWaCYJGqma7qmbWQsp5OJk2yyJasecXr&#10;rMLFnIslk/gq5pNUsBVWX5YTx7aDyYqLtBY8yZoGv75vL1o3ev08zxL5R543mSTlzMLepP4r9N97&#10;9Xdy85pN54LViyIx22Av2MWSFRUe2i/1nklGHkSxs9SySARveC5fJXw54XleJJnWAdpQe0ubT4I/&#10;1FqX+XQ1r/tjwtFundOLl01+f/wiSJHOLDewSMWWsJF+LPGoOpxVPZ/ink+ivqu/CPPDvP2m9F3n&#10;Yqn+QxOy1sf61B9rtpYkwY808kM3giMkuEZDm3qOOfhkAevsyCWLD0bSiUM/imE3Jel4WCTw1K4m&#10;3YMnan/9dvov/b473cJN3dzwBbq5MQ1jLLSroONHnh27RsE4sKPQUQ9g017BXeGRlgfED2qJUGkG&#10;b2i+zxvuFqzOtJM1ytLdicFcrTfcScGK+UKSt0LwFbnlVYWo4oK4UXuIWuy2Mt7RTBs4SucaJC+L&#10;+m9YXQeHcRKPRm7s6IOMAt/TFmXTzluMtSnOMMBdY2uzaS0a+SnjS6I+zKzG7K3fVPsc9vi5ka1g&#10;J6A2VFbqr2RF+aFKiXyq4etSFKyal5l5jroFPtUpoT/JpzJrxf/McoSK8mitjk5S2W0pyCNDemFJ&#10;klVSRw0sV1a4W4nlRVn2gvbzguZ+JZrpBHaKcC+hn8wr2Qsvi4qLfU+X627LeXt/dwKt3uoI7nn6&#10;pM2rjwa+p+LrHE4YP++E8fNOqM6icz3bDShWVYko9lVGUeKD88Ez4XjIhCrh6CTVB+HV+XBOR13+&#10;53I+D4loKwP2aYbgIvxGBQFS5oHcN3K7wKZ+hPXgVF7k0Xgr5VE3jCNqvI5Sx4vDzTK343tlUamc&#10;zaZ7U91LM1j6rUsFJ2SvQejEzDUI/mSOQ485jkFVxxxnb9H0Q8d226LpuE4Q6bw3SlwuBcxCZtMY&#10;i3pIYoGpaR1E60qhqZ1XF/r/Fj4Phm5zz1fAond8Tag7SjgKihO5xu8KiphENIZdo9RDY9t1nRa2&#10;OjRWxW2j4rkqN5nU49PAjrVjHa56AuDvcOZh04p/BODBI7aSkFzfr3WfoSHdgCrICs0XkNw/D0xk&#10;FhGyvOW6V1M6NPXbB4kFNZgbZMzi5wMiHrD9lj10gjYF4BR7qDYvCLCegiCe54WhtuwQyRFFr2B6&#10;ibMYpPesFuZdhkG8ziB9ezIqzmPbPF+cw8jxApNZg8gNdW842ONanBWL0jUzl95SeH7nOH1mNVyA&#10;rsgnRTJFKwFv0ZGMz67rb6bWs0dy7/eXFMk97fQ5yyV5J1iSEU8XqVF23VPjiOBgABwvioGXdUUy&#10;PZ4PQ4BU0Gbxw9DeRkqx7XdAyQ1iFEdltcMFr8S29K4OV72tUtdcGQPjgEM1J6xKFhzEayKFPm9l&#10;3DMW8J4A7MN+TBycEva7TF7HXJ0dSul8M8Ci763ccGNDpp6J3/F2ScZRFd+mFxUgTNbVXf2ZJ9+a&#10;DmGa/rvd8QEMPCIcQ8eNgIYhPVT42KY0QF34D5zP8aZJsX5kNbPALKnlFK7NSybxcVmDYW+quUVY&#10;OcegREWBBri8LFIFmPUXNfQ4xCc24ztVK/eeNYuWeEzxqdUI84Iq1botMpYOLGeF2YuldrbMUouU&#10;GXagPuk7N/nQw3dqTnMH1u/LdR3JKeb3ihxtpy2YWYAA6WYuerEOU+wjSI/LPs80HJf/yQiHXZp0&#10;FEbjPKfA8A8JI1VDXQ03hjAKMObBeOYaRhgrXMPo8qYN/jHCFxeRLQ0i/b4wotT2NOUCBmBfHGEb&#10;msSzfTe0nwOnR3ngaz3S07prPTov2PaPEeC4+MMCycUMz28b8H24rgskx4kC2k02XsSGXwPpGkgC&#10;bqsb/fN1rf7OGAAv6QzRc0rXilhAuQltlJQt2BZSvGiBiFU15yx8c6/CBbFU/s4AoHuF6HTa0IEV&#10;tDUw5gVXpQw6gOgYc7v4nOOYnv28JGugy9gcx7jjLueUuAh9x1FsoJrGxI4TggfYsAcKh6fC8GzR&#10;0bMel2SPHVJ94/2IU+wBJsaNws4gthf6W+kqAHoG0X4+g/Se9WMMokk2vMypKWfz4ql6W3T8XRea&#10;4fXYm38BAAD//wMAUEsDBBQABgAIAAAAIQBKQsUK3QAAAAUBAAAPAAAAZHJzL2Rvd25yZXYueG1s&#10;TI9BS8NAEIXvgv9hGcGb3STSamM2pRT1VARbQbxNk2kSmp0N2W2S/ntHL3oZ3vCG977JVpNt1UC9&#10;bxwbiGcRKOLClQ1XBj72L3ePoHxALrF1TAYu5GGVX19lmJZu5HcadqFSEsI+RQN1CF2qtS9qsuhn&#10;riMW7+h6i0HWvtJlj6OE21YnUbTQFhuWhho72tRUnHZna+B1xHF9Hz8P29Nxc/naz98+tzEZc3sz&#10;rZ9ABZrC3zH84As65MJ0cGcuvWoNyCPhd4qXLJM5qIOIxcMSdJ7p//T5NwAAAP//AwBQSwECLQAU&#10;AAYACAAAACEAtoM4kv4AAADhAQAAEwAAAAAAAAAAAAAAAAAAAAAAW0NvbnRlbnRfVHlwZXNdLnht&#10;bFBLAQItABQABgAIAAAAIQA4/SH/1gAAAJQBAAALAAAAAAAAAAAAAAAAAC8BAABfcmVscy8ucmVs&#10;c1BLAQItABQABgAIAAAAIQBIfHQHmgYAAGYrAAAOAAAAAAAAAAAAAAAAAC4CAABkcnMvZTJvRG9j&#10;LnhtbFBLAQItABQABgAIAAAAIQBKQsUK3QAAAAUBAAAPAAAAAAAAAAAAAAAAAPQIAABkcnMvZG93&#10;bnJldi54bWxQSwUGAAAAAAQABADzAAAA/gkAAAAA&#10;">
                <v:group id="Group 37" o:spid="_x0000_s1034" style="position:absolute;left:3917;width:25841;height:19608" coordorigin="3917" coordsize="25840,19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 id="Straight Arrow Connector 38" o:spid="_x0000_s1035" type="#_x0000_t32" style="position:absolute;left:4183;top:865;width:0;height:187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KcowgAAANsAAAAPAAAAZHJzL2Rvd25yZXYueG1sRE/Pa8Iw&#10;FL4P9j+EJ3gZmqqbjGqUWRG8zg3mbo/m2VSbl9rEWv3rl4Ow48f3e77sbCVaanzpWMFomIAgzp0u&#10;uVDw/bUZvIPwAVlj5ZgU3MjDcvH8NMdUuyt/UrsLhYgh7FNUYEKoUyl9bsiiH7qaOHIH11gMETaF&#10;1A1eY7it5DhJptJiybHBYE2Zofy0u1gFv4c33a6ydZmbfTb5eXm9n4/7tVL9XvcxAxGoC//ih3ur&#10;FUzi2Pgl/gC5+AMAAP//AwBQSwECLQAUAAYACAAAACEA2+H2y+4AAACFAQAAEwAAAAAAAAAAAAAA&#10;AAAAAAAAW0NvbnRlbnRfVHlwZXNdLnhtbFBLAQItABQABgAIAAAAIQBa9CxbvwAAABUBAAALAAAA&#10;AAAAAAAAAAAAAB8BAABfcmVscy8ucmVsc1BLAQItABQABgAIAAAAIQBnIKcowgAAANsAAAAPAAAA&#10;AAAAAAAAAAAAAAcCAABkcnMvZG93bnJldi54bWxQSwUGAAAAAAMAAwC3AAAA9gIAAAAA&#10;" strokecolor="#4472c4 [3204]" strokeweight=".5pt">
                    <v:stroke endarrow="block" joinstyle="miter"/>
                  </v:shape>
                  <v:shape id="Straight Arrow Connector 39" o:spid="_x0000_s1036" type="#_x0000_t32" style="position:absolute;left:4036;top:19524;width:183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CnWwwAAANsAAAAPAAAAZHJzL2Rvd25yZXYueG1sRI9ba8JA&#10;EIXfC/0PyxR8Ed14qdTUVUpB7GtTKz4O2Wk2mJ0N2anGf98VhD4ezuXjrDa9b9SZulgHNjAZZ6CI&#10;y2Brrgzsv7ajF1BRkC02gcnAlSJs1o8PK8xtuPAnnQupVBrhmKMBJ9LmWsfSkcc4Di1x8n5C51GS&#10;7CptO7ykcd/oaZYttMeaE8FhS++OylPx6xOX9tNh8Txczk87/D4enFznEzFm8NS/vYIS6uU/fG9/&#10;WAOzJdy+pB+g138AAAD//wMAUEsBAi0AFAAGAAgAAAAhANvh9svuAAAAhQEAABMAAAAAAAAAAAAA&#10;AAAAAAAAAFtDb250ZW50X1R5cGVzXS54bWxQSwECLQAUAAYACAAAACEAWvQsW78AAAAVAQAACwAA&#10;AAAAAAAAAAAAAAAfAQAAX3JlbHMvLnJlbHNQSwECLQAUAAYACAAAACEA3rAp1sMAAADbAAAADwAA&#10;AAAAAAAAAAAAAAAHAgAAZHJzL2Rvd25yZXYueG1sUEsFBgAAAAADAAMAtwAAAPcCAAAAAA==&#10;" strokecolor="#4472c4 [3204]" strokeweight=".5pt">
                    <v:stroke endarrow="block" joinstyle="miter"/>
                  </v:shape>
                  <v:line id="Straight Connector 40" o:spid="_x0000_s1037" style="position:absolute;visibility:visible;mso-wrap-style:square" from="6015,4841" to="19813,16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lCuwgAAANsAAAAPAAAAZHJzL2Rvd25yZXYueG1sRE9da8Iw&#10;FH0X9h/CHexFNN0mol1TGTJBUHSrYc+X5q4ta25Kk2n3782D4OPhfGerwbbiTL1vHCt4niYgiEtn&#10;Gq4U6NNmsgDhA7LB1jEp+CcPq/xhlGFq3IW/6FyESsQQ9ikqqEPoUil9WZNFP3UdceR+XG8xRNhX&#10;0vR4ieG2lS9JMpcWG44NNXa0rqn8Lf6sgp1efo9fjwut7ak44KduPo77tVJPj8P7G4hAQ7iLb+6t&#10;UTCL6+OX+ANkfgUAAP//AwBQSwECLQAUAAYACAAAACEA2+H2y+4AAACFAQAAEwAAAAAAAAAAAAAA&#10;AAAAAAAAW0NvbnRlbnRfVHlwZXNdLnhtbFBLAQItABQABgAIAAAAIQBa9CxbvwAAABUBAAALAAAA&#10;AAAAAAAAAAAAAB8BAABfcmVscy8ucmVsc1BLAQItABQABgAIAAAAIQACclCuwgAAANsAAAAPAAAA&#10;AAAAAAAAAAAAAAcCAABkcnMvZG93bnJldi54bWxQSwUGAAAAAAMAAwC3AAAA9gIAAAAA&#10;" strokecolor="black [3200]" strokeweight=".5pt">
                    <v:stroke joinstyle="miter"/>
                  </v:line>
                  <v:line id="Straight Connector 41" o:spid="_x0000_s1038" style="position:absolute;flip:y;visibility:visible;mso-wrap-style:square" from="5720,2326" to="18838,13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uKwQAAANsAAAAPAAAAZHJzL2Rvd25yZXYueG1sRI/RasJA&#10;FETfBf9huULfdJPSBkldRQSlTylGP+CSvd0Es3dDdpvEv+8Kgo/DzJxhNrvJtmKg3jeOFaSrBARx&#10;5XTDRsH1clyuQfiArLF1TAru5GG3nc82mGs38pmGMhgRIexzVFCH0OVS+qomi37lOuLo/breYoiy&#10;N1L3OEa4beV7kmTSYsNxocaODjVVt/LPKtCmILl3ZvhMTXY9VuYHi9Og1Nti2n+BCDSFV/jZ/tYK&#10;PlJ4fIk/QG7/AQAA//8DAFBLAQItABQABgAIAAAAIQDb4fbL7gAAAIUBAAATAAAAAAAAAAAAAAAA&#10;AAAAAABbQ29udGVudF9UeXBlc10ueG1sUEsBAi0AFAAGAAgAAAAhAFr0LFu/AAAAFQEAAAsAAAAA&#10;AAAAAAAAAAAAHwEAAF9yZWxzLy5yZWxzUEsBAi0AFAAGAAgAAAAhAG3j+4rBAAAA2wAAAA8AAAAA&#10;AAAAAAAAAAAABwIAAGRycy9kb3ducmV2LnhtbFBLBQYAAAAAAwADALcAAAD1AgAAAAA=&#10;" strokecolor="black [3200]" strokeweight=".5pt">
                    <v:stroke joinstyle="miter"/>
                  </v:line>
                  <v:shape id="TextBox 13" o:spid="_x0000_s1039" type="#_x0000_t202" style="position:absolute;left:19033;top:2198;width:3601;height:5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nPJwgAAANsAAAAPAAAAZHJzL2Rvd25yZXYueG1sRI9Pa8JA&#10;FMTvBb/D8gq91Y3SiqSuIv4BD72o8f7IvmZDs29D9mnit3eFQo/DzPyGWawG36gbdbEObGAyzkAR&#10;l8HWXBkozvv3OagoyBabwGTgThFWy9HLAnMbej7S7SSVShCOORpwIm2udSwdeYzj0BIn7yd0HiXJ&#10;rtK2wz7BfaOnWTbTHmtOCw5b2jgqf09Xb0DErif3Yufj4TJ8b3uXlZ9YGPP2Oqy/QAkN8h/+ax+s&#10;gY8pPL+kH6CXDwAAAP//AwBQSwECLQAUAAYACAAAACEA2+H2y+4AAACFAQAAEwAAAAAAAAAAAAAA&#10;AAAAAAAAW0NvbnRlbnRfVHlwZXNdLnhtbFBLAQItABQABgAIAAAAIQBa9CxbvwAAABUBAAALAAAA&#10;AAAAAAAAAAAAAB8BAABfcmVscy8ucmVsc1BLAQItABQABgAIAAAAIQBGrnPJwgAAANsAAAAPAAAA&#10;AAAAAAAAAAAAAAcCAABkcnMvZG93bnJldi54bWxQSwUGAAAAAAMAAwC3AAAA9gIAAAAA&#10;" filled="f" stroked="f">
                    <v:textbox style="mso-fit-shape-to-text:t">
                      <w:txbxContent>
                        <w:p w14:paraId="608F0549" w14:textId="77777777" w:rsidR="004366FD" w:rsidRDefault="004366FD" w:rsidP="000E378B">
                          <w:pPr>
                            <w:rPr>
                              <w:rFonts w:hAnsi="Calibri"/>
                              <w:color w:val="000000" w:themeColor="text1"/>
                              <w:kern w:val="24"/>
                              <w:sz w:val="20"/>
                              <w:szCs w:val="20"/>
                            </w:rPr>
                          </w:pPr>
                          <w:r>
                            <w:rPr>
                              <w:rFonts w:hAnsi="Calibri"/>
                              <w:color w:val="000000" w:themeColor="text1"/>
                              <w:kern w:val="24"/>
                              <w:sz w:val="20"/>
                              <w:szCs w:val="20"/>
                            </w:rPr>
                            <w:t>S</w:t>
                          </w:r>
                        </w:p>
                      </w:txbxContent>
                    </v:textbox>
                  </v:shape>
                  <v:shape id="TextBox 14" o:spid="_x0000_s1040" type="#_x0000_t202" style="position:absolute;left:20106;top:14447;width:8139;height:5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tZSwgAAANsAAAAPAAAAZHJzL2Rvd25yZXYueG1sRI9Ba8JA&#10;FITvBf/D8oTe6kZtpaSuImrBg5dqvD+yr9nQ7NuQfZr477uFgsdhZr5hluvBN+pGXawDG5hOMlDE&#10;ZbA1VwaK8+fLO6goyBabwGTgThHWq9HTEnMbev6i20kqlSAcczTgRNpc61g68hgnoSVO3nfoPEqS&#10;XaVth32C+0bPsmyhPdacFhy2tHVU/pyu3oCI3Uzvxd7Hw2U47nqXlW9YGPM8HjYfoIQGeYT/2wdr&#10;4HUOf1/SD9CrXwAAAP//AwBQSwECLQAUAAYACAAAACEA2+H2y+4AAACFAQAAEwAAAAAAAAAAAAAA&#10;AAAAAAAAW0NvbnRlbnRfVHlwZXNdLnhtbFBLAQItABQABgAIAAAAIQBa9CxbvwAAABUBAAALAAAA&#10;AAAAAAAAAAAAAB8BAABfcmVscy8ucmVsc1BLAQItABQABgAIAAAAIQAp4tZSwgAAANsAAAAPAAAA&#10;AAAAAAAAAAAAAAcCAABkcnMvZG93bnJldi54bWxQSwUGAAAAAAMAAwC3AAAA9gIAAAAA&#10;" filled="f" stroked="f">
                    <v:textbox style="mso-fit-shape-to-text:t">
                      <w:txbxContent>
                        <w:p w14:paraId="69CAAD44" w14:textId="77777777" w:rsidR="004366FD" w:rsidRDefault="004366FD" w:rsidP="000E378B">
                          <w:pPr>
                            <w:rPr>
                              <w:rFonts w:hAnsi="Calibri"/>
                              <w:color w:val="000000" w:themeColor="text1"/>
                              <w:kern w:val="24"/>
                              <w:sz w:val="20"/>
                              <w:szCs w:val="20"/>
                            </w:rPr>
                          </w:pPr>
                          <w:r>
                            <w:rPr>
                              <w:rFonts w:hAnsi="Calibri"/>
                              <w:color w:val="000000" w:themeColor="text1"/>
                              <w:kern w:val="24"/>
                              <w:sz w:val="20"/>
                              <w:szCs w:val="20"/>
                            </w:rPr>
                            <w:t>D</w:t>
                          </w:r>
                        </w:p>
                      </w:txbxContent>
                    </v:textbox>
                  </v:shape>
                  <v:line id="Straight Connector 44" o:spid="_x0000_s1041" style="position:absolute;visibility:visible;mso-wrap-style:square" from="7824,2683" to="21622,13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VatxQAAANsAAAAPAAAAZHJzL2Rvd25yZXYueG1sRI9Ba8JA&#10;FITvhf6H5RW8FN1opcTUVYpYKCi1xsXzI/uahGbfhuxW4793BaHHYWa+YebL3jbiRJ2vHSsYjxIQ&#10;xIUzNZcK9OFjmILwAdlg45gUXMjDcvH4MMfMuDPv6ZSHUkQI+wwVVCG0mZS+qMiiH7mWOHo/rrMY&#10;ouxKaTo8R7ht5CRJXqXFmuNChS2tKip+8z+rYKNnx+eXXaq1PeRf+K3r9W67Umrw1L+/gQjUh//w&#10;vf1pFEyncPsSf4BcXAEAAP//AwBQSwECLQAUAAYACAAAACEA2+H2y+4AAACFAQAAEwAAAAAAAAAA&#10;AAAAAAAAAAAAW0NvbnRlbnRfVHlwZXNdLnhtbFBLAQItABQABgAIAAAAIQBa9CxbvwAAABUBAAAL&#10;AAAAAAAAAAAAAAAAAB8BAABfcmVscy8ucmVsc1BLAQItABQABgAIAAAAIQB9SVatxQAAANsAAAAP&#10;AAAAAAAAAAAAAAAAAAcCAABkcnMvZG93bnJldi54bWxQSwUGAAAAAAMAAwC3AAAA+QIAAAAA&#10;" strokecolor="black [3200]" strokeweight=".5pt">
                    <v:stroke joinstyle="miter"/>
                  </v:line>
                  <v:shape id="TextBox 17" o:spid="_x0000_s1042" type="#_x0000_t202" style="position:absolute;left:21619;top:11613;width:8139;height:5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u9wQAAANsAAAAPAAAAZHJzL2Rvd25yZXYueG1sRI9Ba8JA&#10;FITvBf/D8gq91Y2iIqmriFbw4EWN90f2NRuafRuyryb++65Q6HGYmW+Y1WbwjbpTF+vABibjDBRx&#10;GWzNlYHienhfgoqCbLEJTAYeFGGzHr2sMLeh5zPdL1KpBOGYowEn0uZax9KRxzgOLXHyvkLnUZLs&#10;Km077BPcN3qaZQvtsea04LClnaPy+/LjDYjY7eRRfPp4vA2nfe+yco6FMW+vw/YDlNAg/+G/9tEa&#10;mM3h+SX9AL3+BQAA//8DAFBLAQItABQABgAIAAAAIQDb4fbL7gAAAIUBAAATAAAAAAAAAAAAAAAA&#10;AAAAAABbQ29udGVudF9UeXBlc10ueG1sUEsBAi0AFAAGAAgAAAAhAFr0LFu/AAAAFQEAAAsAAAAA&#10;AAAAAAAAAAAAHwEAAF9yZWxzLy5yZWxzUEsBAi0AFAAGAAgAAAAhAMlH673BAAAA2wAAAA8AAAAA&#10;AAAAAAAAAAAABwIAAGRycy9kb3ducmV2LnhtbFBLBQYAAAAAAwADALcAAAD1AgAAAAA=&#10;" filled="f" stroked="f">
                    <v:textbox style="mso-fit-shape-to-text:t">
                      <w:txbxContent>
                        <w:p w14:paraId="1F65EB30" w14:textId="77777777" w:rsidR="004366FD" w:rsidRDefault="004366FD" w:rsidP="000E378B">
                          <w:pPr>
                            <w:rPr>
                              <w:rFonts w:hAnsi="Calibri"/>
                              <w:color w:val="000000" w:themeColor="text1"/>
                              <w:kern w:val="24"/>
                              <w:sz w:val="20"/>
                              <w:szCs w:val="20"/>
                            </w:rPr>
                          </w:pPr>
                          <w:r>
                            <w:rPr>
                              <w:rFonts w:hAnsi="Calibri"/>
                              <w:color w:val="000000" w:themeColor="text1"/>
                              <w:kern w:val="24"/>
                              <w:sz w:val="20"/>
                              <w:szCs w:val="20"/>
                            </w:rPr>
                            <w:t>D’</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46" o:spid="_x0000_s1043" type="#_x0000_t87" style="position:absolute;left:5335;top:1577;width:1906;height:3693;rotation:271892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0mJxAAAANsAAAAPAAAAZHJzL2Rvd25yZXYueG1sRI/disIw&#10;FITvhX2HcBa809RFinSNogvLCgriDyzeHZpjW2xOShK1fXsjCF4OM/MNM523phY3cr6yrGA0TEAQ&#10;51ZXXCg4Hn4HExA+IGusLZOCjjzMZx+9KWba3nlHt30oRISwz1BBGUKTSenzkgz6oW2Io3e2zmCI&#10;0hVSO7xHuKnlV5Kk0mDFcaHEhn5Kyi/7q1GwPXWXtDqb1WS9TMf55uj+/junVP+zXXyDCNSGd/jV&#10;XmkF4xSeX+IPkLMHAAAA//8DAFBLAQItABQABgAIAAAAIQDb4fbL7gAAAIUBAAATAAAAAAAAAAAA&#10;AAAAAAAAAABbQ29udGVudF9UeXBlc10ueG1sUEsBAi0AFAAGAAgAAAAhAFr0LFu/AAAAFQEAAAsA&#10;AAAAAAAAAAAAAAAAHwEAAF9yZWxzLy5yZWxzUEsBAi0AFAAGAAgAAAAhADhjSYnEAAAA2wAAAA8A&#10;AAAAAAAAAAAAAAAABwIAAGRycy9kb3ducmV2LnhtbFBLBQYAAAAAAwADALcAAAD4AgAAAAA=&#10;" adj="929" strokecolor="#4472c4 [3204]" strokeweight=".5pt">
                    <v:stroke joinstyle="miter"/>
                  </v:shape>
                  <v:shape id="TextBox 19" o:spid="_x0000_s1044" type="#_x0000_t202" style="position:absolute;left:3917;width:3602;height:5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dBRwgAAANsAAAAPAAAAZHJzL2Rvd25yZXYueG1sRI9Ba8JA&#10;FITvBf/D8oTe6kaxtaSuImrBg5dqvD+yr9nQ7NuQfZr477uFgsdhZr5hluvBN+pGXawDG5hOMlDE&#10;ZbA1VwaK8+fLO6goyBabwGTgThHWq9HTEnMbev6i20kqlSAcczTgRNpc61g68hgnoSVO3nfoPEqS&#10;XaVth32C+0bPsuxNe6w5LThsaeuo/DldvQERu5nei72Ph8tw3PUuK1+xMOZ5PGw+QAkN8gj/tw/W&#10;wHwBf1/SD9CrXwAAAP//AwBQSwECLQAUAAYACAAAACEA2+H2y+4AAACFAQAAEwAAAAAAAAAAAAAA&#10;AAAAAAAAW0NvbnRlbnRfVHlwZXNdLnhtbFBLAQItABQABgAIAAAAIQBa9CxbvwAAABUBAAALAAAA&#10;AAAAAAAAAAAAAB8BAABfcmVscy8ucmVsc1BLAQItABQABgAIAAAAIQBW2dBRwgAAANsAAAAPAAAA&#10;AAAAAAAAAAAAAAcCAABkcnMvZG93bnJldi54bWxQSwUGAAAAAAMAAwC3AAAA9gIAAAAA&#10;" filled="f" stroked="f">
                    <v:textbox style="mso-fit-shape-to-text:t">
                      <w:txbxContent>
                        <w:p w14:paraId="23FC4FFB" w14:textId="77777777" w:rsidR="004366FD" w:rsidRDefault="004366FD" w:rsidP="000E378B">
                          <w:pPr>
                            <w:rPr>
                              <w:rFonts w:hAnsi="Calibri"/>
                              <w:color w:val="000000" w:themeColor="text1"/>
                              <w:kern w:val="24"/>
                              <w:sz w:val="20"/>
                              <w:szCs w:val="20"/>
                            </w:rPr>
                          </w:pPr>
                          <w:r>
                            <w:rPr>
                              <w:rFonts w:hAnsi="Calibri"/>
                              <w:color w:val="000000" w:themeColor="text1"/>
                              <w:kern w:val="24"/>
                              <w:sz w:val="20"/>
                              <w:szCs w:val="20"/>
                            </w:rPr>
                            <w:t>τ</w:t>
                          </w:r>
                        </w:p>
                      </w:txbxContent>
                    </v:textbox>
                  </v:shape>
                </v:group>
                <v:line id="Straight Connector 48" o:spid="_x0000_s1045" style="position:absolute;visibility:visible;mso-wrap-style:square" from="4183,7238" to="13195,7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f4YwwAAANsAAAAPAAAAZHJzL2Rvd25yZXYueG1sRI/BSsNA&#10;EIbvgu+wjODNbqq1aOy2SKFQT9qk4HXIjtlgdjbsbpv07Z1DwePwz//NfKvN5Ht1ppi6wAbmswIU&#10;cRNsx62BY717eAGVMrLFPjAZuFCCzfr2ZoWlDSMf6FzlVgmEU4kGXM5DqXVqHHlMszAQS/YToscs&#10;Y2y1jTgK3Pf6sSiW2mPHcsHhQFtHzW918kKpnz5238v4Oe++eq5fKzfWz86Y+7vp/Q1Upin/L1/b&#10;e2tgIc+Ki3iAXv8BAAD//wMAUEsBAi0AFAAGAAgAAAAhANvh9svuAAAAhQEAABMAAAAAAAAAAAAA&#10;AAAAAAAAAFtDb250ZW50X1R5cGVzXS54bWxQSwECLQAUAAYACAAAACEAWvQsW78AAAAVAQAACwAA&#10;AAAAAAAAAAAAAAAfAQAAX3JlbHMvLnJlbHNQSwECLQAUAAYACAAAACEAIb3+GMMAAADbAAAADwAA&#10;AAAAAAAAAAAAAAAHAgAAZHJzL2Rvd25yZXYueG1sUEsFBgAAAAADAAMAtwAAAPcCAAAAAA==&#10;" strokecolor="#4472c4 [3204]">
                  <v:stroke dashstyle="dash"/>
                  <o:lock v:ext="edit" shapetype="f"/>
                </v:line>
                <v:line id="Straight Connector 49" o:spid="_x0000_s1046" style="position:absolute;visibility:visible;mso-wrap-style:square" from="4183,9055" to="11041,9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VuDwgAAANsAAAAPAAAAZHJzL2Rvd25yZXYueG1sRI9BawIx&#10;FITvBf9DeIK3mrW2oqtRpCDYU+uu4PWxeW4WNy9LEt3tv28KhR6HmfmG2ewG24oH+dA4VjCbZiCI&#10;K6cbrhWcy8PzEkSIyBpbx6TgmwLstqOnDeba9XyiRxFrkSAcclRgYuxyKUNlyGKYuo44eVfnLcYk&#10;fS21xz7BbStfsmwhLTacFgx29G6ouhV3myjl/ONwWfjPWfPVcrkqTF++GaUm42G/BhFpiP/hv/ZR&#10;K3hdwe+X9APk9gcAAP//AwBQSwECLQAUAAYACAAAACEA2+H2y+4AAACFAQAAEwAAAAAAAAAAAAAA&#10;AAAAAAAAW0NvbnRlbnRfVHlwZXNdLnhtbFBLAQItABQABgAIAAAAIQBa9CxbvwAAABUBAAALAAAA&#10;AAAAAAAAAAAAAB8BAABfcmVscy8ucmVsc1BLAQItABQABgAIAAAAIQBO8VuDwgAAANsAAAAPAAAA&#10;AAAAAAAAAAAAAAcCAABkcnMvZG93bnJldi54bWxQSwUGAAAAAAMAAwC3AAAA9gIAAAAA&#10;" strokecolor="#4472c4 [3204]">
                  <v:stroke dashstyle="dash"/>
                  <o:lock v:ext="edit" shapetype="f"/>
                </v:line>
                <v:line id="Straight Connector 50" o:spid="_x0000_s1047" style="position:absolute;visibility:visible;mso-wrap-style:square" from="11041,9055" to="11041,19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mTDwgAAANsAAAAPAAAAZHJzL2Rvd25yZXYueG1sRI/BSsNA&#10;EIbvBd9hGcFbu6nSorHbIkJAT9VE8Dpkx2wwOxt21yS+fecgeBz++b+Z73Ba/KAmiqkPbGC7KUAR&#10;t8H23Bn4aKr1PaiUkS0OgcnALyU4Ha9WByxtmPmdpjp3SiCcSjTgch5LrVPryGPahJFYsq8QPWYZ&#10;Y6dtxFngftC3RbHXHnuWCw5HenbUftc/XijN3Wv1uY/nbf82cPNQu7nZOWNurpenR1CZlvy//Nd+&#10;sQZ28r24iAfo4wUAAP//AwBQSwECLQAUAAYACAAAACEA2+H2y+4AAACFAQAAEwAAAAAAAAAAAAAA&#10;AAAAAAAAW0NvbnRlbnRfVHlwZXNdLnhtbFBLAQItABQABgAIAAAAIQBa9CxbvwAAABUBAAALAAAA&#10;AAAAAAAAAAAAAB8BAABfcmVscy8ucmVsc1BLAQItABQABgAIAAAAIQBaEmTDwgAAANsAAAAPAAAA&#10;AAAAAAAAAAAAAAcCAABkcnMvZG93bnJldi54bWxQSwUGAAAAAAMAAwC3AAAA9gIAAAAA&#10;" strokecolor="#4472c4 [3204]">
                  <v:stroke dashstyle="dash"/>
                  <o:lock v:ext="edit" shapetype="f"/>
                </v:line>
                <v:line id="Straight Connector 51" o:spid="_x0000_s1048" style="position:absolute;visibility:visible;mso-wrap-style:square" from="13195,7238" to="13195,19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sFYwgAAANsAAAAPAAAAZHJzL2Rvd25yZXYueG1sRI9Ba8JA&#10;FITvBf/D8oTe6iYVxaauIoJgT9pE8PrIvmZDs2/D7tak/74rCD0OM/MNs96OthM38qF1rCCfZSCI&#10;a6dbbhRcqsPLCkSIyBo7x6TglwJsN5OnNRbaDfxJtzI2IkE4FKjAxNgXUobakMUwcz1x8r6ctxiT&#10;9I3UHocEt518zbKltNhyWjDY095Q/V3+2ESp5h+H69Kf8vbccfVWmqFaGKWep+PuHUSkMf6HH+2j&#10;VrDI4f4l/QC5+QMAAP//AwBQSwECLQAUAAYACAAAACEA2+H2y+4AAACFAQAAEwAAAAAAAAAAAAAA&#10;AAAAAAAAW0NvbnRlbnRfVHlwZXNdLnhtbFBLAQItABQABgAIAAAAIQBa9CxbvwAAABUBAAALAAAA&#10;AAAAAAAAAAAAAB8BAABfcmVscy8ucmVsc1BLAQItABQABgAIAAAAIQA1XsFYwgAAANsAAAAPAAAA&#10;AAAAAAAAAAAAAAcCAABkcnMvZG93bnJldi54bWxQSwUGAAAAAAMAAwC3AAAA9gIAAAAA&#10;" strokecolor="#4472c4 [3204]">
                  <v:stroke dashstyle="dash"/>
                  <o:lock v:ext="edit" shapetype="f"/>
                </v:line>
                <v:shape id="TextBox 36" o:spid="_x0000_s1049" type="#_x0000_t202" style="position:absolute;top:7037;width:7172;height:5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UUwQAAANsAAAAPAAAAZHJzL2Rvd25yZXYueG1sRI9Ba8JA&#10;FITvhf6H5RW81Y2CItFVpLbgwYs23h/ZZzY0+zZknyb+e1cQehxm5htmtRl8o27UxTqwgck4A0Vc&#10;BltzZaD4/flcgIqCbLEJTAbuFGGzfn9bYW5Dz0e6naRSCcIxRwNOpM21jqUjj3EcWuLkXULnUZLs&#10;Km077BPcN3qaZXPtsea04LClL0fl3+nqDYjY7eRefPu4Pw+HXe+ycoaFMaOPYbsEJTTIf/jV3lsD&#10;syk8v6QfoNcPAAAA//8DAFBLAQItABQABgAIAAAAIQDb4fbL7gAAAIUBAAATAAAAAAAAAAAAAAAA&#10;AAAAAABbQ29udGVudF9UeXBlc10ueG1sUEsBAi0AFAAGAAgAAAAhAFr0LFu/AAAAFQEAAAsAAAAA&#10;AAAAAAAAAAAAHwEAAF9yZWxzLy5yZWxzUEsBAi0AFAAGAAgAAAAhAMN35RTBAAAA2wAAAA8AAAAA&#10;AAAAAAAAAAAABwIAAGRycy9kb3ducmV2LnhtbFBLBQYAAAAAAwADALcAAAD1AgAAAAA=&#10;" filled="f" stroked="f">
                  <v:textbox style="mso-fit-shape-to-text:t">
                    <w:txbxContent>
                      <w:p w14:paraId="219504DC" w14:textId="77777777" w:rsidR="004366FD" w:rsidRDefault="004366FD" w:rsidP="000E378B">
                        <w:pPr>
                          <w:rPr>
                            <w:rFonts w:hAnsi="Calibri"/>
                            <w:color w:val="000000" w:themeColor="text1"/>
                            <w:kern w:val="24"/>
                            <w:sz w:val="20"/>
                            <w:szCs w:val="20"/>
                          </w:rPr>
                        </w:pPr>
                        <w:r>
                          <w:rPr>
                            <w:rFonts w:hAnsi="Calibri"/>
                            <w:color w:val="000000" w:themeColor="text1"/>
                            <w:kern w:val="24"/>
                            <w:sz w:val="20"/>
                            <w:szCs w:val="20"/>
                          </w:rPr>
                          <w:t>pn</w:t>
                        </w:r>
                      </w:p>
                    </w:txbxContent>
                  </v:textbox>
                </v:shape>
                <v:shape id="TextBox 37" o:spid="_x0000_s1050" type="#_x0000_t202" style="position:absolute;left:227;top:4975;width:9766;height:5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0CPwQAAANsAAAAPAAAAZHJzL2Rvd25yZXYueG1sRI9Ba8JA&#10;FITvBf/D8gq91Y2KIqmriFbw4EWN90f2NRuafRuyryb++65Q6HGYmW+Y1WbwjbpTF+vABibjDBRx&#10;GWzNlYHienhfgoqCbLEJTAYeFGGzHr2sMLeh5zPdL1KpBOGYowEn0uZax9KRxzgOLXHyvkLnUZLs&#10;Km077BPcN3qaZQvtsea04LClnaPy+/LjDYjY7eRRfPp4vA2nfe+yco6FMW+vw/YDlNAg/+G/9tEa&#10;mM/g+SX9AL3+BQAA//8DAFBLAQItABQABgAIAAAAIQDb4fbL7gAAAIUBAAATAAAAAAAAAAAAAAAA&#10;AAAAAABbQ29udGVudF9UeXBlc10ueG1sUEsBAi0AFAAGAAgAAAAhAFr0LFu/AAAAFQEAAAsAAAAA&#10;AAAAAAAAAAAAHwEAAF9yZWxzLy5yZWxzUEsBAi0AFAAGAAgAAAAhAKw7QI/BAAAA2wAAAA8AAAAA&#10;AAAAAAAAAAAABwIAAGRycy9kb3ducmV2LnhtbFBLBQYAAAAAAwADALcAAAD1AgAAAAA=&#10;" filled="f" stroked="f">
                  <v:textbox style="mso-fit-shape-to-text:t">
                    <w:txbxContent>
                      <w:p w14:paraId="2405CFD1" w14:textId="77777777" w:rsidR="004366FD" w:rsidRDefault="004366FD" w:rsidP="000E378B">
                        <w:pPr>
                          <w:rPr>
                            <w:rFonts w:hAnsi="Calibri"/>
                            <w:color w:val="000000" w:themeColor="text1"/>
                            <w:kern w:val="24"/>
                            <w:sz w:val="20"/>
                            <w:szCs w:val="20"/>
                          </w:rPr>
                        </w:pPr>
                        <w:r>
                          <w:rPr>
                            <w:rFonts w:hAnsi="Calibri"/>
                            <w:color w:val="000000" w:themeColor="text1"/>
                            <w:kern w:val="24"/>
                            <w:sz w:val="20"/>
                            <w:szCs w:val="20"/>
                          </w:rPr>
                          <w:t>P*</w:t>
                        </w:r>
                      </w:p>
                    </w:txbxContent>
                  </v:textbox>
                </v:shape>
                <v:shape id="TextBox 39" o:spid="_x0000_s1051" type="#_x0000_t202" style="position:absolute;left:7522;top:19227;width:6115;height:5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tj7wQAAANsAAAAPAAAAZHJzL2Rvd25yZXYueG1sRI9Ba8JA&#10;FITvBf/D8gq91Y2iIqmriFbw4EWN90f2NRuafRuyryb++65Q6HGYmW+Y1WbwjbpTF+vABibjDBRx&#10;GWzNlYHienhfgoqCbLEJTAYeFGGzHr2sMLeh5zPdL1KpBOGYowEn0uZax9KRxzgOLXHyvkLnUZLs&#10;Km077BPcN3qaZQvtsea04LClnaPy+/LjDYjY7eRRfPp4vA2nfe+yco6FMW+vw/YDlNAg/+G/9tEa&#10;mM/g+SX9AL3+BQAA//8DAFBLAQItABQABgAIAAAAIQDb4fbL7gAAAIUBAAATAAAAAAAAAAAAAAAA&#10;AAAAAABbQ29udGVudF9UeXBlc10ueG1sUEsBAi0AFAAGAAgAAAAhAFr0LFu/AAAAFQEAAAsAAAAA&#10;AAAAAAAAAAAAHwEAAF9yZWxzLy5yZWxzUEsBAi0AFAAGAAgAAAAhACPS2PvBAAAA2wAAAA8AAAAA&#10;AAAAAAAAAAAABwIAAGRycy9kb3ducmV2LnhtbFBLBQYAAAAAAwADALcAAAD1AgAAAAA=&#10;" filled="f" stroked="f">
                  <v:textbox style="mso-fit-shape-to-text:t">
                    <w:txbxContent>
                      <w:p w14:paraId="0B25A073" w14:textId="77777777" w:rsidR="004366FD" w:rsidRDefault="004366FD" w:rsidP="000E378B">
                        <w:pPr>
                          <w:rPr>
                            <w:rFonts w:hAnsi="Calibri"/>
                            <w:color w:val="000000" w:themeColor="text1"/>
                            <w:kern w:val="24"/>
                            <w:sz w:val="20"/>
                            <w:szCs w:val="20"/>
                          </w:rPr>
                        </w:pPr>
                        <w:r>
                          <w:rPr>
                            <w:rFonts w:hAnsi="Calibri"/>
                            <w:color w:val="000000" w:themeColor="text1"/>
                            <w:kern w:val="24"/>
                            <w:sz w:val="20"/>
                            <w:szCs w:val="20"/>
                          </w:rPr>
                          <w:t>qn</w:t>
                        </w:r>
                      </w:p>
                    </w:txbxContent>
                  </v:textbox>
                </v:shape>
                <v:shape id="TextBox 40" o:spid="_x0000_s1052" type="#_x0000_t202" style="position:absolute;left:11638;top:19047;width:6105;height:5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n1gwQAAANsAAAAPAAAAZHJzL2Rvd25yZXYueG1sRI9Ba8JA&#10;FITvBf/D8gre6kYhIqmrSK3gwYs2vT+yr9nQ7NuQfTXx37uC0OMwM98w6+3oW3WlPjaBDcxnGSji&#10;KtiGawPl1+FtBSoKssU2MBm4UYTtZvKyxsKGgc90vUitEoRjgQacSFdoHStHHuMsdMTJ+wm9R0my&#10;r7XtcUhw3+pFli21x4bTgsOOPhxVv5c/b0DE7ua38tPH4/d42g8uq3IsjZm+jrt3UEKj/Ief7aM1&#10;kOfw+JJ+gN7cAQAA//8DAFBLAQItABQABgAIAAAAIQDb4fbL7gAAAIUBAAATAAAAAAAAAAAAAAAA&#10;AAAAAABbQ29udGVudF9UeXBlc10ueG1sUEsBAi0AFAAGAAgAAAAhAFr0LFu/AAAAFQEAAAsAAAAA&#10;AAAAAAAAAAAAHwEAAF9yZWxzLy5yZWxzUEsBAi0AFAAGAAgAAAAhAEyefWDBAAAA2wAAAA8AAAAA&#10;AAAAAAAAAAAABwIAAGRycy9kb3ducmV2LnhtbFBLBQYAAAAAAwADALcAAAD1AgAAAAA=&#10;" filled="f" stroked="f">
                  <v:textbox style="mso-fit-shape-to-text:t">
                    <w:txbxContent>
                      <w:p w14:paraId="4DBF066C" w14:textId="77777777" w:rsidR="004366FD" w:rsidRDefault="004366FD" w:rsidP="000E378B">
                        <w:pPr>
                          <w:rPr>
                            <w:rFonts w:hAnsi="Calibri"/>
                            <w:color w:val="000000" w:themeColor="text1"/>
                            <w:kern w:val="24"/>
                            <w:sz w:val="20"/>
                            <w:szCs w:val="20"/>
                          </w:rPr>
                        </w:pPr>
                        <w:r>
                          <w:rPr>
                            <w:rFonts w:hAnsi="Calibri"/>
                            <w:color w:val="000000" w:themeColor="text1"/>
                            <w:kern w:val="24"/>
                            <w:sz w:val="20"/>
                            <w:szCs w:val="20"/>
                          </w:rPr>
                          <w:t>q*</w:t>
                        </w:r>
                      </w:p>
                    </w:txbxContent>
                  </v:textbox>
                </v:shape>
                <w10:anchorlock/>
              </v:group>
            </w:pict>
          </mc:Fallback>
        </mc:AlternateContent>
      </w:r>
    </w:p>
    <w:p w14:paraId="0D612DEC" w14:textId="5CA1EF03" w:rsidR="006B5996" w:rsidRDefault="006B5996" w:rsidP="002A0EA3">
      <w:pPr>
        <w:jc w:val="both"/>
        <w:rPr>
          <w:rFonts w:eastAsiaTheme="minorEastAsia"/>
          <w:lang w:val="it-IT"/>
        </w:rPr>
      </w:pPr>
      <w:r>
        <w:rPr>
          <w:rFonts w:eastAsiaTheme="minorEastAsia"/>
          <w:lang w:val="it-IT"/>
        </w:rPr>
        <w:t xml:space="preserve">Infatti senza i costi di transazione </w:t>
      </w:r>
      <w:r w:rsidR="00B52DAB">
        <w:rPr>
          <w:rFonts w:eastAsiaTheme="minorEastAsia"/>
          <w:lang w:val="it-IT"/>
        </w:rPr>
        <w:t>la curva di domanda D potrebbe assestarsi sul livello D’ a cui corrisponde un maggiore p*q</w:t>
      </w:r>
      <w:r w:rsidR="000E378B">
        <w:rPr>
          <w:rFonts w:eastAsiaTheme="minorEastAsia"/>
          <w:lang w:val="it-IT"/>
        </w:rPr>
        <w:t xml:space="preserve">, lo si può notare anche geometricamente dal momento che ai due equilibri </w:t>
      </w:r>
      <w:r w:rsidR="00BB13AC">
        <w:rPr>
          <w:rFonts w:eastAsiaTheme="minorEastAsia"/>
          <w:lang w:val="it-IT"/>
        </w:rPr>
        <w:t>corrispondono</w:t>
      </w:r>
      <w:r w:rsidR="000E378B">
        <w:rPr>
          <w:rFonts w:eastAsiaTheme="minorEastAsia"/>
          <w:lang w:val="it-IT"/>
        </w:rPr>
        <w:t xml:space="preserve"> </w:t>
      </w:r>
      <w:r w:rsidR="000E378B">
        <w:rPr>
          <w:rFonts w:eastAsiaTheme="minorEastAsia"/>
          <w:lang w:val="it-IT"/>
        </w:rPr>
        <w:lastRenderedPageBreak/>
        <w:t xml:space="preserve">quadrilateri di diversa dimensione, quello senza imposta maggiore rispetto al caso con presenza di costi di transazione. </w:t>
      </w:r>
    </w:p>
    <w:p w14:paraId="4B5B3416" w14:textId="561C0E69" w:rsidR="00D1428D" w:rsidRDefault="00D1428D" w:rsidP="002A0EA3">
      <w:pPr>
        <w:jc w:val="both"/>
        <w:rPr>
          <w:rFonts w:eastAsiaTheme="minorEastAsia"/>
          <w:lang w:val="it-IT"/>
        </w:rPr>
      </w:pPr>
      <w:r>
        <w:rPr>
          <w:rFonts w:eastAsiaTheme="minorEastAsia"/>
          <w:lang w:val="it-IT"/>
        </w:rPr>
        <w:t xml:space="preserve">Se alla considerazione sopra si aggiunge il fatto che il mercato immobiliare è di per sé inefficiente, cade anche l’ipotesi di equilibrio delle curve di domanda e offerta. Un mercato </w:t>
      </w:r>
      <w:r w:rsidR="00E87C4D">
        <w:rPr>
          <w:rFonts w:eastAsiaTheme="minorEastAsia"/>
          <w:lang w:val="it-IT"/>
        </w:rPr>
        <w:t>inefficiente, infatti,</w:t>
      </w:r>
      <w:r>
        <w:rPr>
          <w:rFonts w:eastAsiaTheme="minorEastAsia"/>
          <w:lang w:val="it-IT"/>
        </w:rPr>
        <w:t xml:space="preserve"> è un mercato instabile che non riesce </w:t>
      </w:r>
      <w:r w:rsidR="00E87C4D">
        <w:rPr>
          <w:rFonts w:eastAsiaTheme="minorEastAsia"/>
          <w:lang w:val="it-IT"/>
        </w:rPr>
        <w:t>a raggiungere l’equilibrio ottimo</w:t>
      </w:r>
      <w:r w:rsidR="003426EC">
        <w:rPr>
          <w:rFonts w:eastAsiaTheme="minorEastAsia"/>
          <w:lang w:val="it-IT"/>
        </w:rPr>
        <w:t xml:space="preserve">. </w:t>
      </w:r>
    </w:p>
    <w:p w14:paraId="10E9CA66" w14:textId="4971A492" w:rsidR="0033143C" w:rsidRPr="00764C29" w:rsidRDefault="00E87C4D" w:rsidP="002A0EA3">
      <w:pPr>
        <w:jc w:val="both"/>
        <w:rPr>
          <w:rFonts w:eastAsiaTheme="minorEastAsia"/>
          <w:lang w:val="it-IT"/>
        </w:rPr>
      </w:pPr>
      <w:r>
        <w:rPr>
          <w:rFonts w:eastAsiaTheme="minorEastAsia"/>
          <w:lang w:val="it-IT"/>
        </w:rPr>
        <w:t>È facile quindi intuire che efficientare il mercato immobiliare darebbe dei benefici collettivi, sia in termini di stabilizzazione sia in termini di miglioramento paretiano n</w:t>
      </w:r>
      <w:r w:rsidR="006776FE">
        <w:rPr>
          <w:rFonts w:eastAsiaTheme="minorEastAsia"/>
          <w:lang w:val="it-IT"/>
        </w:rPr>
        <w:t xml:space="preserve">ell’allocazione delle risorse. </w:t>
      </w:r>
    </w:p>
    <w:p w14:paraId="7E4748A1" w14:textId="017A601F" w:rsidR="00214029" w:rsidRPr="00F96097" w:rsidRDefault="001B6483" w:rsidP="001B6483">
      <w:pPr>
        <w:pStyle w:val="Heading1"/>
      </w:pPr>
      <w:bookmarkStart w:id="21" w:name="_Toc100246238"/>
      <w:r w:rsidRPr="00F96097">
        <w:t>Capitolo 3</w:t>
      </w:r>
      <w:bookmarkEnd w:id="21"/>
    </w:p>
    <w:p w14:paraId="112CEC76" w14:textId="53C18F51" w:rsidR="001B6483" w:rsidRDefault="001B6483" w:rsidP="001B6483">
      <w:r w:rsidRPr="00F96097">
        <w:t xml:space="preserve">Efficiency of Chinese Real Estate </w:t>
      </w:r>
      <w:r w:rsidRPr="00BF34C1">
        <w:t>Market Based on Complexity-Entropy Binary Cau</w:t>
      </w:r>
      <w:r w:rsidRPr="001B6483">
        <w:t>sal Plane Method</w:t>
      </w:r>
      <w:r>
        <w:t xml:space="preserve"> </w:t>
      </w:r>
      <w:r>
        <w:sym w:font="Wingdings" w:char="F0E0"/>
      </w:r>
      <w:r w:rsidRPr="001B6483">
        <w:t>Yan Chen,</w:t>
      </w:r>
      <w:r>
        <w:t xml:space="preserve"> Ya Cai,</w:t>
      </w:r>
      <w:r w:rsidRPr="001B6483">
        <w:t xml:space="preserve"> and Chengli Zheng</w:t>
      </w:r>
    </w:p>
    <w:p w14:paraId="43A3FDD4" w14:textId="4BC656F9" w:rsidR="001B6483" w:rsidRDefault="00004AB9" w:rsidP="001B6483">
      <w:hyperlink r:id="rId20" w:anchor=":~:text=Permutation%20Entropy%20(PE)%20is%20a,Henry%20and%20Judge%2C%202019)" w:history="1">
        <w:r w:rsidR="00BF1C60" w:rsidRPr="00D459B8">
          <w:rPr>
            <w:rStyle w:val="Hyperlink"/>
          </w:rPr>
          <w:t>https://www.aptech.com/blog/permutation-entropy/#:~:text=Permutation%20Entropy%20(PE)%20is%20a,Henry%20and%20Judge%2C%202019)</w:t>
        </w:r>
      </w:hyperlink>
      <w:r w:rsidR="00BF1C60" w:rsidRPr="00BF1C60">
        <w:t>.</w:t>
      </w:r>
    </w:p>
    <w:p w14:paraId="138A0045" w14:textId="555CBCCC" w:rsidR="008300FB" w:rsidRDefault="008300FB" w:rsidP="001B6483">
      <w:r>
        <w:t xml:space="preserve">+ </w:t>
      </w:r>
      <w:r w:rsidRPr="008300FB">
        <w:t>The Role of Transaction Costs in Impeding Market Exchange in Real Estate</w:t>
      </w:r>
      <w:r>
        <w:t xml:space="preserve">. </w:t>
      </w:r>
    </w:p>
    <w:p w14:paraId="73203807" w14:textId="5288312C" w:rsidR="00BF1C60" w:rsidRPr="00E55E9D" w:rsidRDefault="006776FE" w:rsidP="006776FE">
      <w:pPr>
        <w:pStyle w:val="Heading1"/>
        <w:rPr>
          <w:lang w:val="it-IT"/>
        </w:rPr>
      </w:pPr>
      <w:bookmarkStart w:id="22" w:name="_Toc100246239"/>
      <w:r w:rsidRPr="00E55E9D">
        <w:rPr>
          <w:lang w:val="it-IT"/>
        </w:rPr>
        <w:t>Capitolo 4</w:t>
      </w:r>
      <w:bookmarkEnd w:id="22"/>
    </w:p>
    <w:p w14:paraId="65208410" w14:textId="71556D9A" w:rsidR="006776FE" w:rsidRDefault="006776FE" w:rsidP="006776FE">
      <w:pPr>
        <w:rPr>
          <w:lang w:val="it-IT"/>
        </w:rPr>
      </w:pPr>
    </w:p>
    <w:p w14:paraId="2020C656" w14:textId="69D80D30" w:rsidR="0049466D" w:rsidRDefault="006776FE" w:rsidP="006776FE">
      <w:pPr>
        <w:rPr>
          <w:lang w:val="it-IT"/>
        </w:rPr>
      </w:pPr>
      <w:r w:rsidRPr="006776FE">
        <w:rPr>
          <w:lang w:val="it-IT"/>
        </w:rPr>
        <w:t xml:space="preserve">Dai capitoli 1 e 2 si è mostrato come il mercato immobiliare sia inefficiente e come, eliminando le cause di inefficienza, si possa raggiungere un livello di benessere superiore per il mercato, gli attori coinvolti e l’economia tutta. </w:t>
      </w:r>
    </w:p>
    <w:p w14:paraId="1E55BD75" w14:textId="172E0865" w:rsidR="006F52D1" w:rsidRDefault="006F52D1" w:rsidP="006776FE">
      <w:pPr>
        <w:rPr>
          <w:lang w:val="it-IT"/>
        </w:rPr>
      </w:pPr>
      <w:r w:rsidRPr="006F52D1">
        <w:rPr>
          <w:highlight w:val="yellow"/>
          <w:lang w:val="it-IT"/>
        </w:rPr>
        <w:t>Perché si parla di pooling? Perché obbiettivo dei token è essere una alternativa ai REIT che fanno pooling</w:t>
      </w:r>
    </w:p>
    <w:p w14:paraId="0DA85FD7" w14:textId="6ADA4FD3" w:rsidR="006F52D1" w:rsidRPr="006F52D1" w:rsidRDefault="00B0265A" w:rsidP="001E6BA2">
      <w:pPr>
        <w:jc w:val="both"/>
        <w:rPr>
          <w:lang w:val="it-IT"/>
        </w:rPr>
      </w:pPr>
      <w:r w:rsidRPr="00B0265A">
        <w:rPr>
          <w:lang w:val="it-IT"/>
        </w:rPr>
        <w:t>Nella finanza moderna il “pooling” è il fondamento del risk managment.</w:t>
      </w:r>
      <w:r w:rsidR="006F52D1">
        <w:rPr>
          <w:lang w:val="it-IT"/>
        </w:rPr>
        <w:t xml:space="preserve"> Uno degli scopi della finanza strutturata, e dei suoi strumenti, è lo spostamento del rischio tra istituzioni finanziarie e settori. Attraverso il pooling si riesce a reingegnerizzare il profilo di rischio degli asset e trasformare “</w:t>
      </w:r>
      <w:r w:rsidR="006F52D1" w:rsidRPr="006F52D1">
        <w:rPr>
          <w:lang w:val="it-IT"/>
        </w:rPr>
        <w:t>a pool of assets i</w:t>
      </w:r>
      <w:r w:rsidR="006F52D1">
        <w:rPr>
          <w:lang w:val="it-IT"/>
        </w:rPr>
        <w:t xml:space="preserve">nto one or more securities that </w:t>
      </w:r>
      <w:r w:rsidR="006F52D1" w:rsidRPr="006F52D1">
        <w:rPr>
          <w:lang w:val="it-IT"/>
        </w:rPr>
        <w:t>are referred to as asset-backed securities</w:t>
      </w:r>
      <w:r w:rsidR="006F52D1">
        <w:rPr>
          <w:lang w:val="it-IT"/>
        </w:rPr>
        <w:t>”</w:t>
      </w:r>
      <w:r w:rsidR="006F52D1">
        <w:rPr>
          <w:rStyle w:val="FootnoteReference"/>
          <w:lang w:val="it-IT"/>
        </w:rPr>
        <w:footnoteReference w:id="31"/>
      </w:r>
    </w:p>
    <w:p w14:paraId="2B2365DA" w14:textId="0CC14795" w:rsidR="00B0265A" w:rsidRDefault="006F52D1" w:rsidP="001E6BA2">
      <w:pPr>
        <w:jc w:val="both"/>
        <w:rPr>
          <w:lang w:val="it-IT"/>
        </w:rPr>
      </w:pPr>
      <w:r>
        <w:rPr>
          <w:lang w:val="it-IT"/>
        </w:rPr>
        <w:t xml:space="preserve">Concettualmente il pooling è utile poiché riesce a spostare l’attenzione dalle idiosincrasie dei singoli asset, che nel caso degli immobili commerciali non sono troppo ben comprese. Infatti il pooling non è solo una tecnica finanziaria ma anche un modo di non pensare subconsciamente al singolo asset. </w:t>
      </w:r>
    </w:p>
    <w:p w14:paraId="6DE3D36D" w14:textId="303FCDC9" w:rsidR="006F52D1" w:rsidRPr="006F52D1" w:rsidRDefault="006F52D1" w:rsidP="001E6BA2">
      <w:pPr>
        <w:jc w:val="both"/>
        <w:rPr>
          <w:lang w:val="it-IT"/>
        </w:rPr>
      </w:pPr>
      <w:r>
        <w:rPr>
          <w:lang w:val="it-IT"/>
        </w:rPr>
        <w:t>Il processo di S</w:t>
      </w:r>
      <w:r w:rsidRPr="006F52D1">
        <w:rPr>
          <w:lang w:val="it-IT"/>
        </w:rPr>
        <w:t>ecuritisation</w:t>
      </w:r>
      <w:r>
        <w:rPr>
          <w:lang w:val="it-IT"/>
        </w:rPr>
        <w:t xml:space="preserve"> può sembrare come una magia </w:t>
      </w:r>
      <w:r w:rsidR="009215B8">
        <w:rPr>
          <w:lang w:val="it-IT"/>
        </w:rPr>
        <w:t xml:space="preserve">utile a </w:t>
      </w:r>
      <w:r>
        <w:rPr>
          <w:lang w:val="it-IT"/>
        </w:rPr>
        <w:t xml:space="preserve">fare scomparire il rischio specifico di un edificio tra la distribuzione dei rendimenti globale. La </w:t>
      </w:r>
      <w:r w:rsidRPr="006F52D1">
        <w:rPr>
          <w:lang w:val="it-IT"/>
        </w:rPr>
        <w:t>Securitisation</w:t>
      </w:r>
      <w:r>
        <w:rPr>
          <w:lang w:val="it-IT"/>
        </w:rPr>
        <w:t xml:space="preserve"> crea l’illusione che non sia necessario capire il rischio dei singoli asset. </w:t>
      </w:r>
    </w:p>
    <w:p w14:paraId="1580422A" w14:textId="7E05CE66" w:rsidR="00B0265A" w:rsidRDefault="006F52D1" w:rsidP="001E6BA2">
      <w:pPr>
        <w:jc w:val="both"/>
        <w:rPr>
          <w:lang w:val="it-IT"/>
        </w:rPr>
      </w:pPr>
      <w:r>
        <w:rPr>
          <w:lang w:val="it-IT"/>
        </w:rPr>
        <w:t xml:space="preserve">Nel “Graaskamp’s legacy” di </w:t>
      </w:r>
      <w:r w:rsidRPr="006F52D1">
        <w:rPr>
          <w:lang w:val="it-IT"/>
        </w:rPr>
        <w:t xml:space="preserve">Miles, Eppli </w:t>
      </w:r>
      <w:r>
        <w:rPr>
          <w:lang w:val="it-IT"/>
        </w:rPr>
        <w:t>e</w:t>
      </w:r>
      <w:r w:rsidRPr="006F52D1">
        <w:rPr>
          <w:lang w:val="it-IT"/>
        </w:rPr>
        <w:t xml:space="preserve"> Kummerow</w:t>
      </w:r>
      <w:r w:rsidR="001E6BA2">
        <w:rPr>
          <w:rStyle w:val="FootnoteReference"/>
          <w:lang w:val="it-IT"/>
        </w:rPr>
        <w:footnoteReference w:id="32"/>
      </w:r>
      <w:r>
        <w:rPr>
          <w:lang w:val="it-IT"/>
        </w:rPr>
        <w:t xml:space="preserve"> si puntualizza:</w:t>
      </w:r>
    </w:p>
    <w:p w14:paraId="7372B00A" w14:textId="76C2A00C" w:rsidR="001E6BA2" w:rsidRDefault="001E6BA2" w:rsidP="001E6BA2">
      <w:pPr>
        <w:jc w:val="both"/>
      </w:pPr>
      <w:r w:rsidRPr="001E6BA2">
        <w:t>“Conduit and REIT investors properly view re</w:t>
      </w:r>
      <w:r>
        <w:t xml:space="preserve">al estate from a portfolio risk </w:t>
      </w:r>
      <w:r w:rsidRPr="001E6BA2">
        <w:t>perspective. The risks inherent in any one property ca</w:t>
      </w:r>
      <w:r>
        <w:t xml:space="preserve">n be reduced via diversification </w:t>
      </w:r>
      <w:r w:rsidRPr="001E6BA2">
        <w:t>through the pooling of assets</w:t>
      </w:r>
      <w:r>
        <w:t xml:space="preserve">. We think that Graaskamp would </w:t>
      </w:r>
      <w:r w:rsidRPr="001E6BA2">
        <w:t>take a different view; emphasizing micro market</w:t>
      </w:r>
      <w:r>
        <w:t xml:space="preserve"> analysis […] and would suggest that the pool of </w:t>
      </w:r>
      <w:r w:rsidRPr="001E6BA2">
        <w:t>assets is in the end onl</w:t>
      </w:r>
      <w:r>
        <w:t xml:space="preserve">y as good as the cash flows from </w:t>
      </w:r>
      <w:r w:rsidRPr="001E6BA2">
        <w:t>individual properties.</w:t>
      </w:r>
      <w:r>
        <w:t>”</w:t>
      </w:r>
    </w:p>
    <w:p w14:paraId="2382D6AF" w14:textId="28033812" w:rsidR="001E6BA2" w:rsidRDefault="001E6BA2" w:rsidP="001E6BA2">
      <w:pPr>
        <w:jc w:val="both"/>
        <w:rPr>
          <w:lang w:val="it-IT"/>
        </w:rPr>
      </w:pPr>
      <w:r w:rsidRPr="001E6BA2">
        <w:rPr>
          <w:lang w:val="it-IT"/>
        </w:rPr>
        <w:t xml:space="preserve">L’estrema eterogeneità del Real Estate si è dimostrata essere un grande grattacapo </w:t>
      </w:r>
      <w:r>
        <w:rPr>
          <w:lang w:val="it-IT"/>
        </w:rPr>
        <w:t xml:space="preserve">nella necessaria standardizzazione richiesta per creare un mercato liquido di derivati. </w:t>
      </w:r>
    </w:p>
    <w:p w14:paraId="74F38073" w14:textId="45140D20" w:rsidR="00B0265A" w:rsidRDefault="001E6BA2" w:rsidP="00641CCF">
      <w:pPr>
        <w:jc w:val="both"/>
      </w:pPr>
      <w:r w:rsidRPr="001E6BA2">
        <w:lastRenderedPageBreak/>
        <w:t>“The fact is that real estate is resistant t</w:t>
      </w:r>
      <w:r>
        <w:t xml:space="preserve">o abstraction, which ultimately </w:t>
      </w:r>
      <w:r w:rsidRPr="001E6BA2">
        <w:t>tends to fost</w:t>
      </w:r>
      <w:r>
        <w:t>er aggregate thinking even more”.</w:t>
      </w:r>
      <w:r>
        <w:rPr>
          <w:rStyle w:val="FootnoteReference"/>
        </w:rPr>
        <w:footnoteReference w:id="33"/>
      </w:r>
    </w:p>
    <w:p w14:paraId="2D486908" w14:textId="701BF8A9" w:rsidR="00641CCF" w:rsidRPr="001E6BA2" w:rsidRDefault="0037395F" w:rsidP="00641CCF">
      <w:pPr>
        <w:jc w:val="both"/>
      </w:pPr>
      <w:r>
        <w:t>“</w:t>
      </w:r>
      <w:r w:rsidRPr="0037395F">
        <w:t>MPT and EMH seem to have been introduced into real estate to justify the use of particular statistical techniques and portfolio strategies rather than as a consequence of empirical analysis of investment return and risk characteristics. In science, the situation is generally reversed: theories are developed to explain observations.</w:t>
      </w:r>
      <w:r>
        <w:t>”</w:t>
      </w:r>
      <w:r>
        <w:rPr>
          <w:rStyle w:val="FootnoteReference"/>
        </w:rPr>
        <w:footnoteReference w:id="34"/>
      </w:r>
    </w:p>
    <w:p w14:paraId="221BFB2A" w14:textId="5DD7D51A" w:rsidR="00B0265A" w:rsidRPr="0037395F" w:rsidRDefault="0037395F" w:rsidP="006776FE">
      <w:pPr>
        <w:rPr>
          <w:lang w:val="it-IT"/>
        </w:rPr>
      </w:pPr>
      <w:r>
        <w:rPr>
          <w:lang w:val="it-IT"/>
        </w:rPr>
        <w:t>Le inefficienze del mercato immobiliare sottolineate nei capitoli precedenti dimostrano che il Real Estate differisce sostanzialmente dal perfetto mondo del CAPM.</w:t>
      </w:r>
      <w:r>
        <w:rPr>
          <w:rStyle w:val="FootnoteReference"/>
          <w:lang w:val="it-IT"/>
        </w:rPr>
        <w:footnoteReference w:id="35"/>
      </w:r>
    </w:p>
    <w:p w14:paraId="4E8349B2" w14:textId="7BE072DC" w:rsidR="0037395F" w:rsidRPr="0037395F" w:rsidRDefault="0037395F" w:rsidP="006776FE">
      <w:pPr>
        <w:rPr>
          <w:lang w:val="it-IT"/>
        </w:rPr>
      </w:pPr>
      <w:r w:rsidRPr="0037395F">
        <w:rPr>
          <w:lang w:val="it-IT"/>
        </w:rPr>
        <w:t xml:space="preserve">Hartzell, Hekman </w:t>
      </w:r>
      <w:r>
        <w:rPr>
          <w:lang w:val="it-IT"/>
        </w:rPr>
        <w:t>e</w:t>
      </w:r>
      <w:r w:rsidRPr="0037395F">
        <w:rPr>
          <w:lang w:val="it-IT"/>
        </w:rPr>
        <w:t xml:space="preserve"> Miles</w:t>
      </w:r>
      <w:r>
        <w:rPr>
          <w:rStyle w:val="FootnoteReference"/>
          <w:lang w:val="it-IT"/>
        </w:rPr>
        <w:footnoteReference w:id="36"/>
      </w:r>
      <w:r>
        <w:rPr>
          <w:lang w:val="it-IT"/>
        </w:rPr>
        <w:t xml:space="preserve"> asseriscono che il rischio sistemico, come definito nel CAPM, raramente eccede il 20% del rischio totale per un portafoglio di edifici in USA. Allo stesso modo </w:t>
      </w:r>
      <w:r w:rsidRPr="0037395F">
        <w:rPr>
          <w:lang w:val="it-IT"/>
        </w:rPr>
        <w:t xml:space="preserve">Brown </w:t>
      </w:r>
      <w:r>
        <w:rPr>
          <w:lang w:val="it-IT"/>
        </w:rPr>
        <w:t>e</w:t>
      </w:r>
      <w:r w:rsidRPr="0037395F">
        <w:rPr>
          <w:lang w:val="it-IT"/>
        </w:rPr>
        <w:t xml:space="preserve"> Matysiak</w:t>
      </w:r>
      <w:r>
        <w:rPr>
          <w:rStyle w:val="FootnoteReference"/>
          <w:lang w:val="it-IT"/>
        </w:rPr>
        <w:footnoteReference w:id="37"/>
      </w:r>
      <w:r>
        <w:rPr>
          <w:lang w:val="it-IT"/>
        </w:rPr>
        <w:t xml:space="preserve"> identificano che il rischio dei mercato conta per meno del 10% sulla fluttuazione media nei rendimenti totali di un edificio, contro un 30% in media per le azioni quotate. </w:t>
      </w:r>
    </w:p>
    <w:p w14:paraId="7211A34A" w14:textId="02135261" w:rsidR="00B0265A" w:rsidRDefault="005A64A2" w:rsidP="005A64A2">
      <w:pPr>
        <w:pStyle w:val="Heading2"/>
        <w:rPr>
          <w:lang w:val="it-IT"/>
        </w:rPr>
      </w:pPr>
      <w:bookmarkStart w:id="23" w:name="_Toc100246240"/>
      <w:r>
        <w:rPr>
          <w:lang w:val="it-IT"/>
        </w:rPr>
        <w:t>Modelli di rischio nel RE</w:t>
      </w:r>
      <w:bookmarkEnd w:id="23"/>
    </w:p>
    <w:p w14:paraId="3A4C0B23" w14:textId="48A5DF4B" w:rsidR="005A64A2" w:rsidRDefault="005A64A2" w:rsidP="005A64A2">
      <w:pPr>
        <w:rPr>
          <w:lang w:val="it-IT"/>
        </w:rPr>
      </w:pPr>
      <w:r>
        <w:rPr>
          <w:lang w:val="it-IT"/>
        </w:rPr>
        <w:t xml:space="preserve">I primi studiosi ad aver analizzato quali potessero essere i fattori di rischio nel Real Estate commerciale furono gli economisti urbani. Le loro ricerche individuano questi fattori e ricostruiscono i processi con cui li stessi influenzano i valori immobiliari. </w:t>
      </w:r>
    </w:p>
    <w:p w14:paraId="1E740A0E" w14:textId="6B052870" w:rsidR="005A64A2" w:rsidRDefault="005A64A2" w:rsidP="005A64A2">
      <w:pPr>
        <w:rPr>
          <w:lang w:val="it-IT"/>
        </w:rPr>
      </w:pPr>
      <w:r>
        <w:rPr>
          <w:lang w:val="it-IT"/>
        </w:rPr>
        <w:t>Dalle loro ricerche emerge:</w:t>
      </w:r>
    </w:p>
    <w:p w14:paraId="3FED52EA" w14:textId="522CC0E0" w:rsidR="005A64A2" w:rsidRDefault="005A64A2" w:rsidP="005879DB">
      <w:pPr>
        <w:pStyle w:val="ListParagraph"/>
        <w:numPr>
          <w:ilvl w:val="0"/>
          <w:numId w:val="12"/>
        </w:numPr>
        <w:rPr>
          <w:lang w:val="it-IT"/>
        </w:rPr>
      </w:pPr>
      <w:r>
        <w:rPr>
          <w:lang w:val="it-IT"/>
        </w:rPr>
        <w:t xml:space="preserve">Un’analisi del terreno su cui poggiano gli edifici è fondamentale per avere un approccio bottom-up. </w:t>
      </w:r>
    </w:p>
    <w:p w14:paraId="19F02B71" w14:textId="471DD30D" w:rsidR="005A64A2" w:rsidRDefault="005A64A2" w:rsidP="005A64A2">
      <w:pPr>
        <w:pStyle w:val="ListParagraph"/>
      </w:pPr>
      <w:r w:rsidRPr="005A64A2">
        <w:t>“Each piece of real property may be a fixed po</w:t>
      </w:r>
      <w:r>
        <w:t xml:space="preserve">int on the earth’s surface, but this fixed point is a </w:t>
      </w:r>
      <w:r w:rsidRPr="005A64A2">
        <w:t>part of a highly dynamic framework. All manner of forces-e</w:t>
      </w:r>
      <w:r>
        <w:t xml:space="preserve">conomic, political, and social; </w:t>
      </w:r>
      <w:r w:rsidRPr="005A64A2">
        <w:t>international, national and local- are operating constantly t</w:t>
      </w:r>
      <w:r>
        <w:t xml:space="preserve">o add to or to detract from the </w:t>
      </w:r>
      <w:r w:rsidRPr="005A64A2">
        <w:t>property’s capacity to</w:t>
      </w:r>
      <w:r>
        <w:t xml:space="preserve"> </w:t>
      </w:r>
      <w:r w:rsidRPr="005A64A2">
        <w:t>produce income at a given si</w:t>
      </w:r>
      <w:r>
        <w:t>te”.</w:t>
      </w:r>
      <w:r>
        <w:rPr>
          <w:rStyle w:val="FootnoteReference"/>
        </w:rPr>
        <w:footnoteReference w:id="38"/>
      </w:r>
    </w:p>
    <w:p w14:paraId="5E3662DA" w14:textId="5A7DDBCC" w:rsidR="005A64A2" w:rsidRDefault="005A64A2" w:rsidP="005879DB">
      <w:pPr>
        <w:pStyle w:val="ListParagraph"/>
        <w:numPr>
          <w:ilvl w:val="0"/>
          <w:numId w:val="12"/>
        </w:numPr>
        <w:rPr>
          <w:lang w:val="it-IT"/>
        </w:rPr>
      </w:pPr>
      <w:r w:rsidRPr="005A64A2">
        <w:rPr>
          <w:lang w:val="it-IT"/>
        </w:rPr>
        <w:t xml:space="preserve">I fattori che influenzano i valori del </w:t>
      </w:r>
      <w:r>
        <w:rPr>
          <w:lang w:val="it-IT"/>
        </w:rPr>
        <w:t xml:space="preserve">RE non sono statici ma dinamici dal momento che sono la conseguenza di relazioni spaziali tra le unità immobiliari e le attività socio-economiche. Queste relazioni vengono impattate da fattori economici, sociali, politici e tecnologici. </w:t>
      </w:r>
    </w:p>
    <w:p w14:paraId="2965F734" w14:textId="08605538" w:rsidR="005A64A2" w:rsidRDefault="005A64A2" w:rsidP="005879DB">
      <w:pPr>
        <w:pStyle w:val="ListParagraph"/>
        <w:numPr>
          <w:ilvl w:val="0"/>
          <w:numId w:val="12"/>
        </w:numPr>
        <w:rPr>
          <w:lang w:val="it-IT"/>
        </w:rPr>
      </w:pPr>
      <w:r>
        <w:rPr>
          <w:lang w:val="it-IT"/>
        </w:rPr>
        <w:t xml:space="preserve">I valori immobiliari derivano dalle fondazioni fisiche del RE (dominate dal terreno), fattori di posizione (relazioni tra la location e </w:t>
      </w:r>
      <w:r w:rsidR="0097036E">
        <w:rPr>
          <w:lang w:val="it-IT"/>
        </w:rPr>
        <w:t xml:space="preserve">altri punti del landscape urbano) e la dimensione legale (titoli sugli immobili, contratti, diritti di usufrutto…). </w:t>
      </w:r>
    </w:p>
    <w:p w14:paraId="7ED6D65A" w14:textId="0215D946" w:rsidR="007D1C6C" w:rsidRDefault="0097036E" w:rsidP="005879DB">
      <w:pPr>
        <w:pStyle w:val="ListParagraph"/>
        <w:numPr>
          <w:ilvl w:val="0"/>
          <w:numId w:val="12"/>
        </w:numPr>
        <w:rPr>
          <w:lang w:val="it-IT"/>
        </w:rPr>
      </w:pPr>
      <w:r>
        <w:rPr>
          <w:lang w:val="it-IT"/>
        </w:rPr>
        <w:t>Gli edifici sono solo un mezzo per creare ricavi dai terreni</w:t>
      </w:r>
    </w:p>
    <w:p w14:paraId="1A48D15D" w14:textId="54DA3B4B" w:rsidR="003846AE" w:rsidRDefault="007D1C6C" w:rsidP="003846AE">
      <w:pPr>
        <w:pStyle w:val="Heading2"/>
        <w:rPr>
          <w:lang w:val="it-IT"/>
        </w:rPr>
      </w:pPr>
      <w:bookmarkStart w:id="24" w:name="_Toc100246241"/>
      <w:r w:rsidRPr="00BD291C">
        <w:rPr>
          <w:lang w:val="it-IT"/>
        </w:rPr>
        <w:t>Digital assets</w:t>
      </w:r>
      <w:r w:rsidR="00BD291C" w:rsidRPr="00BD291C">
        <w:rPr>
          <w:lang w:val="it-IT"/>
        </w:rPr>
        <w:t>, DLT, ST</w:t>
      </w:r>
      <w:bookmarkEnd w:id="24"/>
    </w:p>
    <w:p w14:paraId="53219E83" w14:textId="77777777" w:rsidR="003846AE" w:rsidRPr="003846AE" w:rsidRDefault="003846AE" w:rsidP="003846AE">
      <w:pPr>
        <w:rPr>
          <w:lang w:val="it-IT"/>
        </w:rPr>
      </w:pPr>
    </w:p>
    <w:p w14:paraId="508A8807" w14:textId="68D5E814" w:rsidR="003339ED" w:rsidRPr="00A072EA" w:rsidRDefault="00BD291C" w:rsidP="00BD291C">
      <w:r w:rsidRPr="00BD291C">
        <w:rPr>
          <w:lang w:val="it-IT"/>
        </w:rPr>
        <w:lastRenderedPageBreak/>
        <w:t>Il concetto di registro distribuito</w:t>
      </w:r>
      <w:r w:rsidR="00914D18">
        <w:rPr>
          <w:lang w:val="it-IT"/>
        </w:rPr>
        <w:t xml:space="preserve"> (DLT)</w:t>
      </w:r>
      <w:r w:rsidRPr="00BD291C">
        <w:rPr>
          <w:lang w:val="it-IT"/>
        </w:rPr>
        <w:t xml:space="preserve"> </w:t>
      </w:r>
      <w:r>
        <w:rPr>
          <w:lang w:val="it-IT"/>
        </w:rPr>
        <w:t xml:space="preserve">esiste da prima </w:t>
      </w:r>
      <w:r w:rsidR="00914D18">
        <w:rPr>
          <w:lang w:val="it-IT"/>
        </w:rPr>
        <w:t>del</w:t>
      </w:r>
      <w:r>
        <w:rPr>
          <w:lang w:val="it-IT"/>
        </w:rPr>
        <w:t xml:space="preserve">la creazione del Bitcoin e </w:t>
      </w:r>
      <w:r w:rsidR="00914D18">
        <w:rPr>
          <w:lang w:val="it-IT"/>
        </w:rPr>
        <w:t>del</w:t>
      </w:r>
      <w:r>
        <w:rPr>
          <w:lang w:val="it-IT"/>
        </w:rPr>
        <w:t xml:space="preserve">la tecnologia blockchain. </w:t>
      </w:r>
      <w:r w:rsidRPr="00A072EA">
        <w:t>“The Byzantine Generals Problem”</w:t>
      </w:r>
      <w:r>
        <w:rPr>
          <w:rStyle w:val="FootnoteReference"/>
          <w:lang w:val="it-IT"/>
        </w:rPr>
        <w:footnoteReference w:id="39"/>
      </w:r>
      <w:r w:rsidRPr="00A072EA">
        <w:t xml:space="preserve"> descrisse come i “computer systems must handle [...] conflicting information” in </w:t>
      </w:r>
      <w:r w:rsidR="003339ED" w:rsidRPr="00A072EA">
        <w:t>un ambiente avverso (Adversarial Environment)</w:t>
      </w:r>
      <w:r w:rsidRPr="00A072EA">
        <w:t>.</w:t>
      </w:r>
    </w:p>
    <w:p w14:paraId="71352E84" w14:textId="75E97DAB" w:rsidR="003339ED" w:rsidRPr="00A072EA" w:rsidRDefault="003339ED" w:rsidP="003339ED">
      <w:pPr>
        <w:rPr>
          <w:lang w:val="it-IT"/>
        </w:rPr>
      </w:pPr>
      <w:r w:rsidRPr="003339ED">
        <w:t>“An adversarial environment is characterised by the presence of malicious a</w:t>
      </w:r>
      <w:r>
        <w:t xml:space="preserve">ctors within </w:t>
      </w:r>
      <w:r w:rsidRPr="003339ED">
        <w:t>a system or network, who undermine the system by using</w:t>
      </w:r>
      <w:r>
        <w:t xml:space="preserve"> it in ways it was not intended </w:t>
      </w:r>
      <w:r w:rsidRPr="003339ED">
        <w:t>for. The prototypical adversary in a DLT system is an enti</w:t>
      </w:r>
      <w:r>
        <w:t xml:space="preserve">ty that attempts to exploit the </w:t>
      </w:r>
      <w:r w:rsidRPr="003339ED">
        <w:t>consensus rules to transfer assets without authorisation, censor ot</w:t>
      </w:r>
      <w:r>
        <w:t xml:space="preserve">hers’ transactions, or </w:t>
      </w:r>
      <w:r w:rsidRPr="003339ED">
        <w:t xml:space="preserve">otherwise disrupt the network. </w:t>
      </w:r>
      <w:r w:rsidRPr="00A072EA">
        <w:rPr>
          <w:lang w:val="it-IT"/>
        </w:rPr>
        <w:t>Adversaries may operate inside or outside the system”.</w:t>
      </w:r>
      <w:r>
        <w:rPr>
          <w:rStyle w:val="FootnoteReference"/>
        </w:rPr>
        <w:footnoteReference w:id="40"/>
      </w:r>
    </w:p>
    <w:p w14:paraId="433B30F5" w14:textId="63A0D5D2" w:rsidR="00BD291C" w:rsidRPr="00914D18" w:rsidRDefault="00914D18" w:rsidP="00BD291C">
      <w:pPr>
        <w:rPr>
          <w:lang w:val="it-IT"/>
        </w:rPr>
      </w:pPr>
      <w:r w:rsidRPr="00914D18">
        <w:rPr>
          <w:lang w:val="it-IT"/>
        </w:rPr>
        <w:t xml:space="preserve">Successive ricerche hanno portato alla </w:t>
      </w:r>
      <w:r>
        <w:rPr>
          <w:lang w:val="it-IT"/>
        </w:rPr>
        <w:t>nascita del primo algoritmo in grado di gestire i “</w:t>
      </w:r>
      <w:r w:rsidRPr="00914D18">
        <w:rPr>
          <w:lang w:val="it-IT"/>
        </w:rPr>
        <w:t>Byzantine faults</w:t>
      </w:r>
      <w:r>
        <w:rPr>
          <w:lang w:val="it-IT"/>
        </w:rPr>
        <w:t>” senza incrementare significativamente la latenza.</w:t>
      </w:r>
      <w:r>
        <w:rPr>
          <w:rStyle w:val="FootnoteReference"/>
          <w:lang w:val="it-IT"/>
        </w:rPr>
        <w:footnoteReference w:id="41"/>
      </w:r>
      <w:r>
        <w:rPr>
          <w:lang w:val="it-IT"/>
        </w:rPr>
        <w:t xml:space="preserve"> I primi albori del concetto di blockchain possono essere ravvisati alle ricerche di Haber &amp; Stornetta</w:t>
      </w:r>
      <w:r>
        <w:rPr>
          <w:rStyle w:val="FootnoteReference"/>
          <w:lang w:val="it-IT"/>
        </w:rPr>
        <w:footnoteReference w:id="42"/>
      </w:r>
      <w:r>
        <w:rPr>
          <w:lang w:val="it-IT"/>
        </w:rPr>
        <w:t xml:space="preserve"> e Bayer et al.</w:t>
      </w:r>
      <w:r>
        <w:rPr>
          <w:rStyle w:val="FootnoteReference"/>
          <w:lang w:val="it-IT"/>
        </w:rPr>
        <w:footnoteReference w:id="43"/>
      </w:r>
      <w:r>
        <w:rPr>
          <w:lang w:val="it-IT"/>
        </w:rPr>
        <w:t xml:space="preserve"> che introdussero la nozione di una catena di blocchi di dati collegati fra loro crittograficamente per marcare temporalmente, in modo efficiente e sicuro, dati digitali in registri distribuiti usando funzioni crittografiche di hash e alberi di Merkle. </w:t>
      </w:r>
    </w:p>
    <w:p w14:paraId="3D64FD37" w14:textId="4C2BFF73" w:rsidR="00BD291C" w:rsidRDefault="00914D18" w:rsidP="003846AE">
      <w:r w:rsidRPr="003846AE">
        <w:t>“</w:t>
      </w:r>
      <w:r w:rsidR="003846AE" w:rsidRPr="003846AE">
        <w:t>Distributed ledger technology (DLT) has established itself as an umbrella term to designate multi-party systems that operate in an environment with no</w:t>
      </w:r>
      <w:r w:rsidR="003846AE">
        <w:t xml:space="preserve"> central operator or authority, </w:t>
      </w:r>
      <w:r w:rsidR="003846AE" w:rsidRPr="003846AE">
        <w:t>despite parties who may be unreliable or malicious (‘advers</w:t>
      </w:r>
      <w:r w:rsidR="003846AE">
        <w:t xml:space="preserve">arial environment’). Blockchain </w:t>
      </w:r>
      <w:r w:rsidR="003846AE" w:rsidRPr="003846AE">
        <w:t>technology is often considered a specific subset of the b</w:t>
      </w:r>
      <w:r w:rsidR="003846AE">
        <w:t xml:space="preserve">roader DLT universe that uses a </w:t>
      </w:r>
      <w:r w:rsidR="003846AE" w:rsidRPr="003846AE">
        <w:t>particular data structure consisting of a chain of hash-linked blocks of data.</w:t>
      </w:r>
      <w:r w:rsidR="003846AE">
        <w:t>”</w:t>
      </w:r>
      <w:r w:rsidR="003846AE">
        <w:rPr>
          <w:rStyle w:val="FootnoteReference"/>
        </w:rPr>
        <w:footnoteReference w:id="44"/>
      </w:r>
    </w:p>
    <w:p w14:paraId="4EF3C19B" w14:textId="71368795" w:rsidR="003846AE" w:rsidRPr="003846AE" w:rsidRDefault="003846AE" w:rsidP="003846AE">
      <w:pPr>
        <w:rPr>
          <w:lang w:val="it-IT"/>
        </w:rPr>
      </w:pPr>
      <w:r w:rsidRPr="003846AE">
        <w:rPr>
          <w:lang w:val="it-IT"/>
        </w:rPr>
        <w:t xml:space="preserve">Esistono diverse definzioni di DLT. </w:t>
      </w:r>
    </w:p>
    <w:p w14:paraId="6FA1FF24" w14:textId="1E530ED2" w:rsidR="00BD291C" w:rsidRDefault="003846AE" w:rsidP="003846AE">
      <w:r>
        <w:t>La World Bank definisce la DLT come “a specific implementation of the broader category of ‘shared ledgers’, which are simply defined as a shared record of data across different parties”.</w:t>
      </w:r>
      <w:r>
        <w:rPr>
          <w:rStyle w:val="FootnoteReference"/>
        </w:rPr>
        <w:footnoteReference w:id="45"/>
      </w:r>
    </w:p>
    <w:p w14:paraId="736C3F11" w14:textId="0EF29913" w:rsidR="003846AE" w:rsidRPr="003846AE" w:rsidRDefault="003846AE" w:rsidP="003846AE">
      <w:r w:rsidRPr="003846AE">
        <w:t xml:space="preserve">La Banca Centrale Europea la definisce invece come la tecnologia che “allow[s] their users to store and access </w:t>
      </w:r>
      <w:r>
        <w:t xml:space="preserve">information relating to a given </w:t>
      </w:r>
      <w:r w:rsidRPr="003846AE">
        <w:t>set of asset</w:t>
      </w:r>
      <w:r>
        <w:t xml:space="preserve">s and their holders in a shared </w:t>
      </w:r>
      <w:r w:rsidRPr="003846AE">
        <w:t>database of</w:t>
      </w:r>
      <w:r>
        <w:t xml:space="preserve"> either transactions or account </w:t>
      </w:r>
      <w:r w:rsidRPr="003846AE">
        <w:t xml:space="preserve">balances. </w:t>
      </w:r>
      <w:r>
        <w:t xml:space="preserve">This information is distributed </w:t>
      </w:r>
      <w:r w:rsidRPr="003846AE">
        <w:t xml:space="preserve">among </w:t>
      </w:r>
      <w:r>
        <w:t xml:space="preserve">users, who could then use it to </w:t>
      </w:r>
      <w:r w:rsidRPr="003846AE">
        <w:t>settle their tr</w:t>
      </w:r>
      <w:r>
        <w:t xml:space="preserve">ansfers of, e.g. securities and </w:t>
      </w:r>
      <w:r w:rsidRPr="003846AE">
        <w:t>cash, witho</w:t>
      </w:r>
      <w:r>
        <w:t xml:space="preserve">ut needing to rely on a trusted central validation </w:t>
      </w:r>
      <w:r w:rsidRPr="003846AE">
        <w:t>system</w:t>
      </w:r>
      <w:r>
        <w:t>”.</w:t>
      </w:r>
      <w:r>
        <w:rPr>
          <w:rStyle w:val="FootnoteReference"/>
        </w:rPr>
        <w:footnoteReference w:id="46"/>
      </w:r>
    </w:p>
    <w:p w14:paraId="2BD6C84D" w14:textId="2C91A529" w:rsidR="00BD291C" w:rsidRDefault="003846AE" w:rsidP="00BD291C">
      <w:pPr>
        <w:rPr>
          <w:lang w:val="it-IT"/>
        </w:rPr>
      </w:pPr>
      <w:r w:rsidRPr="003846AE">
        <w:rPr>
          <w:lang w:val="it-IT"/>
        </w:rPr>
        <w:t>La Banca d’Inghilterra crea una defin</w:t>
      </w:r>
      <w:r>
        <w:rPr>
          <w:lang w:val="it-IT"/>
        </w:rPr>
        <w:t>i</w:t>
      </w:r>
      <w:r w:rsidRPr="003846AE">
        <w:rPr>
          <w:lang w:val="it-IT"/>
        </w:rPr>
        <w:t xml:space="preserve">zione basata </w:t>
      </w:r>
      <w:r>
        <w:rPr>
          <w:lang w:val="it-IT"/>
        </w:rPr>
        <w:t>sulla morfologia</w:t>
      </w:r>
      <w:r w:rsidRPr="003846AE">
        <w:rPr>
          <w:lang w:val="it-IT"/>
        </w:rPr>
        <w:t xml:space="preserve"> arch</w:t>
      </w:r>
      <w:r>
        <w:rPr>
          <w:lang w:val="it-IT"/>
        </w:rPr>
        <w:t>itettonica</w:t>
      </w:r>
      <w:r w:rsidRPr="003846AE">
        <w:rPr>
          <w:lang w:val="it-IT"/>
        </w:rPr>
        <w:t xml:space="preserve"> che </w:t>
      </w:r>
      <w:r>
        <w:rPr>
          <w:lang w:val="it-IT"/>
        </w:rPr>
        <w:t>caratterizza i sistemi DLT:</w:t>
      </w:r>
    </w:p>
    <w:p w14:paraId="4B7BBCD2" w14:textId="4DEDE8D5" w:rsidR="003846AE" w:rsidRDefault="003846AE" w:rsidP="003846AE">
      <w:r w:rsidRPr="003846AE">
        <w:lastRenderedPageBreak/>
        <w:t>“</w:t>
      </w:r>
      <w:r>
        <w:t xml:space="preserve">A distributed ledger </w:t>
      </w:r>
      <w:r w:rsidRPr="003846AE">
        <w:t>is a distributed database, in the sense th</w:t>
      </w:r>
      <w:r>
        <w:t xml:space="preserve">at each node has a synchronized </w:t>
      </w:r>
      <w:r w:rsidRPr="003846AE">
        <w:t xml:space="preserve">copy of the data, but departs from the traditional distributed </w:t>
      </w:r>
      <w:r>
        <w:t xml:space="preserve">database architectures in three </w:t>
      </w:r>
      <w:r w:rsidRPr="003846AE">
        <w:t>important ways:</w:t>
      </w:r>
    </w:p>
    <w:p w14:paraId="3B0A201A" w14:textId="0C92AD2B" w:rsidR="003846AE" w:rsidRDefault="003846AE" w:rsidP="005879DB">
      <w:pPr>
        <w:pStyle w:val="ListParagraph"/>
        <w:numPr>
          <w:ilvl w:val="0"/>
          <w:numId w:val="33"/>
        </w:numPr>
      </w:pPr>
      <w:r>
        <w:t>Decentralization: The control of the database (read/write access) is decentralized; that is, multiple (or all) network participants perform it. There is no need for a central administrator to ensure the integrity of the data or its consistency across nodes. Instead, this is achieved through some consensus mechanism or validation protocol.</w:t>
      </w:r>
    </w:p>
    <w:p w14:paraId="538CD048" w14:textId="75A433C5" w:rsidR="003846AE" w:rsidRDefault="003846AE" w:rsidP="005879DB">
      <w:pPr>
        <w:pStyle w:val="ListParagraph"/>
        <w:numPr>
          <w:ilvl w:val="0"/>
          <w:numId w:val="33"/>
        </w:numPr>
      </w:pPr>
      <w:r>
        <w:t>It is reliable in trust-less environments: The consensus mechanism ensures the consistency and integrity of the database even if the parties involved do not fully trust each other.</w:t>
      </w:r>
    </w:p>
    <w:p w14:paraId="3762F2B2" w14:textId="5E87D7EE" w:rsidR="003846AE" w:rsidRDefault="003846AE" w:rsidP="005879DB">
      <w:pPr>
        <w:pStyle w:val="ListParagraph"/>
        <w:numPr>
          <w:ilvl w:val="0"/>
          <w:numId w:val="33"/>
        </w:numPr>
      </w:pPr>
      <w:r>
        <w:t>Cryptographic encryption: The ledger uses cryptographic encryption tools to deliver decentralization and trust-less environments.”</w:t>
      </w:r>
      <w:r>
        <w:rPr>
          <w:rStyle w:val="FootnoteReference"/>
        </w:rPr>
        <w:footnoteReference w:id="47"/>
      </w:r>
    </w:p>
    <w:p w14:paraId="1C73B508" w14:textId="33867407" w:rsidR="003339ED" w:rsidRDefault="003339ED" w:rsidP="003339ED">
      <w:pPr>
        <w:rPr>
          <w:lang w:val="it-IT"/>
        </w:rPr>
      </w:pPr>
      <w:r w:rsidRPr="003339ED">
        <w:rPr>
          <w:lang w:val="it-IT"/>
        </w:rPr>
        <w:t xml:space="preserve">In sintesi, un sistema DLT è una </w:t>
      </w:r>
      <w:r>
        <w:rPr>
          <w:lang w:val="it-IT"/>
        </w:rPr>
        <w:t>“consensus machine”: un sistema multipartitico in cui i partecipanti raggiungono un accordo riguardo la validità di una serie di dati condivisi, in assenza di un coordinatore centrale. Ciò che differenzia i DLT dai più tradizionali database distribuiti è la sua capacità di mantenere la sua integrità in ambienti avversi (</w:t>
      </w:r>
      <w:r w:rsidRPr="003339ED">
        <w:rPr>
          <w:lang w:val="it-IT"/>
        </w:rPr>
        <w:t>adversarial environment</w:t>
      </w:r>
      <w:r>
        <w:rPr>
          <w:lang w:val="it-IT"/>
        </w:rPr>
        <w:t>).</w:t>
      </w:r>
    </w:p>
    <w:p w14:paraId="481E0C68" w14:textId="07B0ECA3" w:rsidR="003339ED" w:rsidRDefault="003339ED" w:rsidP="003339ED">
      <w:pPr>
        <w:rPr>
          <w:lang w:val="it-IT"/>
        </w:rPr>
      </w:pPr>
      <w:r>
        <w:rPr>
          <w:lang w:val="it-IT"/>
        </w:rPr>
        <w:t xml:space="preserve">È ovvio che i sistemi DLT possono anche essere massimamente attendibili nel processare e registrare i dati, ma non hanno alcun potere sulla credibilità o affidabilità delle controparti; nel senso che, ad esempio, un network di pagamento può essere affidabile nel trasferire i fondi da un cliente ad un fornitore, ma non può garantire che il fornitore </w:t>
      </w:r>
      <w:r w:rsidR="007C19DC">
        <w:rPr>
          <w:lang w:val="it-IT"/>
        </w:rPr>
        <w:t xml:space="preserve">rispetti la consegna dei beni o servizi promessi. In sostanza, i sistemi DLT non rimuovono i requisiti di fiducia necessari fra le controparti per portare una transazione a buon fine, al più eliminano i rischi legati all’operatore della transazione. </w:t>
      </w:r>
    </w:p>
    <w:p w14:paraId="2972F0C6" w14:textId="07E696C2" w:rsidR="007C19DC" w:rsidRDefault="007C19DC" w:rsidP="007C19DC">
      <w:pPr>
        <w:jc w:val="center"/>
        <w:rPr>
          <w:lang w:val="it-IT"/>
        </w:rPr>
      </w:pPr>
      <w:r>
        <w:rPr>
          <w:noProof/>
        </w:rPr>
        <w:drawing>
          <wp:inline distT="0" distB="0" distL="0" distR="0" wp14:anchorId="23BEBE62" wp14:editId="7F7A0A35">
            <wp:extent cx="4530578" cy="3166533"/>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2075" t="30499" r="59328" b="21531"/>
                    <a:stretch/>
                  </pic:blipFill>
                  <pic:spPr bwMode="auto">
                    <a:xfrm>
                      <a:off x="0" y="0"/>
                      <a:ext cx="4533722" cy="3168730"/>
                    </a:xfrm>
                    <a:prstGeom prst="rect">
                      <a:avLst/>
                    </a:prstGeom>
                    <a:ln>
                      <a:noFill/>
                    </a:ln>
                    <a:extLst>
                      <a:ext uri="{53640926-AAD7-44D8-BBD7-CCE9431645EC}">
                        <a14:shadowObscured xmlns:a14="http://schemas.microsoft.com/office/drawing/2010/main"/>
                      </a:ext>
                    </a:extLst>
                  </pic:spPr>
                </pic:pic>
              </a:graphicData>
            </a:graphic>
          </wp:inline>
        </w:drawing>
      </w:r>
    </w:p>
    <w:p w14:paraId="34323B90" w14:textId="6921EC92" w:rsidR="007C19DC" w:rsidRDefault="007C19DC" w:rsidP="007C19DC">
      <w:pPr>
        <w:jc w:val="center"/>
        <w:rPr>
          <w:lang w:val="it-IT"/>
        </w:rPr>
      </w:pPr>
      <w:r>
        <w:rPr>
          <w:lang w:val="it-IT"/>
        </w:rPr>
        <w:t>Figura X: differenza fra database operati da una singola entità e registri distribuiti</w:t>
      </w:r>
    </w:p>
    <w:p w14:paraId="28F3FEE6" w14:textId="2276F044" w:rsidR="003339ED" w:rsidRDefault="003339ED" w:rsidP="003339ED">
      <w:pPr>
        <w:rPr>
          <w:lang w:val="it-IT"/>
        </w:rPr>
      </w:pPr>
    </w:p>
    <w:p w14:paraId="47EC33A6" w14:textId="20D0A13C" w:rsidR="007C19DC" w:rsidRDefault="007C19DC" w:rsidP="003339ED">
      <w:pPr>
        <w:rPr>
          <w:lang w:val="it-IT"/>
        </w:rPr>
      </w:pPr>
    </w:p>
    <w:p w14:paraId="7EC6304B" w14:textId="1437A19D" w:rsidR="007C19DC" w:rsidRDefault="007C19DC" w:rsidP="003339ED">
      <w:pPr>
        <w:rPr>
          <w:lang w:val="it-IT"/>
        </w:rPr>
      </w:pPr>
    </w:p>
    <w:p w14:paraId="353FBAF5" w14:textId="257CD817" w:rsidR="007C19DC" w:rsidRDefault="00112DEB" w:rsidP="003339ED">
      <w:pPr>
        <w:rPr>
          <w:lang w:val="it-IT"/>
        </w:rPr>
      </w:pPr>
      <w:r>
        <w:rPr>
          <w:lang w:val="it-IT"/>
        </w:rPr>
        <w:lastRenderedPageBreak/>
        <w:t>Un sistema DLT deve incorporare le seguenti proprietà:</w:t>
      </w:r>
    </w:p>
    <w:p w14:paraId="417AAD31" w14:textId="3D505001" w:rsidR="00112DEB" w:rsidRDefault="00112DEB" w:rsidP="005879DB">
      <w:pPr>
        <w:pStyle w:val="ListParagraph"/>
        <w:numPr>
          <w:ilvl w:val="0"/>
          <w:numId w:val="34"/>
        </w:numPr>
        <w:rPr>
          <w:lang w:val="it-IT"/>
        </w:rPr>
      </w:pPr>
      <w:r w:rsidRPr="00112DEB">
        <w:rPr>
          <w:b/>
          <w:lang w:val="it-IT"/>
        </w:rPr>
        <w:t>Registrazione condivisa</w:t>
      </w:r>
      <w:r>
        <w:rPr>
          <w:lang w:val="it-IT"/>
        </w:rPr>
        <w:t xml:space="preserve">: abilitare molteplici attori di collettivamente creare, mantenere e aggiornare “a shared set of authoritative records”. </w:t>
      </w:r>
    </w:p>
    <w:p w14:paraId="4D1A0556" w14:textId="44775E67" w:rsidR="00112DEB" w:rsidRDefault="00112DEB" w:rsidP="005879DB">
      <w:pPr>
        <w:pStyle w:val="ListParagraph"/>
        <w:numPr>
          <w:ilvl w:val="0"/>
          <w:numId w:val="34"/>
        </w:numPr>
        <w:rPr>
          <w:lang w:val="it-IT"/>
        </w:rPr>
      </w:pPr>
      <w:r w:rsidRPr="00112DEB">
        <w:rPr>
          <w:b/>
          <w:lang w:val="it-IT"/>
        </w:rPr>
        <w:t>Consenso multipartitico</w:t>
      </w:r>
      <w:r>
        <w:rPr>
          <w:lang w:val="it-IT"/>
        </w:rPr>
        <w:t>: abilitare tutte le parti di raggiungere un accordo su una serie di registrazioni condivise</w:t>
      </w:r>
    </w:p>
    <w:p w14:paraId="326D5F86" w14:textId="175AEC53" w:rsidR="00112DEB" w:rsidRDefault="00112DEB" w:rsidP="005879DB">
      <w:pPr>
        <w:pStyle w:val="ListParagraph"/>
        <w:numPr>
          <w:ilvl w:val="0"/>
          <w:numId w:val="35"/>
        </w:numPr>
        <w:rPr>
          <w:lang w:val="it-IT"/>
        </w:rPr>
      </w:pPr>
      <w:r>
        <w:rPr>
          <w:lang w:val="it-IT"/>
        </w:rPr>
        <w:t xml:space="preserve">Se </w:t>
      </w:r>
      <w:r>
        <w:rPr>
          <w:i/>
          <w:lang w:val="it-IT"/>
        </w:rPr>
        <w:t xml:space="preserve">permissionless, </w:t>
      </w:r>
      <w:r>
        <w:rPr>
          <w:lang w:val="it-IT"/>
        </w:rPr>
        <w:t>senza far affidamento su un singolo soggetto o accordi a latere, e in assenza di relazioni precedenti fra le molteplici parti</w:t>
      </w:r>
    </w:p>
    <w:p w14:paraId="1628EDB8" w14:textId="4066CD5D" w:rsidR="00112DEB" w:rsidRDefault="00112DEB" w:rsidP="005879DB">
      <w:pPr>
        <w:pStyle w:val="ListParagraph"/>
        <w:numPr>
          <w:ilvl w:val="0"/>
          <w:numId w:val="35"/>
        </w:numPr>
      </w:pPr>
      <w:r w:rsidRPr="00112DEB">
        <w:t xml:space="preserve">Se </w:t>
      </w:r>
      <w:r w:rsidRPr="00112DEB">
        <w:rPr>
          <w:i/>
        </w:rPr>
        <w:t>permissioned,</w:t>
      </w:r>
      <w:r w:rsidRPr="00112DEB">
        <w:t xml:space="preserve"> “through multiple record producers who have been</w:t>
      </w:r>
      <w:r>
        <w:t xml:space="preserve"> </w:t>
      </w:r>
      <w:r w:rsidRPr="00112DEB">
        <w:t>approved and bound by some form of</w:t>
      </w:r>
      <w:r>
        <w:t xml:space="preserve"> </w:t>
      </w:r>
      <w:r w:rsidRPr="00112DEB">
        <w:t>contract or other agreement</w:t>
      </w:r>
      <w:r>
        <w:t>”</w:t>
      </w:r>
    </w:p>
    <w:p w14:paraId="42E13D9B" w14:textId="03A847D4" w:rsidR="007D25F7" w:rsidRDefault="007D25F7" w:rsidP="005879DB">
      <w:pPr>
        <w:pStyle w:val="ListParagraph"/>
        <w:numPr>
          <w:ilvl w:val="0"/>
          <w:numId w:val="34"/>
        </w:numPr>
        <w:rPr>
          <w:lang w:val="it-IT"/>
        </w:rPr>
      </w:pPr>
      <w:r w:rsidRPr="007D25F7">
        <w:rPr>
          <w:b/>
          <w:lang w:val="it-IT"/>
        </w:rPr>
        <w:t>Validazione indipendente</w:t>
      </w:r>
      <w:r w:rsidRPr="007D25F7">
        <w:rPr>
          <w:lang w:val="it-IT"/>
        </w:rPr>
        <w:t xml:space="preserve">: abilitare ogni partecipante a </w:t>
      </w:r>
      <w:r>
        <w:rPr>
          <w:lang w:val="it-IT"/>
        </w:rPr>
        <w:t>verificare indipendentemente lo stato delle transazioni e l’integrità del sistema.</w:t>
      </w:r>
    </w:p>
    <w:p w14:paraId="1D2766CD" w14:textId="4CDFF486" w:rsidR="007D25F7" w:rsidRDefault="007D25F7" w:rsidP="005879DB">
      <w:pPr>
        <w:pStyle w:val="ListParagraph"/>
        <w:numPr>
          <w:ilvl w:val="0"/>
          <w:numId w:val="34"/>
        </w:numPr>
        <w:rPr>
          <w:lang w:val="it-IT"/>
        </w:rPr>
      </w:pPr>
      <w:r w:rsidRPr="007D25F7">
        <w:rPr>
          <w:b/>
          <w:lang w:val="it-IT"/>
        </w:rPr>
        <w:t>Individuazione delle manomissioni</w:t>
      </w:r>
      <w:r>
        <w:rPr>
          <w:lang w:val="it-IT"/>
        </w:rPr>
        <w:t>: permettere ad ogni partecipante di rilevare cambiamenti non consensuali ai registri</w:t>
      </w:r>
    </w:p>
    <w:p w14:paraId="6F1E0D73" w14:textId="609FF25B" w:rsidR="007D25F7" w:rsidRDefault="007D25F7" w:rsidP="005879DB">
      <w:pPr>
        <w:pStyle w:val="ListParagraph"/>
        <w:numPr>
          <w:ilvl w:val="0"/>
          <w:numId w:val="34"/>
        </w:numPr>
        <w:rPr>
          <w:lang w:val="it-IT"/>
        </w:rPr>
      </w:pPr>
      <w:r>
        <w:rPr>
          <w:b/>
          <w:lang w:val="it-IT"/>
        </w:rPr>
        <w:t>Resistenza alle manomissioni</w:t>
      </w:r>
      <w:r w:rsidRPr="007D25F7">
        <w:rPr>
          <w:lang w:val="it-IT"/>
        </w:rPr>
        <w:t>:</w:t>
      </w:r>
      <w:r>
        <w:rPr>
          <w:lang w:val="it-IT"/>
        </w:rPr>
        <w:t xml:space="preserve"> rendere difficile ad un singolo membro di cambiare unilateralmente i registri passati (transaction history)</w:t>
      </w:r>
    </w:p>
    <w:p w14:paraId="0FF29E9D" w14:textId="4EB4EA42" w:rsidR="00315EC6" w:rsidRDefault="00F2142A" w:rsidP="00F2142A">
      <w:pPr>
        <w:rPr>
          <w:lang w:val="it-IT"/>
        </w:rPr>
      </w:pPr>
      <w:r>
        <w:rPr>
          <w:lang w:val="it-IT"/>
        </w:rPr>
        <w:t>Per m</w:t>
      </w:r>
      <w:r w:rsidR="00315EC6">
        <w:rPr>
          <w:lang w:val="it-IT"/>
        </w:rPr>
        <w:t>eglio approfondire la</w:t>
      </w:r>
      <w:r>
        <w:rPr>
          <w:lang w:val="it-IT"/>
        </w:rPr>
        <w:t xml:space="preserve"> </w:t>
      </w:r>
      <w:r w:rsidR="00315EC6">
        <w:rPr>
          <w:lang w:val="it-IT"/>
        </w:rPr>
        <w:t>DLT è necessario soffermarsi sulla onomastica della tecnologia:</w:t>
      </w:r>
    </w:p>
    <w:p w14:paraId="0913BEAF" w14:textId="78EBDE91" w:rsidR="00315EC6" w:rsidRDefault="00315EC6" w:rsidP="005879DB">
      <w:pPr>
        <w:pStyle w:val="ListParagraph"/>
        <w:numPr>
          <w:ilvl w:val="0"/>
          <w:numId w:val="36"/>
        </w:numPr>
        <w:rPr>
          <w:lang w:val="it-IT"/>
        </w:rPr>
      </w:pPr>
      <w:r w:rsidRPr="00315EC6">
        <w:rPr>
          <w:lang w:val="it-IT"/>
        </w:rPr>
        <w:t>Transaction:</w:t>
      </w:r>
      <w:r>
        <w:rPr>
          <w:lang w:val="it-IT"/>
        </w:rPr>
        <w:t xml:space="preserve"> ogni cambiamento proposto al registro; nonostante la semantica, una transazione non si intende necessariamente di natura economica (trasferimento di valore) </w:t>
      </w:r>
    </w:p>
    <w:p w14:paraId="0BC65531" w14:textId="15C09D23" w:rsidR="00315EC6" w:rsidRDefault="00315EC6" w:rsidP="005879DB">
      <w:pPr>
        <w:pStyle w:val="ListParagraph"/>
        <w:numPr>
          <w:ilvl w:val="0"/>
          <w:numId w:val="36"/>
        </w:numPr>
        <w:rPr>
          <w:lang w:val="it-IT"/>
        </w:rPr>
      </w:pPr>
      <w:r>
        <w:rPr>
          <w:lang w:val="it-IT"/>
        </w:rPr>
        <w:t>Log: Una serie di transazioni non ordinate, ma valide, tenute da un node che ancora non è stata incorporata in una registrazione formale soggetta alle regole del consenso condiviso (unconfirmed transactions)</w:t>
      </w:r>
    </w:p>
    <w:p w14:paraId="19591079" w14:textId="462FEFD9" w:rsidR="00315EC6" w:rsidRDefault="00315EC6" w:rsidP="005879DB">
      <w:pPr>
        <w:pStyle w:val="ListParagraph"/>
        <w:numPr>
          <w:ilvl w:val="0"/>
          <w:numId w:val="36"/>
        </w:numPr>
        <w:rPr>
          <w:lang w:val="it-IT"/>
        </w:rPr>
      </w:pPr>
      <w:r>
        <w:rPr>
          <w:lang w:val="it-IT"/>
        </w:rPr>
        <w:t>Record: dati di transazioni che sono state assoggettate alle regole del consenso condiviso (consensus rule)</w:t>
      </w:r>
    </w:p>
    <w:p w14:paraId="38112D2D" w14:textId="064DAA82" w:rsidR="00315EC6" w:rsidRDefault="00315EC6" w:rsidP="005879DB">
      <w:pPr>
        <w:pStyle w:val="ListParagraph"/>
        <w:numPr>
          <w:ilvl w:val="0"/>
          <w:numId w:val="36"/>
        </w:numPr>
        <w:rPr>
          <w:lang w:val="it-IT"/>
        </w:rPr>
      </w:pPr>
      <w:r>
        <w:rPr>
          <w:lang w:val="it-IT"/>
        </w:rPr>
        <w:t>Journal: la serie di registrazioni detenute da un node, sebbene non necessariamente consistenti con il consenso degli altri nodes. I journals sono parziali, provvisori, ed eterogenei: potrebbero, come potrebbero non, contenere le stesse registrazioni</w:t>
      </w:r>
    </w:p>
    <w:p w14:paraId="6C92FC50" w14:textId="5CEDCA4C" w:rsidR="00315EC6" w:rsidRDefault="00315EC6" w:rsidP="005879DB">
      <w:pPr>
        <w:pStyle w:val="ListParagraph"/>
        <w:numPr>
          <w:ilvl w:val="0"/>
          <w:numId w:val="36"/>
        </w:numPr>
        <w:rPr>
          <w:lang w:val="it-IT"/>
        </w:rPr>
      </w:pPr>
      <w:r>
        <w:rPr>
          <w:lang w:val="it-IT"/>
        </w:rPr>
        <w:t xml:space="preserve">Ledger: La serie di registrazioni detenute collettivamente da una significativa quota di partecipanti al network in ogni momento, </w:t>
      </w:r>
      <w:r w:rsidRPr="00315EC6">
        <w:rPr>
          <w:lang w:val="it-IT"/>
        </w:rPr>
        <w:t>cosicché</w:t>
      </w:r>
      <w:r>
        <w:rPr>
          <w:lang w:val="it-IT"/>
        </w:rPr>
        <w:t xml:space="preserve"> sia improbabile le registrazioni possano essere cancellate o modificate.</w:t>
      </w:r>
    </w:p>
    <w:p w14:paraId="2976AA51" w14:textId="7C8151F8" w:rsidR="00A072EA" w:rsidRPr="00A072EA" w:rsidRDefault="00A072EA" w:rsidP="00A072EA">
      <w:pPr>
        <w:pStyle w:val="ListParagraph"/>
        <w:numPr>
          <w:ilvl w:val="0"/>
          <w:numId w:val="36"/>
        </w:numPr>
        <w:rPr>
          <w:lang w:val="it-IT"/>
        </w:rPr>
      </w:pPr>
      <w:r w:rsidRPr="00A072EA">
        <w:rPr>
          <w:lang w:val="it-IT"/>
        </w:rPr>
        <w:t xml:space="preserve">Node: I node sono i partecipanti ad un </w:t>
      </w:r>
      <w:r>
        <w:rPr>
          <w:lang w:val="it-IT"/>
        </w:rPr>
        <w:t>s</w:t>
      </w:r>
      <w:bookmarkStart w:id="25" w:name="_GoBack"/>
      <w:bookmarkEnd w:id="25"/>
      <w:r w:rsidRPr="00A072EA">
        <w:rPr>
          <w:lang w:val="it-IT"/>
        </w:rPr>
        <w:t>istema di registrti distribuiti</w:t>
      </w:r>
    </w:p>
    <w:p w14:paraId="66F588C5" w14:textId="65CF91D1" w:rsidR="007C19DC" w:rsidRPr="00015682" w:rsidRDefault="00015682" w:rsidP="003339ED">
      <w:pPr>
        <w:rPr>
          <w:color w:val="FF0000"/>
          <w:lang w:val="it-IT"/>
        </w:rPr>
      </w:pPr>
      <w:r w:rsidRPr="00015682">
        <w:rPr>
          <w:color w:val="FF0000"/>
          <w:lang w:val="it-IT"/>
        </w:rPr>
        <w:t xml:space="preserve">Usando il Bitcoin come esempio, una </w:t>
      </w:r>
      <w:r w:rsidRPr="00015682">
        <w:rPr>
          <w:i/>
          <w:color w:val="FF0000"/>
          <w:lang w:val="it-IT"/>
        </w:rPr>
        <w:t>transazione</w:t>
      </w:r>
      <w:r w:rsidRPr="00015682">
        <w:rPr>
          <w:color w:val="FF0000"/>
          <w:lang w:val="it-IT"/>
        </w:rPr>
        <w:t xml:space="preserve"> può essere il trasferimento di un asset da un indirizzo ad un altro; il log di un node…</w:t>
      </w:r>
      <w:r>
        <w:rPr>
          <w:color w:val="FF0000"/>
          <w:lang w:val="it-IT"/>
        </w:rPr>
        <w:t xml:space="preserve"> </w:t>
      </w:r>
      <w:r w:rsidRPr="00015682">
        <w:rPr>
          <w:lang w:val="it-IT"/>
        </w:rPr>
        <w:t xml:space="preserve">continuare con </w:t>
      </w:r>
      <w:hyperlink r:id="rId22" w:history="1">
        <w:r w:rsidRPr="00D20DCF">
          <w:rPr>
            <w:rStyle w:val="Hyperlink"/>
            <w:lang w:val="it-IT"/>
          </w:rPr>
          <w:t>https://www.jbs.cam.ac.uk/wp-content/uploads/2020/08/2018-10-26-conceptualising-dlt-systems.pdf</w:t>
        </w:r>
      </w:hyperlink>
      <w:r>
        <w:rPr>
          <w:color w:val="FF0000"/>
          <w:lang w:val="it-IT"/>
        </w:rPr>
        <w:t xml:space="preserve"> </w:t>
      </w:r>
      <w:r w:rsidRPr="00015682">
        <w:rPr>
          <w:lang w:val="it-IT"/>
        </w:rPr>
        <w:t>pag. 22</w:t>
      </w:r>
    </w:p>
    <w:p w14:paraId="597CBEEC" w14:textId="21B55B19" w:rsidR="007C19DC" w:rsidRPr="007D25F7" w:rsidRDefault="007C19DC" w:rsidP="003339ED">
      <w:pPr>
        <w:rPr>
          <w:lang w:val="it-IT"/>
        </w:rPr>
      </w:pPr>
    </w:p>
    <w:p w14:paraId="45748F1F" w14:textId="23A36537" w:rsidR="007C19DC" w:rsidRPr="007D25F7" w:rsidRDefault="007C19DC" w:rsidP="003339ED">
      <w:pPr>
        <w:rPr>
          <w:lang w:val="it-IT"/>
        </w:rPr>
      </w:pPr>
    </w:p>
    <w:p w14:paraId="4E6EB75C" w14:textId="087D3019" w:rsidR="007C19DC" w:rsidRPr="007D25F7" w:rsidRDefault="007C19DC" w:rsidP="003339ED">
      <w:pPr>
        <w:rPr>
          <w:lang w:val="it-IT"/>
        </w:rPr>
      </w:pPr>
    </w:p>
    <w:p w14:paraId="45AAE33B" w14:textId="77777777" w:rsidR="007C19DC" w:rsidRPr="007D25F7" w:rsidRDefault="007C19DC" w:rsidP="003339ED">
      <w:pPr>
        <w:rPr>
          <w:lang w:val="it-IT"/>
        </w:rPr>
      </w:pPr>
    </w:p>
    <w:p w14:paraId="00179150" w14:textId="71F957F0" w:rsidR="007D1C6C" w:rsidRPr="007C19DC" w:rsidRDefault="00004AB9" w:rsidP="007D1C6C">
      <w:pPr>
        <w:rPr>
          <w:rStyle w:val="Hyperlink"/>
          <w:lang w:val="it-IT"/>
        </w:rPr>
      </w:pPr>
      <w:hyperlink r:id="rId23" w:history="1">
        <w:r w:rsidR="007D1C6C" w:rsidRPr="007C19DC">
          <w:rPr>
            <w:rStyle w:val="Hyperlink"/>
            <w:lang w:val="it-IT"/>
          </w:rPr>
          <w:t>https://www.cftc.gov/media/5476/DigitalAssetsPrimer/download</w:t>
        </w:r>
      </w:hyperlink>
    </w:p>
    <w:p w14:paraId="58A26FB8" w14:textId="28A56CE7" w:rsidR="003412E7" w:rsidRPr="007C19DC" w:rsidRDefault="00004AB9" w:rsidP="007D1C6C">
      <w:pPr>
        <w:rPr>
          <w:lang w:val="it-IT"/>
        </w:rPr>
      </w:pPr>
      <w:hyperlink r:id="rId24" w:history="1">
        <w:r w:rsidR="003412E7" w:rsidRPr="007C19DC">
          <w:rPr>
            <w:rStyle w:val="Hyperlink"/>
            <w:lang w:val="it-IT"/>
          </w:rPr>
          <w:t>https://www.rivistaianus.it/numero_21_2020/03_Zambardino_81-99.pdf</w:t>
        </w:r>
      </w:hyperlink>
    </w:p>
    <w:p w14:paraId="3EC9DD51" w14:textId="1619A98E" w:rsidR="003412E7" w:rsidRPr="00A072EA" w:rsidRDefault="00004AB9" w:rsidP="007D1C6C">
      <w:pPr>
        <w:rPr>
          <w:rStyle w:val="Hyperlink"/>
          <w:lang w:val="it-IT"/>
        </w:rPr>
      </w:pPr>
      <w:hyperlink r:id="rId25" w:history="1">
        <w:r w:rsidR="003412E7" w:rsidRPr="00A072EA">
          <w:rPr>
            <w:rStyle w:val="Hyperlink"/>
            <w:lang w:val="it-IT"/>
          </w:rPr>
          <w:t>https://amslaurea.unibo.it/19133/1/Minello_TesiSTO.pdf</w:t>
        </w:r>
      </w:hyperlink>
    </w:p>
    <w:p w14:paraId="718A7138" w14:textId="0DFE0F8B" w:rsidR="000050E8" w:rsidRDefault="000050E8" w:rsidP="007D1C6C">
      <w:pPr>
        <w:rPr>
          <w:lang w:val="it-IT"/>
        </w:rPr>
      </w:pPr>
      <w:r w:rsidRPr="000050E8">
        <w:rPr>
          <w:lang w:val="it-IT"/>
        </w:rPr>
        <w:t>Cosa è la DLT</w:t>
      </w:r>
      <w:r w:rsidRPr="000050E8">
        <w:rPr>
          <w:lang w:val="it-IT"/>
        </w:rPr>
        <w:sym w:font="Wingdings" w:char="F0E0"/>
      </w:r>
      <w:r w:rsidRPr="000050E8">
        <w:rPr>
          <w:lang w:val="it-IT"/>
        </w:rPr>
        <w:t>https://www.jbs.cam.ac.uk/wp-content/uploads/2020/08/2018-10-26-conceptualising-dlt-systems.pdf</w:t>
      </w:r>
      <w:r w:rsidR="00BD291C">
        <w:rPr>
          <w:lang w:val="it-IT"/>
        </w:rPr>
        <w:t xml:space="preserve"> </w:t>
      </w:r>
      <w:r>
        <w:rPr>
          <w:lang w:val="it-IT"/>
        </w:rPr>
        <w:t xml:space="preserve"> (importante perché alla base di tokens) (</w:t>
      </w:r>
      <w:hyperlink r:id="rId26" w:history="1">
        <w:r w:rsidRPr="00D20DCF">
          <w:rPr>
            <w:rStyle w:val="Hyperlink"/>
            <w:lang w:val="it-IT"/>
          </w:rPr>
          <w:t>https://www.cssf.lu/wp-</w:t>
        </w:r>
        <w:r w:rsidRPr="00D20DCF">
          <w:rPr>
            <w:rStyle w:val="Hyperlink"/>
            <w:lang w:val="it-IT"/>
          </w:rPr>
          <w:lastRenderedPageBreak/>
          <w:t>content/uploads/DLT_WP.pdf</w:t>
        </w:r>
      </w:hyperlink>
      <w:r>
        <w:rPr>
          <w:lang w:val="it-IT"/>
        </w:rPr>
        <w:t xml:space="preserve">) </w:t>
      </w:r>
      <w:r w:rsidR="00D91F88">
        <w:rPr>
          <w:lang w:val="it-IT"/>
        </w:rPr>
        <w:t xml:space="preserve">integrare con </w:t>
      </w:r>
      <w:hyperlink r:id="rId27" w:history="1">
        <w:r w:rsidR="00D91F88" w:rsidRPr="00D20DCF">
          <w:rPr>
            <w:rStyle w:val="Hyperlink"/>
            <w:lang w:val="it-IT"/>
          </w:rPr>
          <w:t>https://0-link-springer-com.opac.unicatt.it/content/pdf/10.1007/s10272-017-0706-3.pdf</w:t>
        </w:r>
      </w:hyperlink>
      <w:r w:rsidR="00D91F88">
        <w:rPr>
          <w:lang w:val="it-IT"/>
        </w:rPr>
        <w:t xml:space="preserve"> </w:t>
      </w:r>
      <w:r w:rsidR="003846AE">
        <w:rPr>
          <w:lang w:val="it-IT"/>
        </w:rPr>
        <w:t xml:space="preserve">e anche </w:t>
      </w:r>
      <w:hyperlink r:id="rId28" w:history="1">
        <w:r w:rsidR="003846AE" w:rsidRPr="00D20DCF">
          <w:rPr>
            <w:rStyle w:val="Hyperlink"/>
            <w:lang w:val="it-IT"/>
          </w:rPr>
          <w:t>https://www.bankofengland.co.uk/-/media/boe/files/working-paper/2017/the-economics-of-distributed-ledger-technology-for-securities-settlement.pdf?la=en&amp;hash=17895E1C1FEC86D37E12E4BE63BA9D9741577FE5</w:t>
        </w:r>
      </w:hyperlink>
      <w:r w:rsidR="003846AE">
        <w:rPr>
          <w:lang w:val="it-IT"/>
        </w:rPr>
        <w:t xml:space="preserve"> </w:t>
      </w:r>
    </w:p>
    <w:p w14:paraId="721A5ABC" w14:textId="5B53AA8F" w:rsidR="000050E8" w:rsidRDefault="000050E8" w:rsidP="007D1C6C">
      <w:pPr>
        <w:rPr>
          <w:lang w:val="it-IT"/>
        </w:rPr>
      </w:pPr>
      <w:r>
        <w:rPr>
          <w:lang w:val="it-IT"/>
        </w:rPr>
        <w:t xml:space="preserve">Raccordo fra DLT e Token/STO </w:t>
      </w:r>
      <w:r w:rsidRPr="000050E8">
        <w:rPr>
          <w:lang w:val="it-IT"/>
        </w:rPr>
        <w:sym w:font="Wingdings" w:char="F0E0"/>
      </w:r>
      <w:r w:rsidRPr="000050E8">
        <w:rPr>
          <w:lang w:val="it-IT"/>
        </w:rPr>
        <w:t>https://www2.deloitte.com/content/dam/Deloitte/lu/Documents/technology/lu-token-assets-securities-tomorrow.pdf</w:t>
      </w:r>
      <w:r>
        <w:rPr>
          <w:lang w:val="it-IT"/>
        </w:rPr>
        <w:t xml:space="preserve"> </w:t>
      </w:r>
    </w:p>
    <w:p w14:paraId="76D729B2" w14:textId="77777777" w:rsidR="003412E7" w:rsidRPr="000050E8" w:rsidRDefault="003412E7" w:rsidP="007D1C6C">
      <w:pPr>
        <w:rPr>
          <w:lang w:val="it-IT"/>
        </w:rPr>
      </w:pPr>
    </w:p>
    <w:p w14:paraId="1B7C25C8" w14:textId="77777777" w:rsidR="007D1C6C" w:rsidRPr="000050E8" w:rsidRDefault="007D1C6C" w:rsidP="007D1C6C">
      <w:pPr>
        <w:rPr>
          <w:lang w:val="it-IT"/>
        </w:rPr>
      </w:pPr>
    </w:p>
    <w:p w14:paraId="54DA7DDF" w14:textId="2E812AB7" w:rsidR="00B0265A" w:rsidRPr="00A072EA" w:rsidRDefault="00770363" w:rsidP="00770363">
      <w:pPr>
        <w:pStyle w:val="Heading2"/>
        <w:rPr>
          <w:lang w:val="it-IT"/>
        </w:rPr>
      </w:pPr>
      <w:bookmarkStart w:id="26" w:name="_Toc100246242"/>
      <w:r w:rsidRPr="00A072EA">
        <w:rPr>
          <w:lang w:val="it-IT"/>
        </w:rPr>
        <w:t>Tokenizzazione</w:t>
      </w:r>
      <w:bookmarkEnd w:id="26"/>
    </w:p>
    <w:p w14:paraId="502E2DF4" w14:textId="1625C365" w:rsidR="00200993" w:rsidRPr="00A072EA" w:rsidRDefault="00004AB9" w:rsidP="00200993">
      <w:pPr>
        <w:rPr>
          <w:lang w:val="it-IT"/>
        </w:rPr>
      </w:pPr>
      <w:hyperlink r:id="rId29" w:history="1">
        <w:r w:rsidR="00200993" w:rsidRPr="00A072EA">
          <w:rPr>
            <w:rStyle w:val="Hyperlink"/>
            <w:lang w:val="it-IT"/>
          </w:rPr>
          <w:t>https://0-www-emerald-com.opac.unicatt.it/insight/content/doi/10.1108/JPIF-10-2021-0087/full/pdf</w:t>
        </w:r>
      </w:hyperlink>
    </w:p>
    <w:p w14:paraId="3B24F616" w14:textId="2D1C17B9" w:rsidR="00770363" w:rsidRDefault="00200993" w:rsidP="00200993">
      <w:pPr>
        <w:rPr>
          <w:lang w:val="it-IT"/>
        </w:rPr>
      </w:pPr>
      <w:r w:rsidRPr="00200993">
        <w:rPr>
          <w:lang w:val="it-IT"/>
        </w:rPr>
        <w:t>Why blockchain for fractionalization?</w:t>
      </w:r>
    </w:p>
    <w:p w14:paraId="5F64509F" w14:textId="77777777" w:rsidR="00200993" w:rsidRDefault="00200993" w:rsidP="00770363">
      <w:pPr>
        <w:rPr>
          <w:lang w:val="it-IT"/>
        </w:rPr>
      </w:pPr>
    </w:p>
    <w:p w14:paraId="68A5AD51" w14:textId="55AEA374" w:rsidR="00770363" w:rsidRDefault="00770363" w:rsidP="00770363">
      <w:pPr>
        <w:rPr>
          <w:lang w:val="it-IT"/>
        </w:rPr>
      </w:pPr>
      <w:r>
        <w:rPr>
          <w:lang w:val="it-IT"/>
        </w:rPr>
        <w:t>La parola “tokenizzazione” può avere due significati:</w:t>
      </w:r>
    </w:p>
    <w:p w14:paraId="27C18052" w14:textId="35EAA4B6" w:rsidR="00770363" w:rsidRDefault="00770363" w:rsidP="005879DB">
      <w:pPr>
        <w:pStyle w:val="ListParagraph"/>
        <w:numPr>
          <w:ilvl w:val="0"/>
          <w:numId w:val="13"/>
        </w:numPr>
        <w:rPr>
          <w:lang w:val="it-IT"/>
        </w:rPr>
      </w:pPr>
      <w:r>
        <w:rPr>
          <w:lang w:val="it-IT"/>
        </w:rPr>
        <w:t xml:space="preserve">La frazionalizzazione dei diritti di proprietà </w:t>
      </w:r>
    </w:p>
    <w:p w14:paraId="05BDA892" w14:textId="56DECCD1" w:rsidR="00770363" w:rsidRDefault="00770363" w:rsidP="005879DB">
      <w:pPr>
        <w:pStyle w:val="ListParagraph"/>
        <w:numPr>
          <w:ilvl w:val="0"/>
          <w:numId w:val="13"/>
        </w:numPr>
        <w:rPr>
          <w:lang w:val="it-IT"/>
        </w:rPr>
      </w:pPr>
      <w:r>
        <w:rPr>
          <w:lang w:val="it-IT"/>
        </w:rPr>
        <w:t>La rappresentazione digitale della proprietà dell’asset sottostante</w:t>
      </w:r>
    </w:p>
    <w:p w14:paraId="3C645913" w14:textId="393508E7" w:rsidR="0076067D" w:rsidRDefault="0076067D" w:rsidP="0076067D">
      <w:pPr>
        <w:rPr>
          <w:lang w:val="it-IT"/>
        </w:rPr>
      </w:pPr>
      <w:r>
        <w:rPr>
          <w:lang w:val="it-IT"/>
        </w:rPr>
        <w:t xml:space="preserve">Il concetto di tokenizzazione è nato inizialmente come l’applicazione di dei distributed ledger technology (DLT) ovvero </w:t>
      </w:r>
      <w:r w:rsidRPr="0076067D">
        <w:rPr>
          <w:lang w:val="it-IT"/>
        </w:rPr>
        <w:t>sistemi basati su un registro distribuito, ossia sistemi in cui tutti i nodi di una rete possiedono la medesima copia di un database che può essere letto e modificato in modo indipendente dai singoli nodi.</w:t>
      </w:r>
    </w:p>
    <w:p w14:paraId="18ECF885" w14:textId="20A785E2" w:rsidR="0076067D" w:rsidRDefault="0076067D" w:rsidP="0076067D">
      <w:r w:rsidRPr="0076067D">
        <w:t>Il Financial Stability Board (FSB) nello studio “</w:t>
      </w:r>
      <w:r w:rsidRPr="0076067D">
        <w:rPr>
          <w:i/>
        </w:rPr>
        <w:t>Decentralised Financial Technologies</w:t>
      </w:r>
      <w:r w:rsidRPr="0076067D">
        <w:t>” definisce la tokenizzazione come “the representation of traditional assets – e.g. financial instruments, a basket of collateral or real</w:t>
      </w:r>
      <w:r>
        <w:t xml:space="preserve"> assets – on distributed ledger </w:t>
      </w:r>
      <w:r w:rsidRPr="0076067D">
        <w:t>technology”.</w:t>
      </w:r>
      <w:r w:rsidR="003E0419">
        <w:rPr>
          <w:rStyle w:val="FootnoteReference"/>
        </w:rPr>
        <w:footnoteReference w:id="48"/>
      </w:r>
    </w:p>
    <w:p w14:paraId="55C7F7B5" w14:textId="378569F5" w:rsidR="003E0419" w:rsidRPr="003E0419" w:rsidRDefault="003E0419" w:rsidP="003E0419">
      <w:pPr>
        <w:rPr>
          <w:lang w:val="it-IT"/>
        </w:rPr>
      </w:pPr>
      <w:r w:rsidRPr="003E0419">
        <w:t xml:space="preserve">La tokenizzazione è quindi “the process of moving traditional </w:t>
      </w:r>
      <w:r>
        <w:t>non-digital securities to a digital form using blockchain technology”</w:t>
      </w:r>
      <w:r>
        <w:rPr>
          <w:rStyle w:val="FootnoteReference"/>
        </w:rPr>
        <w:footnoteReference w:id="49"/>
      </w:r>
      <w:r>
        <w:t xml:space="preserve">. </w:t>
      </w:r>
      <w:r w:rsidRPr="003E0419">
        <w:rPr>
          <w:lang w:val="it-IT"/>
        </w:rPr>
        <w:t xml:space="preserve">Facendo ciò è possibile frazionalizzare gli asset in quote di proprietà a piccolo valori. </w:t>
      </w:r>
    </w:p>
    <w:p w14:paraId="0E1F4560" w14:textId="359E6748" w:rsidR="00B0265A" w:rsidRDefault="00770363" w:rsidP="006776FE">
      <w:pPr>
        <w:rPr>
          <w:lang w:val="it-IT"/>
        </w:rPr>
      </w:pPr>
      <w:r>
        <w:rPr>
          <w:lang w:val="it-IT"/>
        </w:rPr>
        <w:t xml:space="preserve">Con la tokenizzazione si vuole portare due importanti sviluppi nel mercato immobiliare. In primo luogo la soddisfazione della domanda per gli asset frazionalizzati. In secondo luogo integrare l’innovativa tecnologia blockhcain con un mercato antico e statico come quello immobiliare. </w:t>
      </w:r>
    </w:p>
    <w:p w14:paraId="0EB9A40B" w14:textId="4E1D58A7" w:rsidR="00770363" w:rsidRDefault="00770363" w:rsidP="006776FE">
      <w:pPr>
        <w:rPr>
          <w:lang w:val="it-IT"/>
        </w:rPr>
      </w:pPr>
      <w:r>
        <w:rPr>
          <w:lang w:val="it-IT"/>
        </w:rPr>
        <w:t xml:space="preserve">Connesso a ciò vi è il costo della frazionalizzazione e il costo della tokenizzazione. In molti mercati la frazionalizzazione del real estate richiede una </w:t>
      </w:r>
      <w:r w:rsidR="0076067D">
        <w:rPr>
          <w:lang w:val="it-IT"/>
        </w:rPr>
        <w:t>struttura</w:t>
      </w:r>
      <w:r>
        <w:rPr>
          <w:lang w:val="it-IT"/>
        </w:rPr>
        <w:t xml:space="preserve"> intermedia dal momento che la proprietà diretta degli immobili non può essere suddivisa oltre un certo numero di quote. Anche nel caso in cui fosse consentito dividere la proprietà di un asset per un numero tendente a infinito, vi è la necessità di avere un accordo per gestire lo stesso. Gli immobili sono entitià fisiche e come tali hanno bisogno di una gestione attiva. Per fare ciò è utile rivolgersi ad entità e strutture già esistenti che si sono dimostrate efficaci nel gestire asset frazionalizzati. Si parla ad esempio dei Trusts, delle SPV o di contratti di partnership dedicati. </w:t>
      </w:r>
    </w:p>
    <w:p w14:paraId="461127C8" w14:textId="143EB925" w:rsidR="00770363" w:rsidRDefault="00770363" w:rsidP="006776FE">
      <w:pPr>
        <w:rPr>
          <w:lang w:val="it-IT"/>
        </w:rPr>
      </w:pPr>
      <w:r>
        <w:rPr>
          <w:lang w:val="it-IT"/>
        </w:rPr>
        <w:lastRenderedPageBreak/>
        <w:t xml:space="preserve">È facile capire come una struttura intermedia sia necessaria e </w:t>
      </w:r>
      <w:r w:rsidR="0076067D">
        <w:rPr>
          <w:lang w:val="it-IT"/>
        </w:rPr>
        <w:t>conveniente</w:t>
      </w:r>
      <w:r>
        <w:rPr>
          <w:lang w:val="it-IT"/>
        </w:rPr>
        <w:t xml:space="preserve">. </w:t>
      </w:r>
      <w:r w:rsidR="00D44CB1">
        <w:rPr>
          <w:lang w:val="it-IT"/>
        </w:rPr>
        <w:t xml:space="preserve">Lo sbocco dove la tokenizzazione avrà più successo è il mondo dei fondi dove esiste già una struttura e vi è già una domanda espressa per la frazionalizzazione. </w:t>
      </w:r>
    </w:p>
    <w:p w14:paraId="1F016CE6" w14:textId="587025BD" w:rsidR="00B0265A" w:rsidRDefault="000608A6" w:rsidP="000608A6">
      <w:pPr>
        <w:rPr>
          <w:lang w:val="it-IT"/>
        </w:rPr>
      </w:pPr>
      <w:r>
        <w:rPr>
          <w:lang w:val="it-IT"/>
        </w:rPr>
        <w:t xml:space="preserve">Per creare un mercato finanziario, alla blockchain c’è bisogno di unire degli smart contracts. Questo fatto porta con sé delle challenge, prima di tutte il fatto che gli immobili sono oggetti fisici e, nel linguaggio blockchain, sono detti asset off-chain. La loro fisicità e costante interazione col mondo esterno si pone in stretta contraddizione con la natura digitale della blockchain. Al contrario degli eventi on-chain, gli eventi off-chain (quelli che accadono nel mondo reale) devono essere verificati di persona. La blockchain e gli smart contracts non sono connessi direttamente con questi eventi off-chain. </w:t>
      </w:r>
      <w:r w:rsidRPr="000608A6">
        <w:t>Si potrebbe connetterli con “</w:t>
      </w:r>
      <w:r>
        <w:t xml:space="preserve">third-party </w:t>
      </w:r>
      <w:r w:rsidRPr="000608A6">
        <w:t>service providers [</w:t>
      </w:r>
      <w:r>
        <w:t>detti</w:t>
      </w:r>
      <w:r w:rsidRPr="000608A6">
        <w:t xml:space="preserve"> oracles] that provide</w:t>
      </w:r>
      <w:r>
        <w:t xml:space="preserve"> information about the external </w:t>
      </w:r>
      <w:r w:rsidRPr="000608A6">
        <w:t>world”</w:t>
      </w:r>
      <w:r>
        <w:rPr>
          <w:rStyle w:val="FootnoteReference"/>
        </w:rPr>
        <w:footnoteReference w:id="50"/>
      </w:r>
      <w:r>
        <w:t xml:space="preserve">. </w:t>
      </w:r>
      <w:r w:rsidRPr="000608A6">
        <w:rPr>
          <w:lang w:val="it-IT"/>
        </w:rPr>
        <w:t xml:space="preserve">Gli eventi che possono impattare sugli immobili nel mondo reale sono molteplici. </w:t>
      </w:r>
      <w:r>
        <w:rPr>
          <w:lang w:val="it-IT"/>
        </w:rPr>
        <w:t xml:space="preserve">Per questo la relazione tra on-chain e off-chain non è né banale né diretta. </w:t>
      </w:r>
    </w:p>
    <w:p w14:paraId="6164AB49" w14:textId="0852F0F4" w:rsidR="00BB77E4" w:rsidRDefault="00BB77E4" w:rsidP="000608A6">
      <w:pPr>
        <w:rPr>
          <w:lang w:val="it-IT"/>
        </w:rPr>
      </w:pPr>
      <w:r>
        <w:rPr>
          <w:lang w:val="it-IT"/>
        </w:rPr>
        <w:t xml:space="preserve">Gli investimenti immobiliari soffrono di “lumpiness” (che significa che sono caratterizzati da un alto valore per unità e una distribuzione dei valori irregolare) che limita la domanda effettiva potenziale per un asset e allo stesso tempo ne previene l’efficiente diversificazione. </w:t>
      </w:r>
      <w:r w:rsidRPr="00BB77E4">
        <w:rPr>
          <w:lang w:val="it-IT"/>
        </w:rPr>
        <w:t>Come risultato di ciò gli investitori</w:t>
      </w:r>
      <w:r>
        <w:rPr>
          <w:lang w:val="it-IT"/>
        </w:rPr>
        <w:t xml:space="preserve"> immobiliari sono costretti a soffrire di rischio non diversificabile.</w:t>
      </w:r>
    </w:p>
    <w:p w14:paraId="4D340965" w14:textId="207ED25E" w:rsidR="00BB77E4" w:rsidRDefault="00BB77E4" w:rsidP="000608A6">
      <w:pPr>
        <w:rPr>
          <w:lang w:val="it-IT"/>
        </w:rPr>
      </w:pPr>
      <w:r>
        <w:rPr>
          <w:lang w:val="it-IT"/>
        </w:rPr>
        <w:t>Se la proprietà degli asset immobiliari fosse frazionata</w:t>
      </w:r>
      <w:r w:rsidR="003F3254">
        <w:rPr>
          <w:lang w:val="it-IT"/>
        </w:rPr>
        <w:t xml:space="preserve">, questo sicuramente migliorerebbe le caratteristiche di rischio/rendimento di un tipico portfolio immobiliare, e allo stesso tempo incrementerebbe la sua liquidità. </w:t>
      </w:r>
    </w:p>
    <w:p w14:paraId="3C591127" w14:textId="567EFA25" w:rsidR="0049466D" w:rsidRDefault="0049466D" w:rsidP="000608A6">
      <w:pPr>
        <w:rPr>
          <w:lang w:val="it-IT"/>
        </w:rPr>
      </w:pPr>
      <w:r w:rsidRPr="0049466D">
        <w:rPr>
          <w:lang w:val="it-IT"/>
        </w:rPr>
        <w:t>Inoltre, nel capitolo 1 si è</w:t>
      </w:r>
      <w:r>
        <w:rPr>
          <w:lang w:val="it-IT"/>
        </w:rPr>
        <w:t xml:space="preserve"> dimostrato come il mercato immobiliare sia demand-driven. </w:t>
      </w:r>
      <w:r w:rsidRPr="0049466D">
        <w:rPr>
          <w:lang w:val="it-IT"/>
        </w:rPr>
        <w:t>Questo significa che l’offerta di immobili è</w:t>
      </w:r>
      <w:r>
        <w:rPr>
          <w:lang w:val="it-IT"/>
        </w:rPr>
        <w:t xml:space="preserve"> causa della domanda. La frazionalizzazione degli immobili stimolerebbe la domanda, portando quindi una crescita endogena nel mercato.</w:t>
      </w:r>
    </w:p>
    <w:p w14:paraId="604F3DB9" w14:textId="028F07D1" w:rsidR="0049466D" w:rsidRDefault="0049466D" w:rsidP="0049466D">
      <w:r w:rsidRPr="0049466D">
        <w:t>“Surely wider distribution of a product offering should be both fair and effective in</w:t>
      </w:r>
      <w:r>
        <w:t xml:space="preserve"> </w:t>
      </w:r>
      <w:r w:rsidRPr="0049466D">
        <w:t>producing a better selling price; and if at the same time we can split the asset into</w:t>
      </w:r>
      <w:r>
        <w:t xml:space="preserve"> </w:t>
      </w:r>
      <w:r w:rsidRPr="0049466D">
        <w:t>smaller pieces, we will increase effective demand. A wider secondary market will also</w:t>
      </w:r>
      <w:r>
        <w:t xml:space="preserve"> </w:t>
      </w:r>
      <w:r w:rsidRPr="0049466D">
        <w:t>increase effective demand in the primary market and improve the perceived quality of</w:t>
      </w:r>
      <w:r>
        <w:t xml:space="preserve"> </w:t>
      </w:r>
      <w:r w:rsidRPr="0049466D">
        <w:t>the asset</w:t>
      </w:r>
      <w:r>
        <w:t>”.</w:t>
      </w:r>
      <w:r w:rsidR="0004167B">
        <w:rPr>
          <w:rStyle w:val="FootnoteReference"/>
        </w:rPr>
        <w:footnoteReference w:id="51"/>
      </w:r>
    </w:p>
    <w:p w14:paraId="442B8FF4" w14:textId="6B0D2284" w:rsidR="008B6365" w:rsidRDefault="00004AB9" w:rsidP="0049466D">
      <w:hyperlink r:id="rId30" w:history="1">
        <w:r w:rsidR="008B6365" w:rsidRPr="00D20DCF">
          <w:rPr>
            <w:rStyle w:val="Hyperlink"/>
          </w:rPr>
          <w:t>https://kth.diva-portal.org/smash/get/diva2:1576728/FULLTEXT01.pdf</w:t>
        </w:r>
      </w:hyperlink>
      <w:r w:rsidR="008B6365">
        <w:t xml:space="preserve"> </w:t>
      </w:r>
      <w:r w:rsidR="008B6365" w:rsidRPr="008B6365">
        <w:t>PROS and CONS of tokenization</w:t>
      </w:r>
      <w:r w:rsidR="008B6365">
        <w:t xml:space="preserve"> </w:t>
      </w:r>
    </w:p>
    <w:p w14:paraId="71F2180A" w14:textId="245FE52D" w:rsidR="003B07AF" w:rsidRDefault="00004AB9" w:rsidP="0049466D">
      <w:pPr>
        <w:rPr>
          <w:lang w:val="it-IT"/>
        </w:rPr>
      </w:pPr>
      <w:hyperlink r:id="rId31" w:history="1">
        <w:r w:rsidR="003B07AF" w:rsidRPr="003B07AF">
          <w:rPr>
            <w:rStyle w:val="Hyperlink"/>
            <w:lang w:val="it-IT"/>
          </w:rPr>
          <w:t>https://www2.deloitte.com/content/dam/Deloitte/lu/Documents/technology/lu-token-assets-securities-tomorrow.pdf</w:t>
        </w:r>
      </w:hyperlink>
      <w:r w:rsidR="003B07AF" w:rsidRPr="003B07AF">
        <w:rPr>
          <w:lang w:val="it-IT"/>
        </w:rPr>
        <w:t xml:space="preserve"> --&gt;processo in c</w:t>
      </w:r>
      <w:r w:rsidR="003B07AF">
        <w:rPr>
          <w:lang w:val="it-IT"/>
        </w:rPr>
        <w:t>ui si digitalizza la proprietà.</w:t>
      </w:r>
    </w:p>
    <w:p w14:paraId="0DE7BF86" w14:textId="7A39D563" w:rsidR="00313691" w:rsidRPr="00313691" w:rsidRDefault="00004AB9" w:rsidP="0049466D">
      <w:hyperlink r:id="rId32" w:history="1">
        <w:r w:rsidR="00313691" w:rsidRPr="00313691">
          <w:rPr>
            <w:rStyle w:val="Hyperlink"/>
          </w:rPr>
          <w:t>https://kth.diva-portal.org/smash/get/diva2:1576728/FULLTEXT01.pdf</w:t>
        </w:r>
        <w:r w:rsidR="00313691" w:rsidRPr="00313691">
          <w:t>--&gt;valutazione</w:t>
        </w:r>
      </w:hyperlink>
      <w:r w:rsidR="00313691" w:rsidRPr="00313691">
        <w:t xml:space="preserve"> token</w:t>
      </w:r>
    </w:p>
    <w:p w14:paraId="2A0D8A93" w14:textId="1DF0DC31" w:rsidR="00A21C54" w:rsidRDefault="00A21C54" w:rsidP="00A21C54">
      <w:pPr>
        <w:pStyle w:val="Heading3"/>
        <w:rPr>
          <w:lang w:val="it-IT"/>
        </w:rPr>
      </w:pPr>
      <w:bookmarkStart w:id="27" w:name="_Toc100246243"/>
      <w:r w:rsidRPr="00A21C54">
        <w:rPr>
          <w:lang w:val="it-IT"/>
        </w:rPr>
        <w:t>Definizione di Securities – Italia e USA</w:t>
      </w:r>
      <w:bookmarkEnd w:id="27"/>
    </w:p>
    <w:p w14:paraId="3C3BFAB9" w14:textId="599B2D7E" w:rsidR="00A21C54" w:rsidRDefault="00A21C54" w:rsidP="00A21C54">
      <w:pPr>
        <w:rPr>
          <w:lang w:val="it-IT"/>
        </w:rPr>
      </w:pPr>
    </w:p>
    <w:p w14:paraId="312D28EB" w14:textId="317F4858" w:rsidR="00AE7C4B" w:rsidRDefault="00AE7C4B" w:rsidP="00AE7C4B">
      <w:pPr>
        <w:pStyle w:val="Heading3"/>
        <w:rPr>
          <w:lang w:val="it-IT"/>
        </w:rPr>
      </w:pPr>
      <w:bookmarkStart w:id="28" w:name="_Toc100246244"/>
      <w:r>
        <w:rPr>
          <w:lang w:val="it-IT"/>
        </w:rPr>
        <w:t>USA</w:t>
      </w:r>
      <w:bookmarkEnd w:id="28"/>
    </w:p>
    <w:p w14:paraId="7B07134F" w14:textId="77777777" w:rsidR="00AE7C4B" w:rsidRPr="00AE7C4B" w:rsidRDefault="00AE7C4B" w:rsidP="00AE7C4B">
      <w:pPr>
        <w:rPr>
          <w:lang w:val="it-IT"/>
        </w:rPr>
      </w:pPr>
    </w:p>
    <w:p w14:paraId="18192598" w14:textId="7FA0911B" w:rsidR="00A21C54" w:rsidRDefault="00A21C54" w:rsidP="00A21C54">
      <w:pPr>
        <w:rPr>
          <w:lang w:val="it-IT"/>
        </w:rPr>
      </w:pPr>
      <w:r>
        <w:rPr>
          <w:lang w:val="it-IT"/>
        </w:rPr>
        <w:t xml:space="preserve">Negli Stati Uniti le Securities sono regolate dal U.S. Code of Laws 15 §77b(a)(1). </w:t>
      </w:r>
      <w:r w:rsidRPr="00A21C54">
        <w:rPr>
          <w:lang w:val="it-IT"/>
        </w:rPr>
        <w:t xml:space="preserve">La SEC (Securities and Exchange Commission) regola e vigila che la legge venga rispettata in questo ambito. </w:t>
      </w:r>
    </w:p>
    <w:p w14:paraId="4DEBB963" w14:textId="597CB881" w:rsidR="00A21C54" w:rsidRDefault="00A21C54" w:rsidP="00A21C54">
      <w:r w:rsidRPr="00A21C54">
        <w:lastRenderedPageBreak/>
        <w:t>“Th</w:t>
      </w:r>
      <w:r>
        <w:t>e term ‘‘security’’ means any n</w:t>
      </w:r>
      <w:r w:rsidRPr="00A21C54">
        <w:t>ote, stock, t</w:t>
      </w:r>
      <w:r>
        <w:t xml:space="preserve">reasury stock, security future, </w:t>
      </w:r>
      <w:r w:rsidRPr="00A21C54">
        <w:t>bond, debenture , evidence of indebtedn</w:t>
      </w:r>
      <w:r>
        <w:t xml:space="preserve">ess, certificate of interest or </w:t>
      </w:r>
      <w:r w:rsidRPr="00A21C54">
        <w:t>participation in any profit sharing agreement, collateral-trust certifi</w:t>
      </w:r>
      <w:r>
        <w:t xml:space="preserve">cate, </w:t>
      </w:r>
      <w:r w:rsidRPr="00A21C54">
        <w:t>preorganization certificate or subscription,</w:t>
      </w:r>
      <w:r>
        <w:t xml:space="preserve"> transferable share, investment </w:t>
      </w:r>
      <w:r w:rsidRPr="00A21C54">
        <w:t>contract, voting-trust certificate, certificate of dep</w:t>
      </w:r>
      <w:r>
        <w:t xml:space="preserve">osit for a security, fractional </w:t>
      </w:r>
      <w:r w:rsidRPr="00A21C54">
        <w:t>undivided interest in oil, gas, or other mineral r</w:t>
      </w:r>
      <w:r>
        <w:t xml:space="preserve">ights, any put, call, straddle, </w:t>
      </w:r>
      <w:r w:rsidRPr="00A21C54">
        <w:t>option, or privilege on any security, certificate o</w:t>
      </w:r>
      <w:r>
        <w:t xml:space="preserve">f deposit, or group or index of </w:t>
      </w:r>
      <w:r w:rsidRPr="00A21C54">
        <w:t xml:space="preserve">securities (including any interest therein or </w:t>
      </w:r>
      <w:r>
        <w:t xml:space="preserve">based on the value thereof), or </w:t>
      </w:r>
      <w:r w:rsidRPr="00A21C54">
        <w:t>any put, call, straddle, option, or privilege entere</w:t>
      </w:r>
      <w:r>
        <w:t xml:space="preserve">d into on a national securities </w:t>
      </w:r>
      <w:r w:rsidRPr="00A21C54">
        <w:t xml:space="preserve">exchange relating to foreign currency, </w:t>
      </w:r>
      <w:r>
        <w:t xml:space="preserve">or, in general, any interest or </w:t>
      </w:r>
      <w:r w:rsidRPr="00A21C54">
        <w:t>instrument commonly known as a ‘‘security’’, or</w:t>
      </w:r>
      <w:r>
        <w:t xml:space="preserve"> any certificate of interest or </w:t>
      </w:r>
      <w:r w:rsidRPr="00A21C54">
        <w:t xml:space="preserve">participation in, temporary or interim certificate </w:t>
      </w:r>
      <w:r>
        <w:t xml:space="preserve">for, receipt for, guarantee of, </w:t>
      </w:r>
      <w:r w:rsidRPr="00A21C54">
        <w:t>or warrant or right to subscribe to or purchase, any of the foregoing.”</w:t>
      </w:r>
    </w:p>
    <w:p w14:paraId="20BF21FA" w14:textId="68CEC009" w:rsidR="00AE7C4B" w:rsidRPr="00D62955" w:rsidRDefault="00AE7C4B" w:rsidP="00AE7C4B">
      <w:pPr>
        <w:pStyle w:val="Heading3"/>
        <w:rPr>
          <w:lang w:val="it-IT"/>
        </w:rPr>
      </w:pPr>
      <w:bookmarkStart w:id="29" w:name="_Toc100246245"/>
      <w:r w:rsidRPr="00D62955">
        <w:rPr>
          <w:lang w:val="it-IT"/>
        </w:rPr>
        <w:t>Italia</w:t>
      </w:r>
      <w:bookmarkEnd w:id="29"/>
    </w:p>
    <w:p w14:paraId="5EAA1101" w14:textId="77777777" w:rsidR="00AE7C4B" w:rsidRPr="00D62955" w:rsidRDefault="00AE7C4B" w:rsidP="00AE7C4B">
      <w:pPr>
        <w:rPr>
          <w:lang w:val="it-IT"/>
        </w:rPr>
      </w:pPr>
    </w:p>
    <w:p w14:paraId="2D77E5A9" w14:textId="77777777" w:rsidR="00A21C54" w:rsidRDefault="00A21C54" w:rsidP="00A21C54">
      <w:pPr>
        <w:rPr>
          <w:lang w:val="it-IT"/>
        </w:rPr>
      </w:pPr>
      <w:r w:rsidRPr="00A21C54">
        <w:rPr>
          <w:lang w:val="it-IT"/>
        </w:rPr>
        <w:t>In Italia invece è il TUF</w:t>
      </w:r>
      <w:r>
        <w:rPr>
          <w:lang w:val="it-IT"/>
        </w:rPr>
        <w:t xml:space="preserve"> a disciplinare la materia di strumenti finanziari all’art. 1, comma 2. Per il TUF gli strumenti finanziari sono:</w:t>
      </w:r>
    </w:p>
    <w:p w14:paraId="0395B63C" w14:textId="77777777" w:rsidR="00A21C54" w:rsidRDefault="00A21C54" w:rsidP="005879DB">
      <w:pPr>
        <w:pStyle w:val="ListParagraph"/>
        <w:numPr>
          <w:ilvl w:val="0"/>
          <w:numId w:val="17"/>
        </w:numPr>
        <w:rPr>
          <w:lang w:val="it-IT"/>
        </w:rPr>
      </w:pPr>
      <w:r w:rsidRPr="00A21C54">
        <w:rPr>
          <w:lang w:val="it-IT"/>
        </w:rPr>
        <w:t>le azioni e gli altri titoli rappresentativi di capitale di rischio negoziabili sul mercato dei capitali;</w:t>
      </w:r>
    </w:p>
    <w:p w14:paraId="27A3DBAA" w14:textId="77777777" w:rsidR="00A21C54" w:rsidRDefault="00A21C54" w:rsidP="005879DB">
      <w:pPr>
        <w:pStyle w:val="ListParagraph"/>
        <w:numPr>
          <w:ilvl w:val="0"/>
          <w:numId w:val="17"/>
        </w:numPr>
        <w:rPr>
          <w:lang w:val="it-IT"/>
        </w:rPr>
      </w:pPr>
      <w:r w:rsidRPr="00A21C54">
        <w:rPr>
          <w:lang w:val="it-IT"/>
        </w:rPr>
        <w:t>le obbligazioni, i titoli di Stato e gli altri titoli di debito negoziabili sul mercato dei capitali;</w:t>
      </w:r>
    </w:p>
    <w:p w14:paraId="645B06F4" w14:textId="77777777" w:rsidR="00A21C54" w:rsidRDefault="00A21C54" w:rsidP="005879DB">
      <w:pPr>
        <w:pStyle w:val="ListParagraph"/>
        <w:numPr>
          <w:ilvl w:val="0"/>
          <w:numId w:val="17"/>
        </w:numPr>
        <w:rPr>
          <w:lang w:val="it-IT"/>
        </w:rPr>
      </w:pPr>
      <w:r w:rsidRPr="00A21C54">
        <w:rPr>
          <w:lang w:val="it-IT"/>
        </w:rPr>
        <w:t>le quote di fondi comuni di investimento;</w:t>
      </w:r>
    </w:p>
    <w:p w14:paraId="5125723D" w14:textId="77777777" w:rsidR="00A21C54" w:rsidRDefault="00A21C54" w:rsidP="005879DB">
      <w:pPr>
        <w:pStyle w:val="ListParagraph"/>
        <w:numPr>
          <w:ilvl w:val="0"/>
          <w:numId w:val="17"/>
        </w:numPr>
        <w:rPr>
          <w:lang w:val="it-IT"/>
        </w:rPr>
      </w:pPr>
      <w:r w:rsidRPr="00A21C54">
        <w:rPr>
          <w:lang w:val="it-IT"/>
        </w:rPr>
        <w:t>i titoli normalmente negoziati sul mercato monetario;</w:t>
      </w:r>
    </w:p>
    <w:p w14:paraId="0B91F3C3" w14:textId="77777777" w:rsidR="00A21C54" w:rsidRDefault="00A21C54" w:rsidP="005879DB">
      <w:pPr>
        <w:pStyle w:val="ListParagraph"/>
        <w:numPr>
          <w:ilvl w:val="0"/>
          <w:numId w:val="17"/>
        </w:numPr>
        <w:rPr>
          <w:lang w:val="it-IT"/>
        </w:rPr>
      </w:pPr>
      <w:r w:rsidRPr="00A21C54">
        <w:rPr>
          <w:lang w:val="it-IT"/>
        </w:rPr>
        <w:t>qualsiasi altro titolo normalmente negoziato che permetta di acquisire gli strumenti precedentemente indicati;</w:t>
      </w:r>
    </w:p>
    <w:p w14:paraId="627FE0C7" w14:textId="77777777" w:rsidR="00A21C54" w:rsidRDefault="00A21C54" w:rsidP="005879DB">
      <w:pPr>
        <w:pStyle w:val="ListParagraph"/>
        <w:numPr>
          <w:ilvl w:val="0"/>
          <w:numId w:val="17"/>
        </w:numPr>
        <w:rPr>
          <w:lang w:val="it-IT"/>
        </w:rPr>
      </w:pPr>
      <w:r w:rsidRPr="00A21C54">
        <w:rPr>
          <w:lang w:val="it-IT"/>
        </w:rPr>
        <w:t>i contratti futures su strumenti finanziari, su tassi di interesse, su valute, su merci e sui relativi indici;</w:t>
      </w:r>
    </w:p>
    <w:p w14:paraId="1F8790C2" w14:textId="77777777" w:rsidR="00A21C54" w:rsidRDefault="00A21C54" w:rsidP="005879DB">
      <w:pPr>
        <w:pStyle w:val="ListParagraph"/>
        <w:numPr>
          <w:ilvl w:val="0"/>
          <w:numId w:val="17"/>
        </w:numPr>
        <w:rPr>
          <w:lang w:val="it-IT"/>
        </w:rPr>
      </w:pPr>
      <w:r w:rsidRPr="00A21C54">
        <w:rPr>
          <w:lang w:val="it-IT"/>
        </w:rPr>
        <w:t>i contratti di scambio a pronti e a termine (swaps) su tassi di interesse, su valute, su merci nonché su indici azionari (equity swaps);</w:t>
      </w:r>
    </w:p>
    <w:p w14:paraId="3A5B7B00" w14:textId="77777777" w:rsidR="00A21C54" w:rsidRDefault="00A21C54" w:rsidP="005879DB">
      <w:pPr>
        <w:pStyle w:val="ListParagraph"/>
        <w:numPr>
          <w:ilvl w:val="0"/>
          <w:numId w:val="17"/>
        </w:numPr>
        <w:rPr>
          <w:lang w:val="it-IT"/>
        </w:rPr>
      </w:pPr>
      <w:r w:rsidRPr="00A21C54">
        <w:rPr>
          <w:lang w:val="it-IT"/>
        </w:rPr>
        <w:t>i contratti a termine collegati a strumenti finanziari, a tassi d'interesse, a valute, a merci e ai relativi indici;</w:t>
      </w:r>
    </w:p>
    <w:p w14:paraId="6C24CE4E" w14:textId="77777777" w:rsidR="00A21C54" w:rsidRDefault="00A21C54" w:rsidP="005879DB">
      <w:pPr>
        <w:pStyle w:val="ListParagraph"/>
        <w:numPr>
          <w:ilvl w:val="0"/>
          <w:numId w:val="17"/>
        </w:numPr>
        <w:rPr>
          <w:lang w:val="it-IT"/>
        </w:rPr>
      </w:pPr>
      <w:r w:rsidRPr="00A21C54">
        <w:rPr>
          <w:lang w:val="it-IT"/>
        </w:rPr>
        <w:t>i contratti di opzione per acquistare o vendere gli strumenti indicati nelle precedenti lettere e i relativi indici, nonché i contratti di opzione su valute, su tassi d'interesse, su merci e sui relativi indici;</w:t>
      </w:r>
    </w:p>
    <w:p w14:paraId="557E69C7" w14:textId="44C59CFF" w:rsidR="00A21C54" w:rsidRPr="00A21C54" w:rsidRDefault="00A21C54" w:rsidP="005879DB">
      <w:pPr>
        <w:pStyle w:val="ListParagraph"/>
        <w:numPr>
          <w:ilvl w:val="0"/>
          <w:numId w:val="17"/>
        </w:numPr>
        <w:rPr>
          <w:lang w:val="it-IT"/>
        </w:rPr>
      </w:pPr>
      <w:r w:rsidRPr="00A21C54">
        <w:rPr>
          <w:lang w:val="it-IT"/>
        </w:rPr>
        <w:t>le combinazioni di contratti o di titoli indicati precedentemente.</w:t>
      </w:r>
    </w:p>
    <w:p w14:paraId="38A02CB6" w14:textId="365C61EF" w:rsidR="00A21C54" w:rsidRPr="00A21C54" w:rsidRDefault="00A21C54" w:rsidP="00A21C54">
      <w:pPr>
        <w:rPr>
          <w:lang w:val="it-IT"/>
        </w:rPr>
      </w:pPr>
      <w:r w:rsidRPr="00A21C54">
        <w:rPr>
          <w:lang w:val="it-IT"/>
        </w:rPr>
        <w:t>I mezzi di pagamento non sono considerati strumenti finanziari.</w:t>
      </w:r>
    </w:p>
    <w:p w14:paraId="46379578" w14:textId="19F3AD8E" w:rsidR="00173E7E" w:rsidRPr="00083B26" w:rsidRDefault="00173E7E" w:rsidP="00173E7E">
      <w:pPr>
        <w:pStyle w:val="Heading2"/>
        <w:rPr>
          <w:lang w:val="it-IT"/>
        </w:rPr>
      </w:pPr>
      <w:bookmarkStart w:id="30" w:name="_Toc100246246"/>
      <w:r w:rsidRPr="00083B26">
        <w:rPr>
          <w:lang w:val="it-IT"/>
        </w:rPr>
        <w:t>Security tokens versus tokenised securities</w:t>
      </w:r>
      <w:bookmarkEnd w:id="30"/>
    </w:p>
    <w:p w14:paraId="694FC353" w14:textId="77777777" w:rsidR="00FE2E31" w:rsidRPr="00083B26" w:rsidRDefault="00FE2E31" w:rsidP="00173E7E">
      <w:pPr>
        <w:rPr>
          <w:lang w:val="it-IT"/>
        </w:rPr>
      </w:pPr>
    </w:p>
    <w:p w14:paraId="09703D74" w14:textId="19FD657B" w:rsidR="00173E7E" w:rsidRDefault="00173E7E" w:rsidP="00173E7E">
      <w:pPr>
        <w:rPr>
          <w:lang w:val="it-IT"/>
        </w:rPr>
      </w:pPr>
      <w:r>
        <w:rPr>
          <w:lang w:val="it-IT"/>
        </w:rPr>
        <w:t>La frazionalizzazione degli asset immobiliari tramite tokenizzazione può avere due forme:</w:t>
      </w:r>
    </w:p>
    <w:p w14:paraId="292AF03C" w14:textId="20F6F76D" w:rsidR="00173E7E" w:rsidRDefault="00173E7E" w:rsidP="005879DB">
      <w:pPr>
        <w:pStyle w:val="ListParagraph"/>
        <w:numPr>
          <w:ilvl w:val="0"/>
          <w:numId w:val="14"/>
        </w:numPr>
        <w:rPr>
          <w:lang w:val="it-IT"/>
        </w:rPr>
      </w:pPr>
      <w:r>
        <w:rPr>
          <w:lang w:val="it-IT"/>
        </w:rPr>
        <w:t>Frazionamento della proprietà degli stessi asset</w:t>
      </w:r>
    </w:p>
    <w:p w14:paraId="39AE8F8E" w14:textId="5E3C039C" w:rsidR="00173E7E" w:rsidRDefault="00173E7E" w:rsidP="005879DB">
      <w:pPr>
        <w:pStyle w:val="ListParagraph"/>
        <w:numPr>
          <w:ilvl w:val="0"/>
          <w:numId w:val="14"/>
        </w:numPr>
        <w:rPr>
          <w:lang w:val="it-IT"/>
        </w:rPr>
      </w:pPr>
      <w:r>
        <w:rPr>
          <w:lang w:val="it-IT"/>
        </w:rPr>
        <w:t>Frazionamento delle securities basate sui diritti di proprietà e i redditi derivanti da essa</w:t>
      </w:r>
    </w:p>
    <w:p w14:paraId="3F6365BE" w14:textId="4537B77A" w:rsidR="00173E7E" w:rsidRPr="006015A0" w:rsidRDefault="00173E7E" w:rsidP="00173E7E">
      <w:pPr>
        <w:rPr>
          <w:lang w:val="it-IT"/>
        </w:rPr>
      </w:pPr>
      <w:r w:rsidRPr="006015A0">
        <w:rPr>
          <w:lang w:val="it-IT"/>
        </w:rPr>
        <w:t>È possibile costruire delle securities blockchain-based in due modi: “security tokens” e “tokenized securities”.</w:t>
      </w:r>
    </w:p>
    <w:p w14:paraId="0B80157E" w14:textId="6B3C5AAA" w:rsidR="00173E7E" w:rsidRPr="006015A0" w:rsidRDefault="006F1A84" w:rsidP="006776FE">
      <w:pPr>
        <w:rPr>
          <w:lang w:val="it-IT"/>
        </w:rPr>
      </w:pPr>
      <w:r w:rsidRPr="006015A0">
        <w:rPr>
          <w:lang w:val="it-IT"/>
        </w:rPr>
        <w:t>I security tokens sono delle securities che non esistono fuori dalla blockchain, mentre le tokenized securities sono delle “blockchain-embedded representations of real world securities”.</w:t>
      </w:r>
    </w:p>
    <w:p w14:paraId="7474F898" w14:textId="12EBB7FB" w:rsidR="006F1A84" w:rsidRDefault="006F1A84" w:rsidP="006776FE">
      <w:pPr>
        <w:rPr>
          <w:lang w:val="it-IT"/>
        </w:rPr>
      </w:pPr>
      <w:r>
        <w:rPr>
          <w:noProof/>
        </w:rPr>
        <w:lastRenderedPageBreak/>
        <w:drawing>
          <wp:inline distT="0" distB="0" distL="0" distR="0" wp14:anchorId="416B839C" wp14:editId="559B7CC6">
            <wp:extent cx="4664452" cy="1821468"/>
            <wp:effectExtent l="0" t="0" r="317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t="35551" b="28050"/>
                    <a:stretch/>
                  </pic:blipFill>
                  <pic:spPr bwMode="auto">
                    <a:xfrm>
                      <a:off x="0" y="0"/>
                      <a:ext cx="4675440" cy="1825759"/>
                    </a:xfrm>
                    <a:prstGeom prst="rect">
                      <a:avLst/>
                    </a:prstGeom>
                    <a:ln>
                      <a:noFill/>
                    </a:ln>
                    <a:extLst>
                      <a:ext uri="{53640926-AAD7-44D8-BBD7-CCE9431645EC}">
                        <a14:shadowObscured xmlns:a14="http://schemas.microsoft.com/office/drawing/2010/main"/>
                      </a:ext>
                    </a:extLst>
                  </pic:spPr>
                </pic:pic>
              </a:graphicData>
            </a:graphic>
          </wp:inline>
        </w:drawing>
      </w:r>
    </w:p>
    <w:p w14:paraId="77FDC630" w14:textId="20CD59AB" w:rsidR="006F1A84" w:rsidRDefault="006F1A84" w:rsidP="006776FE">
      <w:pPr>
        <w:rPr>
          <w:lang w:val="it-IT"/>
        </w:rPr>
      </w:pPr>
      <w:r>
        <w:rPr>
          <w:lang w:val="it-IT"/>
        </w:rPr>
        <w:t>Il valore dei Security Tokens deriva dai cash-flow degli asset on-chain come ogni altra security.</w:t>
      </w:r>
    </w:p>
    <w:p w14:paraId="335B0A27" w14:textId="11DB4C42" w:rsidR="006F1A84" w:rsidRDefault="00AD6FB5" w:rsidP="006776FE">
      <w:pPr>
        <w:rPr>
          <w:lang w:val="it-IT"/>
        </w:rPr>
      </w:pPr>
      <w:r>
        <w:rPr>
          <w:lang w:val="it-IT"/>
        </w:rPr>
        <w:t xml:space="preserve">Al contrario un asset off-chain viene frazionalizzato grazie alla sua tokenizzazione (tokenised security) e quindi il valore del token deriva dal valore del bene sottostante, dai sui cash-flow e dalla struttura dell’entità intermediaria come una SPV o un trust. Mentre gli asset “nativi” costruiti in blockchain possono essere efficientemente scambiati on-chain in un mercato centralizzato, la tokenizzazione di asset reali non può essere completamente on-chain e decentralizzata. Asset fisici avranno sempre bsiogno di processi off-chain dal momento che il registro distribuito non può gestire eventi del mondo reale come le dispute legali. </w:t>
      </w:r>
    </w:p>
    <w:p w14:paraId="364EA055" w14:textId="343EC13A" w:rsidR="006F1A84" w:rsidRDefault="00AD6FB5" w:rsidP="00AD6FB5">
      <w:r w:rsidRPr="00AD6FB5">
        <w:t xml:space="preserve">In ogni caso ci sarà bisogno </w:t>
      </w:r>
      <w:r>
        <w:t xml:space="preserve">di </w:t>
      </w:r>
      <w:r w:rsidRPr="00AD6FB5">
        <w:t>“trusted parties that are responsible for guaranteeing these claims and […] held legally accountable</w:t>
      </w:r>
      <w:r>
        <w:t xml:space="preserve">”. </w:t>
      </w:r>
      <w:r>
        <w:rPr>
          <w:rStyle w:val="FootnoteReference"/>
        </w:rPr>
        <w:footnoteReference w:id="52"/>
      </w:r>
    </w:p>
    <w:p w14:paraId="66879AB8" w14:textId="7CF07251" w:rsidR="006E748A" w:rsidRPr="006E748A" w:rsidRDefault="006E748A" w:rsidP="00AD6FB5">
      <w:pPr>
        <w:rPr>
          <w:lang w:val="it-IT"/>
        </w:rPr>
      </w:pPr>
      <w:r w:rsidRPr="006E748A">
        <w:rPr>
          <w:lang w:val="it-IT"/>
        </w:rPr>
        <w:t>L’emissione di security token è assimilabile ad una cartolarizzazione di asset (tangibili, intangibili e commerciali), con la differenza che le Security token si basano sull’utilizzo di Distributed Ledgers (letteralmente “registro distribuito”) Technologies.</w:t>
      </w:r>
      <w:r>
        <w:rPr>
          <w:rStyle w:val="FootnoteReference"/>
          <w:lang w:val="it-IT"/>
        </w:rPr>
        <w:footnoteReference w:id="53"/>
      </w:r>
    </w:p>
    <w:p w14:paraId="6375B5A8" w14:textId="2B5DC917" w:rsidR="00083B26" w:rsidRPr="00643910" w:rsidRDefault="0020339D" w:rsidP="00083B26">
      <w:pPr>
        <w:rPr>
          <w:lang w:val="it-IT"/>
        </w:rPr>
      </w:pPr>
      <w:r w:rsidRPr="00643910">
        <w:rPr>
          <w:highlight w:val="yellow"/>
          <w:lang w:val="it-IT"/>
        </w:rPr>
        <w:t>Stavo leggendo pagina 164 del libro + devo integrare con Tokenisation – The Future of Real Estate investment e Tokenized Securities &amp; Commercial Real Estate</w:t>
      </w:r>
    </w:p>
    <w:p w14:paraId="762BC8D0" w14:textId="7A770712" w:rsidR="00595492" w:rsidRDefault="00595492" w:rsidP="00595492">
      <w:pPr>
        <w:pStyle w:val="Heading2"/>
        <w:rPr>
          <w:lang w:val="it-IT"/>
        </w:rPr>
      </w:pPr>
      <w:bookmarkStart w:id="31" w:name="_Toc100246247"/>
      <w:r>
        <w:rPr>
          <w:lang w:val="it-IT"/>
        </w:rPr>
        <w:t>Il frazionamento della proprietà negli ord</w:t>
      </w:r>
      <w:r w:rsidR="001D2F14">
        <w:rPr>
          <w:lang w:val="it-IT"/>
        </w:rPr>
        <w:t>inamenti giuridici – Italia e altre nazioni</w:t>
      </w:r>
      <w:bookmarkEnd w:id="31"/>
    </w:p>
    <w:p w14:paraId="00FDD0F1" w14:textId="5BFD4004" w:rsidR="00595492" w:rsidRDefault="00595492" w:rsidP="00595492">
      <w:pPr>
        <w:rPr>
          <w:lang w:val="it-IT"/>
        </w:rPr>
      </w:pPr>
    </w:p>
    <w:p w14:paraId="1D8DC37B" w14:textId="1F322ACE" w:rsidR="00974A79" w:rsidRDefault="00974A79" w:rsidP="00595492">
      <w:pPr>
        <w:rPr>
          <w:lang w:val="it-IT"/>
        </w:rPr>
      </w:pPr>
      <w:r w:rsidRPr="00974A79">
        <w:rPr>
          <w:lang w:val="it-IT"/>
        </w:rPr>
        <w:t>In Italia vi sono almeno due modi per condividere la proprietà di un immobile: la comunione e la multiproprietà. Prima di approfondire l’argomento è necessario premettere che entrambi gli istituti permettono sì la divisione della proprietà su un immobile ma non sono pensati e destinati al fine dell’investimento immobiliare e, conseguentemente, non sono adatti per operazioni di questo tipo.</w:t>
      </w:r>
    </w:p>
    <w:p w14:paraId="62A0F25B" w14:textId="34EA9A22" w:rsidR="00991205" w:rsidRDefault="00991205" w:rsidP="00595492">
      <w:pPr>
        <w:rPr>
          <w:lang w:val="it-IT"/>
        </w:rPr>
      </w:pPr>
      <w:r>
        <w:rPr>
          <w:lang w:val="it-IT"/>
        </w:rPr>
        <w:t xml:space="preserve">Vi sono sicuramente altri modi per frazionare un asset immobiliare tra cui la suddivisione in ulteriori unità abitative lo stesso edificio e i sindacati di investimento (presenti in paesi anglosassoni come UK, USA e Australia). In Inghilterra l’uso di leaseholds e sub-leasholds. Si potrebbe anche usare la tecnica del tranching, tipica delle Mortgage-Backed Securities (MBS) utile a suddividere le quote di uno strumento finanziario in quote più piccole da distribuire tra nuovi investitori. </w:t>
      </w:r>
    </w:p>
    <w:p w14:paraId="2727ECE2" w14:textId="343726D6" w:rsidR="00991205" w:rsidRDefault="00991205" w:rsidP="00595492">
      <w:pPr>
        <w:rPr>
          <w:lang w:val="it-IT"/>
        </w:rPr>
      </w:pPr>
      <w:r>
        <w:rPr>
          <w:lang w:val="it-IT"/>
        </w:rPr>
        <w:t xml:space="preserve">Si mostrerà tuttavia che tutte queste </w:t>
      </w:r>
      <w:r w:rsidR="00194F04">
        <w:rPr>
          <w:lang w:val="it-IT"/>
        </w:rPr>
        <w:t>tecniche</w:t>
      </w:r>
      <w:r>
        <w:rPr>
          <w:lang w:val="it-IT"/>
        </w:rPr>
        <w:t xml:space="preserve"> non sono ottimali al fine di frazionare gli immobili e creare un mercato immobiliare secondario dove scambiare le quote.</w:t>
      </w:r>
    </w:p>
    <w:p w14:paraId="28081101" w14:textId="4211EBAB" w:rsidR="00991205" w:rsidRDefault="00991205" w:rsidP="00991205">
      <w:pPr>
        <w:pStyle w:val="Heading3"/>
        <w:rPr>
          <w:lang w:val="it-IT"/>
        </w:rPr>
      </w:pPr>
      <w:bookmarkStart w:id="32" w:name="_Toc100246248"/>
      <w:r>
        <w:rPr>
          <w:lang w:val="it-IT"/>
        </w:rPr>
        <w:lastRenderedPageBreak/>
        <w:t>Italia</w:t>
      </w:r>
      <w:bookmarkEnd w:id="32"/>
    </w:p>
    <w:p w14:paraId="6CCB9B5A" w14:textId="77777777" w:rsidR="00991205" w:rsidRDefault="00991205" w:rsidP="00595492">
      <w:pPr>
        <w:rPr>
          <w:lang w:val="it-IT"/>
        </w:rPr>
      </w:pPr>
    </w:p>
    <w:p w14:paraId="2E4C5B21" w14:textId="73A4E4DE" w:rsidR="00974A79" w:rsidRDefault="00974A79" w:rsidP="00991205">
      <w:pPr>
        <w:pStyle w:val="Heading4"/>
        <w:rPr>
          <w:lang w:val="it-IT"/>
        </w:rPr>
      </w:pPr>
      <w:r>
        <w:rPr>
          <w:lang w:val="it-IT"/>
        </w:rPr>
        <w:t>Comunione</w:t>
      </w:r>
    </w:p>
    <w:p w14:paraId="17ED08D2" w14:textId="77777777" w:rsidR="00974A79" w:rsidRPr="00974A79" w:rsidRDefault="00974A79" w:rsidP="00974A79">
      <w:pPr>
        <w:rPr>
          <w:lang w:val="it-IT"/>
        </w:rPr>
      </w:pPr>
    </w:p>
    <w:p w14:paraId="5A198A2E" w14:textId="01CF0FC8" w:rsidR="0009126C" w:rsidRDefault="00111BB3" w:rsidP="00595492">
      <w:pPr>
        <w:rPr>
          <w:lang w:val="it-IT"/>
        </w:rPr>
      </w:pPr>
      <w:r>
        <w:rPr>
          <w:lang w:val="it-IT"/>
        </w:rPr>
        <w:t xml:space="preserve">Un diritto soggettivo può appartenere a più persone, le quali sono tutte contitolari del medesimo diritto (il quale rimane identico a sé stesso, nonostante faccia capo a più soggetti diversi che lo condividono). </w:t>
      </w:r>
    </w:p>
    <w:p w14:paraId="7F9D24E6" w14:textId="7900FAEE" w:rsidR="00111BB3" w:rsidRDefault="00B570B5" w:rsidP="00595492">
      <w:pPr>
        <w:rPr>
          <w:lang w:val="it-IT"/>
        </w:rPr>
      </w:pPr>
      <w:r>
        <w:rPr>
          <w:lang w:val="it-IT"/>
        </w:rPr>
        <w:t xml:space="preserve">Il fenomeno della contitolarità, allorquando ha ad oggetto un diritto reale, prende il nome di </w:t>
      </w:r>
      <w:r>
        <w:rPr>
          <w:i/>
          <w:lang w:val="it-IT"/>
        </w:rPr>
        <w:t>comunione pro indiviso</w:t>
      </w:r>
      <w:r>
        <w:rPr>
          <w:lang w:val="it-IT"/>
        </w:rPr>
        <w:t xml:space="preserve">. </w:t>
      </w:r>
      <w:r w:rsidR="00974A79">
        <w:rPr>
          <w:lang w:val="it-IT"/>
        </w:rPr>
        <w:t xml:space="preserve">Questo termine si usa </w:t>
      </w:r>
      <w:r w:rsidR="00974A79" w:rsidRPr="00974A79">
        <w:rPr>
          <w:lang w:val="it-IT"/>
        </w:rPr>
        <w:t>per indicare il fenomeno della contitolarità da parte di più soggetti di un diritto su di uno stesso bene. Il diritto che può essere oggetto di comunione è sia quello di proprietà</w:t>
      </w:r>
      <w:r w:rsidR="00974A79">
        <w:rPr>
          <w:rStyle w:val="FootnoteReference"/>
          <w:lang w:val="it-IT"/>
        </w:rPr>
        <w:footnoteReference w:id="54"/>
      </w:r>
      <w:r w:rsidR="00974A79">
        <w:rPr>
          <w:lang w:val="it-IT"/>
        </w:rPr>
        <w:t xml:space="preserve">, </w:t>
      </w:r>
      <w:r w:rsidR="00974A79" w:rsidRPr="00974A79">
        <w:rPr>
          <w:lang w:val="it-IT"/>
        </w:rPr>
        <w:t>che ogni altro diritto reale, quali la superficie, l'enfiteusi, l'usufrutto, l'uso e l'abitazione).</w:t>
      </w:r>
    </w:p>
    <w:p w14:paraId="18BDE7B6" w14:textId="4F900E69" w:rsidR="00B570B5" w:rsidRDefault="00B570B5" w:rsidP="00595492">
      <w:pPr>
        <w:rPr>
          <w:lang w:val="it-IT"/>
        </w:rPr>
      </w:pPr>
      <w:r>
        <w:rPr>
          <w:lang w:val="it-IT"/>
        </w:rPr>
        <w:t>Secondo l’opinione maggiormente accreditata</w:t>
      </w:r>
      <w:r w:rsidR="00AB6E42">
        <w:rPr>
          <w:rStyle w:val="FootnoteReference"/>
          <w:lang w:val="it-IT"/>
        </w:rPr>
        <w:footnoteReference w:id="55"/>
      </w:r>
      <w:r w:rsidR="00AB6E42">
        <w:rPr>
          <w:lang w:val="it-IT"/>
        </w:rPr>
        <w:t xml:space="preserve"> il diritto di ciascuno dei contitolari investe l’intero bene (se due o più persone acquistano la proprietà di un bene in comunione, il diritto di ciascuno cade non su questa o quella parte del bene ma sulla sua totalità), seppure il relativo esercizio trovi necessariamente limite nell’esistenza dell’egual diritto degli altri compartecipi. </w:t>
      </w:r>
    </w:p>
    <w:p w14:paraId="7A8A4D70" w14:textId="43D066D4" w:rsidR="00FF1035" w:rsidRDefault="00AB6E42" w:rsidP="00595492">
      <w:pPr>
        <w:rPr>
          <w:lang w:val="it-IT"/>
        </w:rPr>
      </w:pPr>
      <w:r>
        <w:rPr>
          <w:lang w:val="it-IT"/>
        </w:rPr>
        <w:t>A ciascuno dei contitolari spetta una quota ideale sull’intero bene e detta quota è di regola disponibile</w:t>
      </w:r>
      <w:r w:rsidR="00974A79">
        <w:rPr>
          <w:rStyle w:val="FootnoteReference"/>
          <w:lang w:val="it-IT"/>
        </w:rPr>
        <w:footnoteReference w:id="56"/>
      </w:r>
      <w:r w:rsidR="00C9258D">
        <w:rPr>
          <w:lang w:val="it-IT"/>
        </w:rPr>
        <w:t xml:space="preserve"> (X potrà vendere la sua quota in qualunque momento)</w:t>
      </w:r>
      <w:r>
        <w:rPr>
          <w:lang w:val="it-IT"/>
        </w:rPr>
        <w:t xml:space="preserve"> e segna la misura di facoltà, diritti e obblighi dei rispettivi titolar</w:t>
      </w:r>
      <w:r w:rsidR="00C9258D">
        <w:rPr>
          <w:lang w:val="it-IT"/>
        </w:rPr>
        <w:t>i (tutti i contitlari dividono, in ragione della loro quota, i canoni di locazione, le spese di gestione, le imposte…</w:t>
      </w:r>
      <w:r w:rsidR="00974A79">
        <w:rPr>
          <w:lang w:val="it-IT"/>
        </w:rPr>
        <w:t>)</w:t>
      </w:r>
      <w:r w:rsidR="00974A79">
        <w:rPr>
          <w:rStyle w:val="FootnoteReference"/>
          <w:lang w:val="it-IT"/>
        </w:rPr>
        <w:footnoteReference w:id="57"/>
      </w:r>
      <w:r w:rsidR="00974A79">
        <w:rPr>
          <w:lang w:val="it-IT"/>
        </w:rPr>
        <w:t>.</w:t>
      </w:r>
    </w:p>
    <w:p w14:paraId="40BD1264" w14:textId="6FEB6BC3" w:rsidR="00974A79" w:rsidRDefault="00974A79" w:rsidP="00595492">
      <w:pPr>
        <w:rPr>
          <w:lang w:val="it-IT"/>
        </w:rPr>
      </w:pPr>
      <w:r>
        <w:rPr>
          <w:lang w:val="it-IT"/>
        </w:rPr>
        <w:t xml:space="preserve">La </w:t>
      </w:r>
      <w:r w:rsidRPr="00974A79">
        <w:rPr>
          <w:i/>
          <w:lang w:val="it-IT"/>
        </w:rPr>
        <w:t>comunione</w:t>
      </w:r>
      <w:r>
        <w:rPr>
          <w:lang w:val="it-IT"/>
        </w:rPr>
        <w:t xml:space="preserve"> si distingue dalla </w:t>
      </w:r>
      <w:r w:rsidRPr="00974A79">
        <w:rPr>
          <w:i/>
          <w:lang w:val="it-IT"/>
        </w:rPr>
        <w:t>società</w:t>
      </w:r>
      <w:r>
        <w:rPr>
          <w:i/>
          <w:lang w:val="it-IT"/>
        </w:rPr>
        <w:t xml:space="preserve"> </w:t>
      </w:r>
      <w:r>
        <w:rPr>
          <w:lang w:val="it-IT"/>
        </w:rPr>
        <w:t>per il fatto che, mentre i compartecipi alla comunione si limitano ad esercitare in comune il godimento di un determinato bene, i compartecipi alla società esercitano invece in comune un’attività economica volta alla produzione ed allo scambio di beni e servizi.</w:t>
      </w:r>
      <w:r>
        <w:rPr>
          <w:rStyle w:val="FootnoteReference"/>
          <w:lang w:val="it-IT"/>
        </w:rPr>
        <w:footnoteReference w:id="58"/>
      </w:r>
    </w:p>
    <w:p w14:paraId="2CB17B93" w14:textId="3DBE749A" w:rsidR="00D1248A" w:rsidRDefault="00D1248A" w:rsidP="00595492">
      <w:pPr>
        <w:rPr>
          <w:lang w:val="it-IT"/>
        </w:rPr>
      </w:pPr>
      <w:r>
        <w:rPr>
          <w:lang w:val="it-IT"/>
        </w:rPr>
        <w:t>Il semplice godere dei frutti dell’immobile non è società m</w:t>
      </w:r>
      <w:r w:rsidR="003A37F9">
        <w:rPr>
          <w:lang w:val="it-IT"/>
        </w:rPr>
        <w:t>a</w:t>
      </w:r>
      <w:r>
        <w:rPr>
          <w:lang w:val="it-IT"/>
        </w:rPr>
        <w:t xml:space="preserve"> </w:t>
      </w:r>
      <w:r w:rsidR="003A37F9">
        <w:rPr>
          <w:lang w:val="it-IT"/>
        </w:rPr>
        <w:t>semplice</w:t>
      </w:r>
      <w:r>
        <w:rPr>
          <w:lang w:val="it-IT"/>
        </w:rPr>
        <w:t xml:space="preserve"> comunione. </w:t>
      </w:r>
    </w:p>
    <w:p w14:paraId="7626EEE9" w14:textId="1F5DBC9F" w:rsidR="00974A79" w:rsidRDefault="00974A79" w:rsidP="00595492">
      <w:pPr>
        <w:rPr>
          <w:lang w:val="it-IT"/>
        </w:rPr>
      </w:pPr>
      <w:r>
        <w:rPr>
          <w:lang w:val="it-IT"/>
        </w:rPr>
        <w:t>La costituzione della comunione per quote è di tre tipi:</w:t>
      </w:r>
    </w:p>
    <w:p w14:paraId="1C52C222" w14:textId="21804605" w:rsidR="00974A79" w:rsidRDefault="00974A79" w:rsidP="005879DB">
      <w:pPr>
        <w:pStyle w:val="ListParagraph"/>
        <w:numPr>
          <w:ilvl w:val="0"/>
          <w:numId w:val="15"/>
        </w:numPr>
        <w:rPr>
          <w:lang w:val="it-IT"/>
        </w:rPr>
      </w:pPr>
      <w:r>
        <w:rPr>
          <w:lang w:val="it-IT"/>
        </w:rPr>
        <w:t>Volontaria: quando scaturisce dall’accordo dei futuri contitolari (due o più persone comprano un immobile insieme)</w:t>
      </w:r>
    </w:p>
    <w:p w14:paraId="510AE929" w14:textId="3CFA9E1E" w:rsidR="00974A79" w:rsidRDefault="00974A79" w:rsidP="005879DB">
      <w:pPr>
        <w:pStyle w:val="ListParagraph"/>
        <w:numPr>
          <w:ilvl w:val="0"/>
          <w:numId w:val="15"/>
        </w:numPr>
        <w:rPr>
          <w:lang w:val="it-IT"/>
        </w:rPr>
      </w:pPr>
      <w:r>
        <w:rPr>
          <w:lang w:val="it-IT"/>
        </w:rPr>
        <w:t xml:space="preserve">Incidentale: quando scaturisce senza un atto dei futuri contitolari diretto alla sua costituzione </w:t>
      </w:r>
    </w:p>
    <w:p w14:paraId="00DAE97B" w14:textId="6D0FA575" w:rsidR="00974A79" w:rsidRPr="00974A79" w:rsidRDefault="00974A79" w:rsidP="005879DB">
      <w:pPr>
        <w:pStyle w:val="ListParagraph"/>
        <w:numPr>
          <w:ilvl w:val="0"/>
          <w:numId w:val="15"/>
        </w:numPr>
        <w:rPr>
          <w:lang w:val="it-IT"/>
        </w:rPr>
      </w:pPr>
      <w:r>
        <w:rPr>
          <w:lang w:val="it-IT"/>
        </w:rPr>
        <w:t>Forzosa: quando scaturisce dall’esercizio di un diritto potestativo da parte di uno dei futuri contitolari</w:t>
      </w:r>
    </w:p>
    <w:p w14:paraId="6485A430" w14:textId="04FFAE52" w:rsidR="00AB6E42" w:rsidRDefault="00AB6E42" w:rsidP="00595492">
      <w:pPr>
        <w:rPr>
          <w:lang w:val="it-IT"/>
        </w:rPr>
      </w:pPr>
      <w:r>
        <w:rPr>
          <w:lang w:val="it-IT"/>
        </w:rPr>
        <w:t xml:space="preserve"> </w:t>
      </w:r>
      <w:r w:rsidR="00D1248A">
        <w:rPr>
          <w:lang w:val="it-IT"/>
        </w:rPr>
        <w:t>Si ribadisce che ciascun comproprietario ha il potere di disporre della propria quota (alienandola, ipotecandola, concedendola in usufrutto) mentre non può disporre delle quote altrui o della totalità.</w:t>
      </w:r>
    </w:p>
    <w:p w14:paraId="5FCF239A" w14:textId="1F80CA93" w:rsidR="00D1248A" w:rsidRDefault="00D1248A" w:rsidP="00595492">
      <w:pPr>
        <w:rPr>
          <w:lang w:val="it-IT"/>
        </w:rPr>
      </w:pPr>
      <w:r>
        <w:rPr>
          <w:lang w:val="it-IT"/>
        </w:rPr>
        <w:t>Gli atti di disposizione del bene comune richiedono il consenso di tutti i contitolari.</w:t>
      </w:r>
    </w:p>
    <w:p w14:paraId="2AE835C2" w14:textId="14709BAE" w:rsidR="00D1248A" w:rsidRDefault="00D1248A" w:rsidP="00991205">
      <w:pPr>
        <w:pStyle w:val="Heading4"/>
        <w:rPr>
          <w:lang w:val="it-IT"/>
        </w:rPr>
      </w:pPr>
      <w:r>
        <w:rPr>
          <w:lang w:val="it-IT"/>
        </w:rPr>
        <w:t>Multiproprietà</w:t>
      </w:r>
    </w:p>
    <w:p w14:paraId="3F112918" w14:textId="0C8DF577" w:rsidR="00D1248A" w:rsidRDefault="00D1248A" w:rsidP="00D1248A">
      <w:pPr>
        <w:rPr>
          <w:lang w:val="it-IT"/>
        </w:rPr>
      </w:pPr>
    </w:p>
    <w:p w14:paraId="3D0E7D58" w14:textId="5A38B0CF" w:rsidR="003A37F9" w:rsidRDefault="003A37F9" w:rsidP="00D1248A">
      <w:pPr>
        <w:rPr>
          <w:lang w:val="it-IT"/>
        </w:rPr>
      </w:pPr>
      <w:r>
        <w:rPr>
          <w:lang w:val="it-IT"/>
        </w:rPr>
        <w:t xml:space="preserve">Il termine multiproprietà indica un’operazione economica volta ad assicurare al multiproprietario un potere di godimento, che evoca quello che il codice riconosce al proprietario, su di un’unità immobiliare (completamente arredata e, normalmente, inserita in un più vasto insediamento turistico-residenziale, </w:t>
      </w:r>
      <w:r>
        <w:rPr>
          <w:lang w:val="it-IT"/>
        </w:rPr>
        <w:lastRenderedPageBreak/>
        <w:t xml:space="preserve">talora anche alberghiero e commerciale) ma solo per un determinato e normalmente invariabile periodo di ogni anno; mentre analogo potere, per restanti periodi, compete agli altri multiproprietari. </w:t>
      </w:r>
    </w:p>
    <w:p w14:paraId="4BE3E777" w14:textId="275E246B" w:rsidR="003A37F9" w:rsidRDefault="003A37F9" w:rsidP="00D1248A">
      <w:pPr>
        <w:rPr>
          <w:lang w:val="it-IT"/>
        </w:rPr>
      </w:pPr>
      <w:r>
        <w:rPr>
          <w:lang w:val="it-IT"/>
        </w:rPr>
        <w:t>Per dare veste giuridica all’operazione, la prassi italiana (in assenza di una disciplina legislativa del fenomeno) ha fatto ricorso all’istituto della comunione:</w:t>
      </w:r>
    </w:p>
    <w:p w14:paraId="61A7EDB8" w14:textId="376FFB46" w:rsidR="003A37F9" w:rsidRDefault="003A37F9" w:rsidP="005879DB">
      <w:pPr>
        <w:pStyle w:val="ListParagraph"/>
        <w:numPr>
          <w:ilvl w:val="0"/>
          <w:numId w:val="16"/>
        </w:numPr>
        <w:rPr>
          <w:lang w:val="it-IT"/>
        </w:rPr>
      </w:pPr>
      <w:r>
        <w:rPr>
          <w:lang w:val="it-IT"/>
        </w:rPr>
        <w:t xml:space="preserve">A ciascun multiproprietario viene venduta, in forza di un normale rogito notarile di compravendita immobiliare, una quota in comproprietà </w:t>
      </w:r>
      <w:r>
        <w:rPr>
          <w:i/>
          <w:lang w:val="it-IT"/>
        </w:rPr>
        <w:t xml:space="preserve">pro indiviso </w:t>
      </w:r>
      <w:r>
        <w:rPr>
          <w:lang w:val="it-IT"/>
        </w:rPr>
        <w:t xml:space="preserve">di un complesso residenziale (comprendente il terreno lottizzato, l’insieme delle unità abitative, l’arredo, gli impianti necessari al godimento, i locali comuni, le </w:t>
      </w:r>
      <w:r w:rsidR="00991205">
        <w:rPr>
          <w:lang w:val="it-IT"/>
        </w:rPr>
        <w:t>infrastrutture</w:t>
      </w:r>
      <w:r>
        <w:rPr>
          <w:lang w:val="it-IT"/>
        </w:rPr>
        <w:t>…)</w:t>
      </w:r>
    </w:p>
    <w:p w14:paraId="383908B7" w14:textId="6AB8A596" w:rsidR="006F1A84" w:rsidRPr="00991205" w:rsidRDefault="003A37F9" w:rsidP="005879DB">
      <w:pPr>
        <w:pStyle w:val="ListParagraph"/>
        <w:numPr>
          <w:ilvl w:val="0"/>
          <w:numId w:val="16"/>
        </w:numPr>
        <w:rPr>
          <w:lang w:val="it-IT"/>
        </w:rPr>
      </w:pPr>
      <w:r>
        <w:rPr>
          <w:lang w:val="it-IT"/>
        </w:rPr>
        <w:t>A ciascun multiproprietario viene fatto contestualmente accettare un “</w:t>
      </w:r>
      <w:r>
        <w:rPr>
          <w:i/>
          <w:lang w:val="it-IT"/>
        </w:rPr>
        <w:t xml:space="preserve">regolamento della comunione” </w:t>
      </w:r>
      <w:r>
        <w:rPr>
          <w:lang w:val="it-IT"/>
        </w:rPr>
        <w:t>che, in deroga al disposto dall’art. 1102, comma 1, c.c., il quale proclama il principio del cosiddetto “uso promiscuo”</w:t>
      </w:r>
      <w:r w:rsidR="001D2F14">
        <w:rPr>
          <w:lang w:val="it-IT"/>
        </w:rPr>
        <w:t xml:space="preserve"> della cosa comune, p</w:t>
      </w:r>
      <w:r>
        <w:rPr>
          <w:lang w:val="it-IT"/>
        </w:rPr>
        <w:t xml:space="preserve">revede, da un lato, una divisione topografica del godimento del bene </w:t>
      </w:r>
      <w:r w:rsidR="00FA68E4">
        <w:rPr>
          <w:lang w:val="it-IT"/>
        </w:rPr>
        <w:t>(il potere di godimento di ciascun</w:t>
      </w:r>
      <w:r w:rsidR="001D2F14">
        <w:rPr>
          <w:lang w:val="it-IT"/>
        </w:rPr>
        <w:t xml:space="preserve"> multiproprietario viene </w:t>
      </w:r>
      <w:r w:rsidR="00FA68E4">
        <w:rPr>
          <w:lang w:val="it-IT"/>
        </w:rPr>
        <w:t xml:space="preserve">limitato ad una </w:t>
      </w:r>
      <w:r w:rsidR="00FA68E4">
        <w:rPr>
          <w:i/>
          <w:lang w:val="it-IT"/>
        </w:rPr>
        <w:t>prede</w:t>
      </w:r>
      <w:r w:rsidR="00991205">
        <w:rPr>
          <w:i/>
          <w:lang w:val="it-IT"/>
        </w:rPr>
        <w:t>te</w:t>
      </w:r>
      <w:r w:rsidR="00FA68E4">
        <w:rPr>
          <w:i/>
          <w:lang w:val="it-IT"/>
        </w:rPr>
        <w:t xml:space="preserve">rminata unità abitativa </w:t>
      </w:r>
      <w:r w:rsidR="00FA68E4">
        <w:rPr>
          <w:lang w:val="it-IT"/>
        </w:rPr>
        <w:t xml:space="preserve">ed alle parti comuni del complesso residenziale) e, da altro lato, un frazionamento cronologico del detto godimento (il potere di godimento di ciascun multiproprietario viene limitato ad un prefissato periodo di ciascun anno). </w:t>
      </w:r>
    </w:p>
    <w:p w14:paraId="38BA2E04" w14:textId="1B502A55" w:rsidR="00991205" w:rsidRDefault="001D2F14" w:rsidP="006D7CF0">
      <w:pPr>
        <w:pStyle w:val="Heading3"/>
        <w:rPr>
          <w:lang w:val="it-IT"/>
        </w:rPr>
      </w:pPr>
      <w:bookmarkStart w:id="33" w:name="_Toc100246249"/>
      <w:r>
        <w:rPr>
          <w:lang w:val="it-IT"/>
        </w:rPr>
        <w:t>Altre nazioni</w:t>
      </w:r>
      <w:bookmarkEnd w:id="33"/>
    </w:p>
    <w:p w14:paraId="2D836C26" w14:textId="5CD0B76C" w:rsidR="001D2F14" w:rsidRDefault="001D2F14" w:rsidP="001D2F14">
      <w:pPr>
        <w:pStyle w:val="Heading4"/>
        <w:rPr>
          <w:lang w:val="it-IT"/>
        </w:rPr>
      </w:pPr>
      <w:r>
        <w:rPr>
          <w:lang w:val="it-IT"/>
        </w:rPr>
        <w:t>Joint Ownership</w:t>
      </w:r>
    </w:p>
    <w:p w14:paraId="4E198F63" w14:textId="459EAB0C" w:rsidR="001D2F14" w:rsidRDefault="001D2F14" w:rsidP="001D2F14">
      <w:pPr>
        <w:rPr>
          <w:lang w:val="it-IT"/>
        </w:rPr>
      </w:pPr>
    </w:p>
    <w:p w14:paraId="7314BC47" w14:textId="78C14286" w:rsidR="001D2F14" w:rsidRDefault="001D2F14" w:rsidP="001D2F14">
      <w:pPr>
        <w:rPr>
          <w:lang w:val="it-IT"/>
        </w:rPr>
      </w:pPr>
      <w:r>
        <w:rPr>
          <w:lang w:val="it-IT"/>
        </w:rPr>
        <w:t>In Gran Bretagna il Trustee Act</w:t>
      </w:r>
      <w:r>
        <w:rPr>
          <w:rStyle w:val="FootnoteReference"/>
          <w:lang w:val="it-IT"/>
        </w:rPr>
        <w:footnoteReference w:id="59"/>
      </w:r>
      <w:r>
        <w:rPr>
          <w:lang w:val="it-IT"/>
        </w:rPr>
        <w:t xml:space="preserve"> limita ad un massimo di quattro persone i proprietari di un dato immobile. Questa restrizione è tipica dei paesi common law anglosassoni, infatti vale anche per molti stati americani. Per i paesi con sistemi di civil law come l’Italia o Germania, Francia e Svizzera invece questo tipo di limite non sussiste. In Francia e in Belgio, ad esempio, non vi sono limiti al numero di proprietari di un immobile. Il frazionamento dei diritti di proprietà è quindi, in apparenza, più conveniente nei paesi di civil law. Tuttavia i sistemi di civil law pongono grandi complessità nel </w:t>
      </w:r>
      <w:r w:rsidR="00D62D0E">
        <w:rPr>
          <w:lang w:val="it-IT"/>
        </w:rPr>
        <w:t>trasferimento</w:t>
      </w:r>
      <w:r>
        <w:rPr>
          <w:lang w:val="it-IT"/>
        </w:rPr>
        <w:t xml:space="preserve"> delle quote, ad esempio tramite l’interposizione di figure notarili che creano alti costi di commissione. </w:t>
      </w:r>
    </w:p>
    <w:p w14:paraId="7518FC27" w14:textId="77C2D317" w:rsidR="00D62D0E" w:rsidRPr="001D2F14" w:rsidRDefault="001D2F14" w:rsidP="001D2F14">
      <w:pPr>
        <w:rPr>
          <w:lang w:val="it-IT"/>
        </w:rPr>
      </w:pPr>
      <w:r>
        <w:rPr>
          <w:lang w:val="it-IT"/>
        </w:rPr>
        <w:t xml:space="preserve">In Francia gli asset possono essere posseduti in comunione. In queste giurisdizioni è anche possibile avere il diritto esclusivo ed illimitato all’uso di un immobile senza esservi proprietario (usufrutto). Nella comunione, indipendentemente dalla quota di </w:t>
      </w:r>
      <w:r w:rsidR="00D62D0E">
        <w:rPr>
          <w:lang w:val="it-IT"/>
        </w:rPr>
        <w:t>possesso</w:t>
      </w:r>
      <w:r>
        <w:rPr>
          <w:lang w:val="it-IT"/>
        </w:rPr>
        <w:t xml:space="preserve">, ogni proprietario ha diritti sulla totalità del bene. Le decisioni più importanti si devono prendere all’unanimità, nel caso di disaccordi questo può </w:t>
      </w:r>
      <w:r w:rsidR="00D62D0E">
        <w:rPr>
          <w:lang w:val="it-IT"/>
        </w:rPr>
        <w:t>velocemente</w:t>
      </w:r>
      <w:r>
        <w:rPr>
          <w:lang w:val="it-IT"/>
        </w:rPr>
        <w:t xml:space="preserve"> portare ad </w:t>
      </w:r>
      <w:r w:rsidR="00D62D0E">
        <w:rPr>
          <w:lang w:val="it-IT"/>
        </w:rPr>
        <w:t>un’impasse</w:t>
      </w:r>
      <w:r>
        <w:rPr>
          <w:lang w:val="it-IT"/>
        </w:rPr>
        <w:t xml:space="preserve">. </w:t>
      </w:r>
      <w:r w:rsidR="00D62D0E">
        <w:rPr>
          <w:lang w:val="it-IT"/>
        </w:rPr>
        <w:t xml:space="preserve">Tuttavia, ogni proprietario paga i debiti o le spese relative all’immobile solo in proporzione della sua quota. Se uno dei proprietari decide di vendere la propria quota, gli altri non possono opporsi ma hanno un diritto di prelazione sulla quota venduta. Se la quota non si riesce a vendere (perché né gli altri proprietari né un terzo ne hanno avuto interesse) il proprietario che vuole liquidare la sua quota può imporre la vendita dell’asset nella sua totalità. Questa situazione può essere evitata tramite un accordo preventivo che regola la comunione del bene che deve essere sottoscritto da un notaio. </w:t>
      </w:r>
    </w:p>
    <w:p w14:paraId="265ED586" w14:textId="72E5066F" w:rsidR="00991205" w:rsidRDefault="00A14FC3" w:rsidP="00D62D0E">
      <w:pPr>
        <w:pStyle w:val="Heading4"/>
        <w:rPr>
          <w:lang w:val="it-IT"/>
        </w:rPr>
      </w:pPr>
      <w:r>
        <w:rPr>
          <w:lang w:val="it-IT"/>
        </w:rPr>
        <w:t>Suddivisione materiale dell’immobile</w:t>
      </w:r>
    </w:p>
    <w:p w14:paraId="1157C24D" w14:textId="150031A1" w:rsidR="00D62D0E" w:rsidRDefault="00D62D0E" w:rsidP="00D62D0E">
      <w:pPr>
        <w:rPr>
          <w:lang w:val="it-IT"/>
        </w:rPr>
      </w:pPr>
    </w:p>
    <w:p w14:paraId="71D47EF2" w14:textId="13067AAE" w:rsidR="00A14FC3" w:rsidRDefault="00D62D0E" w:rsidP="00D62D0E">
      <w:pPr>
        <w:rPr>
          <w:lang w:val="it-IT"/>
        </w:rPr>
      </w:pPr>
      <w:r>
        <w:rPr>
          <w:lang w:val="it-IT"/>
        </w:rPr>
        <w:t xml:space="preserve">Dipendentemente dal design e dall’architettura di un immobile, è possibile dividere un asset in particelle minori verticalmente o orizzontalmente con lo scopo di creare delle nuove unità immobiliari. </w:t>
      </w:r>
      <w:r w:rsidR="00A14FC3">
        <w:rPr>
          <w:lang w:val="it-IT"/>
        </w:rPr>
        <w:t>In UK per suddividere un immobile in due o più unità bisogna prima di tutto ottenere un “planning permission”. Successivamente bisogna procedere con l’ottenere</w:t>
      </w:r>
      <w:r w:rsidR="00E62F1A">
        <w:rPr>
          <w:lang w:val="it-IT"/>
        </w:rPr>
        <w:t xml:space="preserve"> obbligatoriamente</w:t>
      </w:r>
      <w:r w:rsidR="00A14FC3">
        <w:rPr>
          <w:lang w:val="it-IT"/>
        </w:rPr>
        <w:t xml:space="preserve"> la “bui</w:t>
      </w:r>
      <w:r w:rsidR="00E62F1A">
        <w:rPr>
          <w:lang w:val="it-IT"/>
        </w:rPr>
        <w:t xml:space="preserve">llding regulation approval”. </w:t>
      </w:r>
    </w:p>
    <w:p w14:paraId="04E8C3FA" w14:textId="13C56590" w:rsidR="006F1A84" w:rsidRDefault="00E62F1A" w:rsidP="00E62F1A">
      <w:pPr>
        <w:pStyle w:val="Heading4"/>
        <w:rPr>
          <w:lang w:val="it-IT"/>
        </w:rPr>
      </w:pPr>
      <w:r>
        <w:rPr>
          <w:lang w:val="it-IT"/>
        </w:rPr>
        <w:lastRenderedPageBreak/>
        <w:t xml:space="preserve">Tranching </w:t>
      </w:r>
    </w:p>
    <w:p w14:paraId="3F695355" w14:textId="0ADA0A3B" w:rsidR="00E62F1A" w:rsidRDefault="00E62F1A" w:rsidP="00E62F1A">
      <w:pPr>
        <w:rPr>
          <w:lang w:val="it-IT"/>
        </w:rPr>
      </w:pPr>
    </w:p>
    <w:p w14:paraId="69C74063" w14:textId="378B20AB" w:rsidR="00E62F1A" w:rsidRDefault="00E62F1A" w:rsidP="00E62F1A">
      <w:pPr>
        <w:rPr>
          <w:lang w:val="it-IT"/>
        </w:rPr>
      </w:pPr>
      <w:r>
        <w:rPr>
          <w:lang w:val="it-IT"/>
        </w:rPr>
        <w:t>Se si suppone di avere la proprietà di un immobile commerciale messo in locazione ad una società per 10 anni per €1mln annuo, si può pensare di avere due componenti di valore. Il primo componente è il contratto di locazione; il secondo componente è il valore residuo dell’immobile alla fine della locazione. La locazione può essere a sua volta divisa in una componente di basso rischio di €250k (una cifra presa come esempio che indica il valore minimo a cui il proprietario dell’immobile possa trovare un nuovo affittuario) e una componente di alto rischio di €750k. Questi due ricavi vengono chiamate tranche (termine francese che indica una porzione di qualcosa). Il tranching immobiliare può essere raggiunto tramite un oculato design contrattuale da parte del locatario, senza dover dividere fisicamente la proprietà degli immobili. Il tranching solitamente viene usato nel contesto delle cartolarizzazioni (ad esempio per le Mortgage-Backed Securities).</w:t>
      </w:r>
    </w:p>
    <w:p w14:paraId="6F7105A7" w14:textId="67AA463E" w:rsidR="00E62F1A" w:rsidRDefault="00E62F1A" w:rsidP="00E62F1A">
      <w:pPr>
        <w:pStyle w:val="Heading4"/>
        <w:rPr>
          <w:lang w:val="it-IT"/>
        </w:rPr>
      </w:pPr>
      <w:r>
        <w:rPr>
          <w:lang w:val="it-IT"/>
        </w:rPr>
        <w:t>Syndication</w:t>
      </w:r>
    </w:p>
    <w:p w14:paraId="0A5597D6" w14:textId="10AEA205" w:rsidR="00E62F1A" w:rsidRDefault="00E62F1A" w:rsidP="00E62F1A">
      <w:pPr>
        <w:rPr>
          <w:lang w:val="it-IT"/>
        </w:rPr>
      </w:pPr>
    </w:p>
    <w:p w14:paraId="168A52EA" w14:textId="772BB276" w:rsidR="00E62F1A" w:rsidRPr="00E62F1A" w:rsidRDefault="00E62F1A" w:rsidP="00E62F1A">
      <w:pPr>
        <w:rPr>
          <w:lang w:val="it-IT"/>
        </w:rPr>
      </w:pPr>
      <w:r>
        <w:rPr>
          <w:lang w:val="it-IT"/>
        </w:rPr>
        <w:t xml:space="preserve">La syndication è una struttura tipica dei paesi </w:t>
      </w:r>
      <w:r w:rsidR="00777E85">
        <w:rPr>
          <w:lang w:val="it-IT"/>
        </w:rPr>
        <w:t>anglosassoni</w:t>
      </w:r>
      <w:r>
        <w:rPr>
          <w:lang w:val="it-IT"/>
        </w:rPr>
        <w:t xml:space="preserve">. Si tratta di un accordo tra uno Sponsor e uno o più investitori. Lo sponsor si occupa di trovare e gestire gli asset, mentre gli investitori mettono a disposizione il capitale. Entrambi ottengono una quota dei profitti in base al tempo investito e all’ammontare di capitale. Negli Stati Uniti le strutture di syndacation si esplicano attraverso delle LLC (limited liability company) o LP (limited partnership). </w:t>
      </w:r>
    </w:p>
    <w:p w14:paraId="3CDF53B5" w14:textId="507F8314" w:rsidR="00194F04" w:rsidRDefault="00194F04" w:rsidP="00E62F1A">
      <w:pPr>
        <w:rPr>
          <w:lang w:val="it-IT"/>
        </w:rPr>
      </w:pPr>
    </w:p>
    <w:p w14:paraId="46D48010" w14:textId="1D06E12E" w:rsidR="00194F04" w:rsidRDefault="00194F04" w:rsidP="00E62F1A">
      <w:pPr>
        <w:rPr>
          <w:lang w:val="it-IT"/>
        </w:rPr>
      </w:pPr>
      <w:r>
        <w:rPr>
          <w:lang w:val="it-IT"/>
        </w:rPr>
        <w:t xml:space="preserve">Il limite principale che emerge da questa sintetica overview delle modalità di frazionamento della proprietà principale è la gestione e il controllo della totalità dell’asset. Se l’immobile viene diviso tra mille o più investitori, chi paga i costi di manutenzione? Chi si occupa amministrativamente di gestire l’immobile? È evidente che c’è sempre bisogno di un’entità intermedia che si occupi di gestire gli asset per conto degli investitori. </w:t>
      </w:r>
    </w:p>
    <w:p w14:paraId="0F4D5280" w14:textId="45CFA2BF" w:rsidR="00BB3318" w:rsidRDefault="00777E85" w:rsidP="00BB3318">
      <w:pPr>
        <w:rPr>
          <w:lang w:val="it-IT"/>
        </w:rPr>
      </w:pPr>
      <w:r>
        <w:rPr>
          <w:lang w:val="it-IT"/>
        </w:rPr>
        <w:t>Inoltre altre problematiche sono</w:t>
      </w:r>
      <w:r w:rsidR="00194F04">
        <w:rPr>
          <w:lang w:val="it-IT"/>
        </w:rPr>
        <w:t xml:space="preserve"> la grande differenza fra le varie giurisdizioni internazionali, oltre che le miriadi di restrizioni presenti nelle varie istituzioni nazionali. È evidente che per creare un mercato secondario globale non è possibile tenere conto del</w:t>
      </w:r>
      <w:r>
        <w:rPr>
          <w:lang w:val="it-IT"/>
        </w:rPr>
        <w:t>le specificità di ogni nazione.</w:t>
      </w:r>
    </w:p>
    <w:p w14:paraId="774454CF" w14:textId="0C33066B" w:rsidR="00BB3318" w:rsidRDefault="00083B26" w:rsidP="00083B26">
      <w:pPr>
        <w:pStyle w:val="Heading2"/>
        <w:rPr>
          <w:lang w:val="it-IT"/>
        </w:rPr>
      </w:pPr>
      <w:bookmarkStart w:id="34" w:name="_Toc100246250"/>
      <w:r>
        <w:rPr>
          <w:lang w:val="it-IT"/>
        </w:rPr>
        <w:t>Normativa sui</w:t>
      </w:r>
      <w:r w:rsidR="00024DF9">
        <w:rPr>
          <w:lang w:val="it-IT"/>
        </w:rPr>
        <w:t xml:space="preserve"> Security</w:t>
      </w:r>
      <w:r>
        <w:rPr>
          <w:lang w:val="it-IT"/>
        </w:rPr>
        <w:t xml:space="preserve"> Token – USA e Italia</w:t>
      </w:r>
      <w:bookmarkEnd w:id="34"/>
    </w:p>
    <w:p w14:paraId="01BB6313" w14:textId="6052F572" w:rsidR="008F6424" w:rsidRDefault="008F6424" w:rsidP="00997801">
      <w:pPr>
        <w:rPr>
          <w:lang w:val="it-IT"/>
        </w:rPr>
      </w:pPr>
      <w:r>
        <w:rPr>
          <w:lang w:val="it-IT"/>
        </w:rPr>
        <w:t>La capitalizzazione di mercato degli asset digitali (come ad esempio le cryptovalu</w:t>
      </w:r>
      <w:r w:rsidR="004D0A86">
        <w:rPr>
          <w:lang w:val="it-IT"/>
        </w:rPr>
        <w:t>te e i token non fungibili</w:t>
      </w:r>
      <w:r w:rsidR="00AA6080">
        <w:rPr>
          <w:lang w:val="it-IT"/>
        </w:rPr>
        <w:t xml:space="preserve"> (NFT)</w:t>
      </w:r>
      <w:r w:rsidR="004D0A86">
        <w:rPr>
          <w:lang w:val="it-IT"/>
        </w:rPr>
        <w:t>) al 01/04/22 era di $2.14T</w:t>
      </w:r>
      <w:r w:rsidR="004D0A86">
        <w:rPr>
          <w:rStyle w:val="FootnoteReference"/>
          <w:lang w:val="it-IT"/>
        </w:rPr>
        <w:footnoteReference w:id="60"/>
      </w:r>
      <w:r w:rsidR="004D0A86">
        <w:rPr>
          <w:lang w:val="it-IT"/>
        </w:rPr>
        <w:t xml:space="preserve">. </w:t>
      </w:r>
    </w:p>
    <w:p w14:paraId="7AB9E7A7" w14:textId="3CC19EE1" w:rsidR="00C22695" w:rsidRDefault="008344D8" w:rsidP="008344D8">
      <w:pPr>
        <w:jc w:val="center"/>
        <w:rPr>
          <w:lang w:val="it-IT"/>
        </w:rPr>
      </w:pPr>
      <w:r>
        <w:rPr>
          <w:noProof/>
        </w:rPr>
        <w:lastRenderedPageBreak/>
        <w:drawing>
          <wp:inline distT="0" distB="0" distL="0" distR="0" wp14:anchorId="34473A06" wp14:editId="2B89C6A2">
            <wp:extent cx="4572000" cy="2743200"/>
            <wp:effectExtent l="0" t="0" r="0" b="0"/>
            <wp:docPr id="6" name="Chart 6">
              <a:extLst xmlns:a="http://schemas.openxmlformats.org/drawingml/2006/main">
                <a:ext uri="{FF2B5EF4-FFF2-40B4-BE49-F238E27FC236}">
                  <a16:creationId xmlns:a16="http://schemas.microsoft.com/office/drawing/2014/main" id="{5E356526-276A-4A53-BBDC-3287FC80ED0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6AF8E7B1" w14:textId="3132C9E6" w:rsidR="008344D8" w:rsidRDefault="008344D8" w:rsidP="008344D8">
      <w:pPr>
        <w:jc w:val="center"/>
      </w:pPr>
      <w:r w:rsidRPr="008344D8">
        <w:t>Figura X: All crypto m</w:t>
      </w:r>
      <w:r>
        <w:t>arket cap</w:t>
      </w:r>
    </w:p>
    <w:p w14:paraId="5A7BC32E" w14:textId="76301E5C" w:rsidR="00CC25C2" w:rsidRDefault="008344D8" w:rsidP="005456FF">
      <w:pPr>
        <w:jc w:val="both"/>
        <w:rPr>
          <w:lang w:val="it-IT"/>
        </w:rPr>
      </w:pPr>
      <w:r w:rsidRPr="008344D8">
        <w:rPr>
          <w:lang w:val="it-IT"/>
        </w:rPr>
        <w:t>Gli investitori si aspettano c</w:t>
      </w:r>
      <w:r>
        <w:rPr>
          <w:lang w:val="it-IT"/>
        </w:rPr>
        <w:t xml:space="preserve">he i mercati finanziari, grazie all’azione degli organi di vigilanza, </w:t>
      </w:r>
      <w:r w:rsidR="007B3DD5">
        <w:rPr>
          <w:lang w:val="it-IT"/>
        </w:rPr>
        <w:t xml:space="preserve">siano protetti dai rischi di frode e manipolazione; in campo di digital assets, i regolatori potrebbero intervenire ulteriormente per limitare le esternalità negative, come l’inquinamento prodotto dal mining dei bitcoin. </w:t>
      </w:r>
      <w:r w:rsidR="00006EA4">
        <w:rPr>
          <w:lang w:val="it-IT"/>
        </w:rPr>
        <w:t xml:space="preserve">La regolamentazione degli asset digitali incorpora delle complessità peculiari che possono essere sintetizzate come segue: non tutti i token sono uguali. </w:t>
      </w:r>
      <w:r w:rsidR="007D1C6C">
        <w:rPr>
          <w:lang w:val="it-IT"/>
        </w:rPr>
        <w:t xml:space="preserve">Questo perché i digital assets sono di diversi tipi e incorporano proprietà diverse per fini diversi. </w:t>
      </w:r>
      <w:r w:rsidR="007D1C6C" w:rsidRPr="005456FF">
        <w:t xml:space="preserve">La CFTC nel 2015 </w:t>
      </w:r>
      <w:r w:rsidR="005456FF" w:rsidRPr="005456FF">
        <w:t>asserì “Bitcoin and other virtual currencies are</w:t>
      </w:r>
      <w:r w:rsidR="005456FF">
        <w:t xml:space="preserve"> </w:t>
      </w:r>
      <w:r w:rsidR="005456FF" w:rsidRPr="005456FF">
        <w:t>encompassed in the [commodity] definition and properly defined as</w:t>
      </w:r>
      <w:r w:rsidR="005456FF">
        <w:t xml:space="preserve"> </w:t>
      </w:r>
      <w:r w:rsidR="005456FF" w:rsidRPr="005456FF">
        <w:t>commodities.</w:t>
      </w:r>
      <w:r w:rsidR="005456FF">
        <w:t>”</w:t>
      </w:r>
      <w:r w:rsidR="005456FF">
        <w:rPr>
          <w:rStyle w:val="FootnoteReference"/>
        </w:rPr>
        <w:footnoteReference w:id="61"/>
      </w:r>
      <w:r w:rsidR="005456FF">
        <w:t xml:space="preserve"> </w:t>
      </w:r>
      <w:r w:rsidR="005456FF" w:rsidRPr="005456FF">
        <w:rPr>
          <w:lang w:val="it-IT"/>
        </w:rPr>
        <w:t>Il ragionamento di base è che alcuni d</w:t>
      </w:r>
      <w:r w:rsidR="005456FF">
        <w:rPr>
          <w:lang w:val="it-IT"/>
        </w:rPr>
        <w:t xml:space="preserve">igital asset sono commodities che vengono usate come “store of value”, proprio come </w:t>
      </w:r>
      <w:r w:rsidR="00CC25C2">
        <w:rPr>
          <w:lang w:val="it-IT"/>
        </w:rPr>
        <w:t>vengono</w:t>
      </w:r>
      <w:r w:rsidR="005456FF">
        <w:rPr>
          <w:lang w:val="it-IT"/>
        </w:rPr>
        <w:t xml:space="preserve"> utilizzat</w:t>
      </w:r>
      <w:r w:rsidR="00CC25C2">
        <w:rPr>
          <w:lang w:val="it-IT"/>
        </w:rPr>
        <w:t>i</w:t>
      </w:r>
      <w:r w:rsidR="005456FF">
        <w:rPr>
          <w:lang w:val="it-IT"/>
        </w:rPr>
        <w:t xml:space="preserve"> nei mercati finanziari l’oro e gli altri metalli preziosi. </w:t>
      </w:r>
      <w:r w:rsidR="00CC25C2">
        <w:rPr>
          <w:lang w:val="it-IT"/>
        </w:rPr>
        <w:t xml:space="preserve">Ma al contrario dei digital asset, le commodities hanno anche degli usi che vanno oltre la riserva di valore; i metalli preziosi, per esempio, possono essere usati nei processi produttivi di prodotti elettronici o di gioielleria. </w:t>
      </w:r>
    </w:p>
    <w:p w14:paraId="2F09AA61" w14:textId="05BA6DDA" w:rsidR="00CC25C2" w:rsidRDefault="002E49BE" w:rsidP="005456FF">
      <w:pPr>
        <w:jc w:val="both"/>
        <w:rPr>
          <w:lang w:val="it-IT"/>
        </w:rPr>
      </w:pPr>
      <w:r>
        <w:rPr>
          <w:lang w:val="it-IT"/>
        </w:rPr>
        <w:t xml:space="preserve">Altre istituzioni considerano i digital asset come delle valute (“currency”) </w:t>
      </w:r>
      <w:r w:rsidR="00E8699A">
        <w:rPr>
          <w:lang w:val="it-IT"/>
        </w:rPr>
        <w:t>senza però “legal tender status” vista la loro fungibilità, portabilità e divisibilità</w:t>
      </w:r>
      <w:r>
        <w:rPr>
          <w:lang w:val="it-IT"/>
        </w:rPr>
        <w:t xml:space="preserve">, come ad esempio la </w:t>
      </w:r>
      <w:r w:rsidRPr="002E49BE">
        <w:rPr>
          <w:lang w:val="it-IT"/>
        </w:rPr>
        <w:t>Financial Crimes Enforcement Network (FinCEN)</w:t>
      </w:r>
      <w:r>
        <w:rPr>
          <w:lang w:val="it-IT"/>
        </w:rPr>
        <w:t xml:space="preserve"> che nel suo </w:t>
      </w:r>
      <w:r w:rsidRPr="002E49BE">
        <w:rPr>
          <w:lang w:val="it-IT"/>
        </w:rPr>
        <w:t>Notice of Proposed Rulemaking</w:t>
      </w:r>
      <w:r>
        <w:rPr>
          <w:lang w:val="it-IT"/>
        </w:rPr>
        <w:t xml:space="preserve"> scrive: </w:t>
      </w:r>
    </w:p>
    <w:p w14:paraId="5AEFCDCE" w14:textId="5FD2FC4F" w:rsidR="002E49BE" w:rsidRDefault="002E49BE" w:rsidP="005456FF">
      <w:pPr>
        <w:jc w:val="both"/>
      </w:pPr>
      <w:r w:rsidRPr="002E49BE">
        <w:t>“[Virtual currency] is a medium of exchange, such as cryptocurrency, that either has an equivalent value as currency, or acts as a substitute for currency, but lacks legal tender status. Blockchain-based types of [Virtual currency] (e.g., Bitcoin) are peer-to-peer systems that allow any two parties to transfer value directly with each other without the need for a centralized intermediary (e.g., a bank or [money transmitter business])”</w:t>
      </w:r>
      <w:r w:rsidR="003B149D">
        <w:rPr>
          <w:rStyle w:val="FootnoteReference"/>
        </w:rPr>
        <w:footnoteReference w:id="62"/>
      </w:r>
      <w:r w:rsidR="003B149D">
        <w:t>.</w:t>
      </w:r>
    </w:p>
    <w:p w14:paraId="3C2643A8" w14:textId="2A2B8518" w:rsidR="003B149D" w:rsidRDefault="00E8699A" w:rsidP="005456FF">
      <w:pPr>
        <w:jc w:val="both"/>
        <w:rPr>
          <w:lang w:val="it-IT"/>
        </w:rPr>
      </w:pPr>
      <w:r w:rsidRPr="00E8699A">
        <w:rPr>
          <w:lang w:val="it-IT"/>
        </w:rPr>
        <w:t>Tuttavia la maggior pa</w:t>
      </w:r>
      <w:r>
        <w:rPr>
          <w:lang w:val="it-IT"/>
        </w:rPr>
        <w:t xml:space="preserve">rte degli asset digitali ha volatilità troppo alte per essere usate come delle valute per scambiare beni e servizi. Nessuno è disposto a sopportare il rischio di ricevere un pagamento inferiore del  10%, per esempio, nell’arco di un giorno, e cambiare conseguentemente il prezzo in modo continuo nell’arco di poche ore. </w:t>
      </w:r>
    </w:p>
    <w:p w14:paraId="629DA0B7" w14:textId="4056584E" w:rsidR="00E8699A" w:rsidRDefault="00E8699A" w:rsidP="005456FF">
      <w:pPr>
        <w:jc w:val="both"/>
        <w:rPr>
          <w:lang w:val="it-IT"/>
        </w:rPr>
      </w:pPr>
      <w:r>
        <w:rPr>
          <w:lang w:val="it-IT"/>
        </w:rPr>
        <w:t xml:space="preserve">Alcuni asset, come i Security Token, possono offrire dei diritti di voto o </w:t>
      </w:r>
      <w:r w:rsidR="00497A6F">
        <w:rPr>
          <w:lang w:val="it-IT"/>
        </w:rPr>
        <w:t>di flussi di cassa futuri, non dissimilmente dai più convenzionali titoli finanziari come le azioni.</w:t>
      </w:r>
    </w:p>
    <w:p w14:paraId="555B2781" w14:textId="6AA2BFAC" w:rsidR="00497A6F" w:rsidRDefault="00497A6F" w:rsidP="005456FF">
      <w:pPr>
        <w:jc w:val="both"/>
        <w:rPr>
          <w:lang w:val="it-IT"/>
        </w:rPr>
      </w:pPr>
      <w:r>
        <w:rPr>
          <w:lang w:val="it-IT"/>
        </w:rPr>
        <w:lastRenderedPageBreak/>
        <w:t>I prodotti con tali funzioni (e le infrastrutture create intorno a loro) sono tradizionalmente oggetto di regolamentazione per assicurare la protezione degli investitori e la stabilizzazione dei prezzi; la regolamentazione garantisce, o quanto meno prova</w:t>
      </w:r>
      <w:r w:rsidR="00B2629D">
        <w:rPr>
          <w:lang w:val="it-IT"/>
        </w:rPr>
        <w:t xml:space="preserve"> a garantire</w:t>
      </w:r>
      <w:r>
        <w:rPr>
          <w:lang w:val="it-IT"/>
        </w:rPr>
        <w:t xml:space="preserve">, che gli investimenti siano eseguiti in modo equo ed efficiente </w:t>
      </w:r>
      <w:r w:rsidR="00B2629D">
        <w:rPr>
          <w:lang w:val="it-IT"/>
        </w:rPr>
        <w:t>affinché</w:t>
      </w:r>
      <w:r>
        <w:rPr>
          <w:lang w:val="it-IT"/>
        </w:rPr>
        <w:t xml:space="preserve"> possano massimizzare la remunerazione. </w:t>
      </w:r>
    </w:p>
    <w:p w14:paraId="52A02C6B" w14:textId="77777777" w:rsidR="00497A6F" w:rsidRPr="00E8699A" w:rsidRDefault="00497A6F" w:rsidP="005456FF">
      <w:pPr>
        <w:jc w:val="both"/>
        <w:rPr>
          <w:lang w:val="it-IT"/>
        </w:rPr>
      </w:pPr>
    </w:p>
    <w:p w14:paraId="32465407" w14:textId="1A396AC9" w:rsidR="008E0BF5" w:rsidRPr="00E8699A" w:rsidRDefault="006D7CF0" w:rsidP="008E0BF5">
      <w:pPr>
        <w:pStyle w:val="Heading3"/>
        <w:rPr>
          <w:lang w:val="it-IT"/>
        </w:rPr>
      </w:pPr>
      <w:bookmarkStart w:id="35" w:name="_Toc100246251"/>
      <w:r w:rsidRPr="00E8699A">
        <w:rPr>
          <w:lang w:val="it-IT"/>
        </w:rPr>
        <w:t>Italia</w:t>
      </w:r>
      <w:bookmarkEnd w:id="35"/>
    </w:p>
    <w:p w14:paraId="241DD631" w14:textId="0D9EDD5B" w:rsidR="006D7CF0" w:rsidRDefault="00004AB9" w:rsidP="006D7CF0">
      <w:pPr>
        <w:rPr>
          <w:lang w:val="it-IT"/>
        </w:rPr>
      </w:pPr>
      <w:hyperlink r:id="rId35" w:history="1">
        <w:r w:rsidR="00162040" w:rsidRPr="00DE0045">
          <w:rPr>
            <w:rStyle w:val="Hyperlink"/>
            <w:lang w:val="it-IT"/>
          </w:rPr>
          <w:t>https://www.consob.it/documents/46180/46181/doc_disc_20190319.pdf/12117302-78b0-4e6e-80c4-d3af7db0fdae</w:t>
        </w:r>
      </w:hyperlink>
    </w:p>
    <w:p w14:paraId="6CBC407E" w14:textId="19CA59DA" w:rsidR="00162040" w:rsidRDefault="00004AB9" w:rsidP="006D7CF0">
      <w:pPr>
        <w:rPr>
          <w:lang w:val="it-IT"/>
        </w:rPr>
      </w:pPr>
      <w:hyperlink r:id="rId36" w:history="1">
        <w:r w:rsidR="00162040" w:rsidRPr="00DE0045">
          <w:rPr>
            <w:rStyle w:val="Hyperlink"/>
            <w:lang w:val="it-IT"/>
          </w:rPr>
          <w:t>https://blog.crowdbase.it/security-token-cosa-sono-e-a-cosa-servono/</w:t>
        </w:r>
      </w:hyperlink>
      <w:r w:rsidR="00162040">
        <w:rPr>
          <w:lang w:val="it-IT"/>
        </w:rPr>
        <w:t xml:space="preserve"> aiuta a spiegare CONSOB</w:t>
      </w:r>
    </w:p>
    <w:p w14:paraId="4F65DFD9" w14:textId="4CBE85FD" w:rsidR="006D7CF0" w:rsidRDefault="008E0BF5" w:rsidP="009B57AB">
      <w:pPr>
        <w:rPr>
          <w:lang w:val="it-IT"/>
        </w:rPr>
      </w:pPr>
      <w:r>
        <w:rPr>
          <w:lang w:val="it-IT"/>
        </w:rPr>
        <w:t>“</w:t>
      </w:r>
      <w:r w:rsidRPr="008E0BF5">
        <w:rPr>
          <w:lang w:val="it-IT"/>
        </w:rPr>
        <w:t>Il fenomeno di rapida evoluzione e diffusione delle Initial Coin Offering (ICO) interessa e rileva, ai</w:t>
      </w:r>
      <w:r>
        <w:rPr>
          <w:lang w:val="it-IT"/>
        </w:rPr>
        <w:t xml:space="preserve"> </w:t>
      </w:r>
      <w:r w:rsidRPr="008E0BF5">
        <w:rPr>
          <w:lang w:val="it-IT"/>
        </w:rPr>
        <w:t>fini istituzionali demandati alla Consob, in quanto sia le offerte primarie di cripto-attività (o token)</w:t>
      </w:r>
      <w:r>
        <w:rPr>
          <w:lang w:val="it-IT"/>
        </w:rPr>
        <w:t xml:space="preserve"> </w:t>
      </w:r>
      <w:r w:rsidRPr="008E0BF5">
        <w:rPr>
          <w:lang w:val="it-IT"/>
        </w:rPr>
        <w:t>sia le cripto-attività stesse possono presentare significativi elementi di similitudine con le offerte</w:t>
      </w:r>
      <w:r>
        <w:rPr>
          <w:lang w:val="it-IT"/>
        </w:rPr>
        <w:t xml:space="preserve"> </w:t>
      </w:r>
      <w:r w:rsidRPr="008E0BF5">
        <w:rPr>
          <w:lang w:val="it-IT"/>
        </w:rPr>
        <w:t>pubbliche di strumenti/prodotti finanziari. Si aggiunge che anche la rappresentazione dei rapporti</w:t>
      </w:r>
      <w:r>
        <w:rPr>
          <w:lang w:val="it-IT"/>
        </w:rPr>
        <w:t xml:space="preserve"> </w:t>
      </w:r>
      <w:r w:rsidRPr="008E0BF5">
        <w:rPr>
          <w:lang w:val="it-IT"/>
        </w:rPr>
        <w:t>giuridici in un “token” (c.d. “tokenizzazione”) presenta profili di analogia con il meccanismo di</w:t>
      </w:r>
      <w:r>
        <w:rPr>
          <w:lang w:val="it-IT"/>
        </w:rPr>
        <w:t xml:space="preserve"> </w:t>
      </w:r>
      <w:r w:rsidRPr="008E0BF5">
        <w:rPr>
          <w:lang w:val="it-IT"/>
        </w:rPr>
        <w:t>“creazione” di securities, ovvero l'incorporazione dei diritti del sottoscrittore in un certificato, che</w:t>
      </w:r>
      <w:r>
        <w:rPr>
          <w:lang w:val="it-IT"/>
        </w:rPr>
        <w:t xml:space="preserve"> </w:t>
      </w:r>
      <w:r w:rsidRPr="008E0BF5">
        <w:rPr>
          <w:lang w:val="it-IT"/>
        </w:rPr>
        <w:t>costituisce titolo di legittimazione per il loro esercizio ma anche uno strumento per la più agevole</w:t>
      </w:r>
      <w:r>
        <w:rPr>
          <w:lang w:val="it-IT"/>
        </w:rPr>
        <w:t xml:space="preserve"> </w:t>
      </w:r>
      <w:r w:rsidRPr="008E0BF5">
        <w:rPr>
          <w:lang w:val="it-IT"/>
        </w:rPr>
        <w:t>trasferibilità dei medesimi. I token sono infatti di norma destinati a circolare in luoghi di scambio</w:t>
      </w:r>
      <w:r>
        <w:rPr>
          <w:lang w:val="it-IT"/>
        </w:rPr>
        <w:t xml:space="preserve"> </w:t>
      </w:r>
      <w:r w:rsidRPr="008E0BF5">
        <w:rPr>
          <w:lang w:val="it-IT"/>
        </w:rPr>
        <w:t>(exchange), in altri termini “mercati secondari” in cui i sottoscrittori iniziali possono disinvestire,</w:t>
      </w:r>
      <w:r>
        <w:rPr>
          <w:lang w:val="it-IT"/>
        </w:rPr>
        <w:t xml:space="preserve"> </w:t>
      </w:r>
      <w:r w:rsidRPr="008E0BF5">
        <w:rPr>
          <w:lang w:val="it-IT"/>
        </w:rPr>
        <w:t>così come realizzare eventuali minus/plus-valenze (in token), non sempre e soltanto legate agli</w:t>
      </w:r>
      <w:r>
        <w:rPr>
          <w:lang w:val="it-IT"/>
        </w:rPr>
        <w:t xml:space="preserve"> </w:t>
      </w:r>
      <w:r w:rsidRPr="008E0BF5">
        <w:rPr>
          <w:lang w:val="it-IT"/>
        </w:rPr>
        <w:t>andamenti dell'iniziativa imprenditoriale finanziata, ma anche al meccanismo della domanda e</w:t>
      </w:r>
      <w:r>
        <w:rPr>
          <w:lang w:val="it-IT"/>
        </w:rPr>
        <w:t xml:space="preserve"> </w:t>
      </w:r>
      <w:r w:rsidRPr="008E0BF5">
        <w:rPr>
          <w:lang w:val="it-IT"/>
        </w:rPr>
        <w:t>dell'offerta sul circuito di scambio.</w:t>
      </w:r>
      <w:r w:rsidR="009B57AB">
        <w:rPr>
          <w:lang w:val="it-IT"/>
        </w:rPr>
        <w:t xml:space="preserve"> […] </w:t>
      </w:r>
      <w:r w:rsidR="009B57AB" w:rsidRPr="009B57AB">
        <w:rPr>
          <w:lang w:val="it-IT"/>
        </w:rPr>
        <w:t>Vi sono tipologie di token che, per le peculiari caratteristiche, integrano la fattispecie degli</w:t>
      </w:r>
      <w:r w:rsidR="009B57AB">
        <w:rPr>
          <w:lang w:val="it-IT"/>
        </w:rPr>
        <w:t xml:space="preserve"> </w:t>
      </w:r>
      <w:r w:rsidR="009B57AB" w:rsidRPr="009B57AB">
        <w:rPr>
          <w:lang w:val="it-IT"/>
        </w:rPr>
        <w:t>strumenti finanziari o dei prodotti finanziari (investment-token o security-like-token). Altri token</w:t>
      </w:r>
      <w:r w:rsidR="009B57AB">
        <w:rPr>
          <w:lang w:val="it-IT"/>
        </w:rPr>
        <w:t xml:space="preserve"> </w:t>
      </w:r>
      <w:r w:rsidR="009B57AB" w:rsidRPr="009B57AB">
        <w:rPr>
          <w:lang w:val="it-IT"/>
        </w:rPr>
        <w:t>presentano un mix variabile di caratteristiche, tanto da venire definiti hybrid-token, e sono quelli di</w:t>
      </w:r>
      <w:r w:rsidR="009B57AB">
        <w:rPr>
          <w:lang w:val="it-IT"/>
        </w:rPr>
        <w:t xml:space="preserve"> </w:t>
      </w:r>
      <w:r w:rsidR="009B57AB" w:rsidRPr="009B57AB">
        <w:rPr>
          <w:lang w:val="it-IT"/>
        </w:rPr>
        <w:t>più difficile trattazione e inquadramento rispetto alle vigenti discipline. In particolare, tale ultimo</w:t>
      </w:r>
      <w:r w:rsidR="009B57AB">
        <w:rPr>
          <w:lang w:val="it-IT"/>
        </w:rPr>
        <w:t xml:space="preserve"> </w:t>
      </w:r>
      <w:r w:rsidR="009B57AB" w:rsidRPr="009B57AB">
        <w:rPr>
          <w:lang w:val="it-IT"/>
        </w:rPr>
        <w:t>insieme di token può presentare un apprezzabile contenuto di tipo finanziario oltre a essere collocati</w:t>
      </w:r>
      <w:r w:rsidR="009B57AB">
        <w:rPr>
          <w:lang w:val="it-IT"/>
        </w:rPr>
        <w:t xml:space="preserve"> </w:t>
      </w:r>
      <w:r w:rsidR="009B57AB" w:rsidRPr="009B57AB">
        <w:rPr>
          <w:lang w:val="it-IT"/>
        </w:rPr>
        <w:t>a investitori retail con offerte pubbliche.</w:t>
      </w:r>
      <w:r>
        <w:rPr>
          <w:lang w:val="it-IT"/>
        </w:rPr>
        <w:t>”</w:t>
      </w:r>
      <w:r>
        <w:rPr>
          <w:rStyle w:val="FootnoteReference"/>
          <w:lang w:val="it-IT"/>
        </w:rPr>
        <w:footnoteReference w:id="63"/>
      </w:r>
    </w:p>
    <w:p w14:paraId="442713B3" w14:textId="023C9D44" w:rsidR="00592BF3" w:rsidRDefault="00592BF3" w:rsidP="009B57AB">
      <w:pPr>
        <w:rPr>
          <w:lang w:val="it-IT"/>
        </w:rPr>
      </w:pPr>
      <w:r>
        <w:rPr>
          <w:lang w:val="it-IT"/>
        </w:rPr>
        <w:t>Dal</w:t>
      </w:r>
      <w:r w:rsidR="00571EF4">
        <w:rPr>
          <w:lang w:val="it-IT"/>
        </w:rPr>
        <w:t xml:space="preserve"> testo sopra citato, derivante</w:t>
      </w:r>
      <w:r>
        <w:rPr>
          <w:lang w:val="it-IT"/>
        </w:rPr>
        <w:t xml:space="preserve"> consultazione pubblica, aperta il 19 maggio 2019</w:t>
      </w:r>
      <w:r w:rsidR="00571EF4">
        <w:rPr>
          <w:lang w:val="it-IT"/>
        </w:rPr>
        <w:t>, denominata “</w:t>
      </w:r>
      <w:r w:rsidR="00571EF4" w:rsidRPr="00571EF4">
        <w:rPr>
          <w:lang w:val="it-IT"/>
        </w:rPr>
        <w:t>Documento per consultazione sulle offerte iniziali e gli scambi di cripto-attività</w:t>
      </w:r>
      <w:r w:rsidR="00571EF4">
        <w:rPr>
          <w:lang w:val="it-IT"/>
        </w:rPr>
        <w:t xml:space="preserve">” si evince come la Consob attribuisce ai token la natura di titoli. </w:t>
      </w:r>
    </w:p>
    <w:p w14:paraId="229877DF" w14:textId="1A3E955D" w:rsidR="008E0BF5" w:rsidRDefault="008E0BF5" w:rsidP="009B57AB">
      <w:pPr>
        <w:rPr>
          <w:lang w:val="it-IT"/>
        </w:rPr>
      </w:pPr>
      <w:r>
        <w:rPr>
          <w:lang w:val="it-IT"/>
        </w:rPr>
        <w:t xml:space="preserve">Per la CONSOB un ICO condivide con una IPO l’elemento di essere destinata ad un pubblico di investitori dal numero potenzialmente indeterminato, </w:t>
      </w:r>
      <w:r w:rsidR="009B57AB">
        <w:rPr>
          <w:lang w:val="it-IT"/>
        </w:rPr>
        <w:t xml:space="preserve">oltre ad essere connotata da una serie di attività </w:t>
      </w:r>
      <w:r w:rsidR="009B57AB" w:rsidRPr="009B57AB">
        <w:rPr>
          <w:lang w:val="it-IT"/>
        </w:rPr>
        <w:t>volte alla</w:t>
      </w:r>
      <w:r w:rsidR="009B57AB">
        <w:rPr>
          <w:lang w:val="it-IT"/>
        </w:rPr>
        <w:t xml:space="preserve"> </w:t>
      </w:r>
      <w:r w:rsidR="009B57AB" w:rsidRPr="009B57AB">
        <w:rPr>
          <w:lang w:val="it-IT"/>
        </w:rPr>
        <w:t>promozione/pubblicità dell’operazione.</w:t>
      </w:r>
      <w:r w:rsidR="009B57AB">
        <w:rPr>
          <w:lang w:val="it-IT"/>
        </w:rPr>
        <w:t xml:space="preserve"> </w:t>
      </w:r>
      <w:r w:rsidR="009B57AB" w:rsidRPr="009B57AB">
        <w:rPr>
          <w:lang w:val="it-IT"/>
        </w:rPr>
        <w:t>Le ICO si caratterizzano,</w:t>
      </w:r>
      <w:r w:rsidR="009B57AB">
        <w:rPr>
          <w:lang w:val="it-IT"/>
        </w:rPr>
        <w:t xml:space="preserve"> </w:t>
      </w:r>
      <w:r w:rsidR="009B57AB" w:rsidRPr="009B57AB">
        <w:rPr>
          <w:lang w:val="it-IT"/>
        </w:rPr>
        <w:t>rispetto a quanto tradizionalmente avviene per le offerte di strumenti finanziari, per:</w:t>
      </w:r>
    </w:p>
    <w:p w14:paraId="6DF4C4C8" w14:textId="73226E30" w:rsidR="009B57AB" w:rsidRDefault="009B57AB" w:rsidP="005879DB">
      <w:pPr>
        <w:pStyle w:val="ListParagraph"/>
        <w:numPr>
          <w:ilvl w:val="0"/>
          <w:numId w:val="24"/>
        </w:numPr>
        <w:rPr>
          <w:lang w:val="it-IT"/>
        </w:rPr>
      </w:pPr>
      <w:r w:rsidRPr="009B57AB">
        <w:rPr>
          <w:lang w:val="it-IT"/>
        </w:rPr>
        <w:t>l’utilizzo della tecnologia blockchain, che permette di disintermediare le infrastrutture tipiche</w:t>
      </w:r>
      <w:r>
        <w:rPr>
          <w:lang w:val="it-IT"/>
        </w:rPr>
        <w:t xml:space="preserve"> </w:t>
      </w:r>
      <w:r w:rsidRPr="009B57AB">
        <w:rPr>
          <w:lang w:val="it-IT"/>
        </w:rPr>
        <w:t>dei mercati dei capitali (es. banca depositaria, consorzio di collocamento, mercati secondari);</w:t>
      </w:r>
    </w:p>
    <w:p w14:paraId="0AEA0B52" w14:textId="594EBE41" w:rsidR="009B57AB" w:rsidRDefault="009B57AB" w:rsidP="005879DB">
      <w:pPr>
        <w:pStyle w:val="ListParagraph"/>
        <w:numPr>
          <w:ilvl w:val="0"/>
          <w:numId w:val="24"/>
        </w:numPr>
        <w:rPr>
          <w:lang w:val="it-IT"/>
        </w:rPr>
      </w:pPr>
      <w:r w:rsidRPr="009B57AB">
        <w:rPr>
          <w:lang w:val="it-IT"/>
        </w:rPr>
        <w:t>lo strumento per il regolamento dei flussi finanziari, in quanto il pagamento dei token</w:t>
      </w:r>
      <w:r>
        <w:rPr>
          <w:lang w:val="it-IT"/>
        </w:rPr>
        <w:t xml:space="preserve"> </w:t>
      </w:r>
      <w:r w:rsidRPr="009B57AB">
        <w:rPr>
          <w:lang w:val="it-IT"/>
        </w:rPr>
        <w:t>generalmente avviene con valute virtuali (es. Ethereum, Bitcoin) in luogo di moneta avente</w:t>
      </w:r>
      <w:r>
        <w:rPr>
          <w:lang w:val="it-IT"/>
        </w:rPr>
        <w:t xml:space="preserve"> </w:t>
      </w:r>
      <w:r w:rsidRPr="009B57AB">
        <w:rPr>
          <w:lang w:val="it-IT"/>
        </w:rPr>
        <w:t>corso legale;</w:t>
      </w:r>
    </w:p>
    <w:p w14:paraId="3CE5B1C2" w14:textId="3442CE70" w:rsidR="009B57AB" w:rsidRDefault="009B57AB" w:rsidP="005879DB">
      <w:pPr>
        <w:pStyle w:val="ListParagraph"/>
        <w:numPr>
          <w:ilvl w:val="0"/>
          <w:numId w:val="24"/>
        </w:numPr>
        <w:rPr>
          <w:lang w:val="it-IT"/>
        </w:rPr>
      </w:pPr>
      <w:r w:rsidRPr="009B57AB">
        <w:rPr>
          <w:lang w:val="it-IT"/>
        </w:rPr>
        <w:t>la pubblicità e promozione tramite world wide web, che consente l’utilizzo della rete per dare</w:t>
      </w:r>
      <w:r>
        <w:rPr>
          <w:lang w:val="it-IT"/>
        </w:rPr>
        <w:t xml:space="preserve"> </w:t>
      </w:r>
      <w:r w:rsidRPr="009B57AB">
        <w:rPr>
          <w:lang w:val="it-IT"/>
        </w:rPr>
        <w:t>luogo sia a forme di promozione che di raccolta su base transfrontaliera, senza alcun vincolo</w:t>
      </w:r>
      <w:r>
        <w:rPr>
          <w:lang w:val="it-IT"/>
        </w:rPr>
        <w:t xml:space="preserve"> </w:t>
      </w:r>
      <w:r w:rsidRPr="009B57AB">
        <w:rPr>
          <w:lang w:val="it-IT"/>
        </w:rPr>
        <w:t>territoriale né per quanto attiene alla figura dell’emittente né per quella del promotore;</w:t>
      </w:r>
    </w:p>
    <w:p w14:paraId="4B0FA2BB" w14:textId="71F91151" w:rsidR="003E73B3" w:rsidRDefault="009B57AB" w:rsidP="005879DB">
      <w:pPr>
        <w:pStyle w:val="ListParagraph"/>
        <w:numPr>
          <w:ilvl w:val="0"/>
          <w:numId w:val="24"/>
        </w:numPr>
        <w:rPr>
          <w:lang w:val="it-IT"/>
        </w:rPr>
      </w:pPr>
      <w:r w:rsidRPr="009B57AB">
        <w:rPr>
          <w:lang w:val="it-IT"/>
        </w:rPr>
        <w:t>la pubblicazione di un c.d. white-paper in luogo di un prospetto, nel quale vengono riportate le</w:t>
      </w:r>
      <w:r>
        <w:rPr>
          <w:lang w:val="it-IT"/>
        </w:rPr>
        <w:t xml:space="preserve"> </w:t>
      </w:r>
      <w:r w:rsidRPr="009B57AB">
        <w:rPr>
          <w:lang w:val="it-IT"/>
        </w:rPr>
        <w:t>principali caratteristiche dell’operazione e dell’oggetto dell’offerta.</w:t>
      </w:r>
    </w:p>
    <w:p w14:paraId="7B1A3E3B" w14:textId="4D3431EC" w:rsidR="00BD0034" w:rsidRDefault="00BD0034" w:rsidP="00BD0034">
      <w:pPr>
        <w:rPr>
          <w:lang w:val="it-IT"/>
        </w:rPr>
      </w:pPr>
      <w:r>
        <w:rPr>
          <w:lang w:val="it-IT"/>
        </w:rPr>
        <w:lastRenderedPageBreak/>
        <w:t xml:space="preserve">Se quindi le </w:t>
      </w:r>
      <w:r w:rsidRPr="00BD0034">
        <w:rPr>
          <w:lang w:val="it-IT"/>
        </w:rPr>
        <w:t>cripto-attività</w:t>
      </w:r>
      <w:r>
        <w:rPr>
          <w:lang w:val="it-IT"/>
        </w:rPr>
        <w:t xml:space="preserve"> sono qualificabili come </w:t>
      </w:r>
      <w:r w:rsidRPr="00BD0034">
        <w:rPr>
          <w:lang w:val="it-IT"/>
        </w:rPr>
        <w:t>strumenti finanziari trasferibili o altri tipi di strumenti finanziari, ai sensi della Direttiva MIFID II, si applica tutta la disciplina prevista</w:t>
      </w:r>
      <w:r>
        <w:rPr>
          <w:lang w:val="it-IT"/>
        </w:rPr>
        <w:t xml:space="preserve">. </w:t>
      </w:r>
    </w:p>
    <w:p w14:paraId="666BFF54" w14:textId="5DF9C982" w:rsidR="00BD0034" w:rsidRDefault="00BD0034" w:rsidP="00BD0034">
      <w:pPr>
        <w:rPr>
          <w:lang w:val="it-IT"/>
        </w:rPr>
      </w:pPr>
      <w:r>
        <w:rPr>
          <w:lang w:val="it-IT"/>
        </w:rPr>
        <w:t>Dunque, in caso di ICO, si deve prevedere l’applicazione delle seguenti norme:</w:t>
      </w:r>
    </w:p>
    <w:p w14:paraId="7F811630" w14:textId="0D99AF7F" w:rsidR="00BD0034" w:rsidRDefault="00BD0034" w:rsidP="005879DB">
      <w:pPr>
        <w:pStyle w:val="ListParagraph"/>
        <w:numPr>
          <w:ilvl w:val="0"/>
          <w:numId w:val="26"/>
        </w:numPr>
        <w:rPr>
          <w:lang w:val="it-IT"/>
        </w:rPr>
      </w:pPr>
      <w:r>
        <w:rPr>
          <w:lang w:val="it-IT"/>
        </w:rPr>
        <w:t>Direttiva sul prospetto (2003/71/EC) ed il regolamento sul prospetto (2017/1129)</w:t>
      </w:r>
    </w:p>
    <w:p w14:paraId="0DF2BD4F" w14:textId="577486E6" w:rsidR="00BD0034" w:rsidRDefault="00BD0034" w:rsidP="005879DB">
      <w:pPr>
        <w:pStyle w:val="ListParagraph"/>
        <w:numPr>
          <w:ilvl w:val="0"/>
          <w:numId w:val="26"/>
        </w:numPr>
        <w:rPr>
          <w:lang w:val="it-IT"/>
        </w:rPr>
      </w:pPr>
      <w:r>
        <w:rPr>
          <w:lang w:val="it-IT"/>
        </w:rPr>
        <w:t>MIFID II (2014/65/EU)</w:t>
      </w:r>
    </w:p>
    <w:p w14:paraId="2C68156D" w14:textId="1B9BB283" w:rsidR="00BD0034" w:rsidRDefault="00BD0034" w:rsidP="005879DB">
      <w:pPr>
        <w:pStyle w:val="ListParagraph"/>
        <w:numPr>
          <w:ilvl w:val="0"/>
          <w:numId w:val="26"/>
        </w:numPr>
        <w:rPr>
          <w:lang w:val="it-IT"/>
        </w:rPr>
      </w:pPr>
      <w:r>
        <w:rPr>
          <w:lang w:val="it-IT"/>
        </w:rPr>
        <w:t>Trasparency Directive (2013/50/EU)</w:t>
      </w:r>
    </w:p>
    <w:p w14:paraId="3F1C0968" w14:textId="40F43CD4" w:rsidR="00BD0034" w:rsidRDefault="00BD0034" w:rsidP="005879DB">
      <w:pPr>
        <w:pStyle w:val="ListParagraph"/>
        <w:numPr>
          <w:ilvl w:val="0"/>
          <w:numId w:val="26"/>
        </w:numPr>
        <w:rPr>
          <w:lang w:val="it-IT"/>
        </w:rPr>
      </w:pPr>
      <w:r>
        <w:rPr>
          <w:lang w:val="it-IT"/>
        </w:rPr>
        <w:t>Direttiva sul Market Abuse (596/2014/EU)</w:t>
      </w:r>
    </w:p>
    <w:p w14:paraId="74CE6023" w14:textId="721F921E" w:rsidR="00BD0034" w:rsidRDefault="00BD0034" w:rsidP="005879DB">
      <w:pPr>
        <w:pStyle w:val="ListParagraph"/>
        <w:numPr>
          <w:ilvl w:val="0"/>
          <w:numId w:val="26"/>
        </w:numPr>
        <w:rPr>
          <w:lang w:val="it-IT"/>
        </w:rPr>
      </w:pPr>
      <w:r>
        <w:rPr>
          <w:lang w:val="it-IT"/>
        </w:rPr>
        <w:t>Regolamenti sullo Short Selling (236/2012/EU)</w:t>
      </w:r>
    </w:p>
    <w:p w14:paraId="40356D01" w14:textId="2D1ABBEB" w:rsidR="00BD0034" w:rsidRDefault="00BD0034" w:rsidP="005879DB">
      <w:pPr>
        <w:pStyle w:val="ListParagraph"/>
        <w:numPr>
          <w:ilvl w:val="0"/>
          <w:numId w:val="26"/>
        </w:numPr>
        <w:rPr>
          <w:lang w:val="it-IT"/>
        </w:rPr>
      </w:pPr>
      <w:r>
        <w:rPr>
          <w:lang w:val="it-IT"/>
        </w:rPr>
        <w:t>Central Security Depositories (909/2014/EU)</w:t>
      </w:r>
    </w:p>
    <w:p w14:paraId="75A7F112" w14:textId="17FA9DE0" w:rsidR="00BD0034" w:rsidRDefault="00BD0034" w:rsidP="005879DB">
      <w:pPr>
        <w:pStyle w:val="ListParagraph"/>
        <w:numPr>
          <w:ilvl w:val="0"/>
          <w:numId w:val="26"/>
        </w:numPr>
        <w:rPr>
          <w:lang w:val="it-IT"/>
        </w:rPr>
      </w:pPr>
      <w:r>
        <w:rPr>
          <w:lang w:val="it-IT"/>
        </w:rPr>
        <w:t>Direttiva Settlement Finality (</w:t>
      </w:r>
      <w:r w:rsidRPr="00BD0034">
        <w:rPr>
          <w:lang w:val="it-IT"/>
        </w:rPr>
        <w:t>98/26/CE</w:t>
      </w:r>
      <w:r>
        <w:rPr>
          <w:lang w:val="it-IT"/>
        </w:rPr>
        <w:t>)</w:t>
      </w:r>
    </w:p>
    <w:p w14:paraId="048751AD" w14:textId="0D9DC18C" w:rsidR="00BD0034" w:rsidRDefault="00BD0034" w:rsidP="005879DB">
      <w:pPr>
        <w:pStyle w:val="ListParagraph"/>
        <w:numPr>
          <w:ilvl w:val="0"/>
          <w:numId w:val="26"/>
        </w:numPr>
        <w:rPr>
          <w:lang w:val="it-IT"/>
        </w:rPr>
      </w:pPr>
      <w:r w:rsidRPr="00BD0034">
        <w:rPr>
          <w:lang w:val="it-IT"/>
        </w:rPr>
        <w:t>Direttiva su AIFMD (n. 2011/61/EU)</w:t>
      </w:r>
    </w:p>
    <w:p w14:paraId="7816CFE7" w14:textId="61BC2D53" w:rsidR="00BD0034" w:rsidRDefault="00BD0034" w:rsidP="005879DB">
      <w:pPr>
        <w:pStyle w:val="ListParagraph"/>
        <w:numPr>
          <w:ilvl w:val="0"/>
          <w:numId w:val="26"/>
        </w:numPr>
        <w:rPr>
          <w:lang w:val="it-IT"/>
        </w:rPr>
      </w:pPr>
      <w:r w:rsidRPr="00BD0034">
        <w:rPr>
          <w:lang w:val="it-IT"/>
        </w:rPr>
        <w:t>Direttiva sugli schemi di compenso degli investitori (n. 97/9/CE)</w:t>
      </w:r>
    </w:p>
    <w:p w14:paraId="0B23B919" w14:textId="26EE8364" w:rsidR="00BD0034" w:rsidRDefault="002B0A30" w:rsidP="005879DB">
      <w:pPr>
        <w:pStyle w:val="ListParagraph"/>
        <w:numPr>
          <w:ilvl w:val="0"/>
          <w:numId w:val="26"/>
        </w:numPr>
        <w:rPr>
          <w:lang w:val="it-IT"/>
        </w:rPr>
      </w:pPr>
      <w:r w:rsidRPr="002B0A30">
        <w:rPr>
          <w:lang w:val="it-IT"/>
        </w:rPr>
        <w:t>Direttiva su antiriciclaggio o contro il finanziamento del terrorismo (n. 2018/843/EU)</w:t>
      </w:r>
    </w:p>
    <w:p w14:paraId="26228419" w14:textId="4CF686B2" w:rsidR="006015A0" w:rsidRPr="006015A0" w:rsidRDefault="006015A0" w:rsidP="006015A0">
      <w:pPr>
        <w:rPr>
          <w:lang w:val="it-IT"/>
        </w:rPr>
      </w:pPr>
      <w:r>
        <w:rPr>
          <w:lang w:val="it-IT"/>
        </w:rPr>
        <w:t xml:space="preserve">Le norme italiane di riferimento per le offerte al pubblico si trovano agli articoli 93-bis e seguenti del TUF, quelle della prestazione dei </w:t>
      </w:r>
      <w:r w:rsidRPr="006015A0">
        <w:rPr>
          <w:lang w:val="it-IT"/>
        </w:rPr>
        <w:t xml:space="preserve">servizi di investimento (e nello specifico quella </w:t>
      </w:r>
      <w:r>
        <w:rPr>
          <w:lang w:val="it-IT"/>
        </w:rPr>
        <w:t xml:space="preserve">della promozione e collocamento </w:t>
      </w:r>
      <w:r w:rsidRPr="006015A0">
        <w:rPr>
          <w:lang w:val="it-IT"/>
        </w:rPr>
        <w:t>a distanza ex art. 32 TUF e della consulenza in materia di investimenti)</w:t>
      </w:r>
      <w:r>
        <w:rPr>
          <w:lang w:val="it-IT"/>
        </w:rPr>
        <w:t xml:space="preserve"> </w:t>
      </w:r>
      <w:r w:rsidRPr="006015A0">
        <w:rPr>
          <w:lang w:val="it-IT"/>
        </w:rPr>
        <w:t>quella della gestione collettiva del risparmio (nel caso di ge</w:t>
      </w:r>
      <w:r>
        <w:rPr>
          <w:lang w:val="it-IT"/>
        </w:rPr>
        <w:t xml:space="preserve">stione in monte </w:t>
      </w:r>
      <w:r w:rsidRPr="006015A0">
        <w:rPr>
          <w:lang w:val="it-IT"/>
        </w:rPr>
        <w:t xml:space="preserve">delle risorse raccolte), quella </w:t>
      </w:r>
      <w:r>
        <w:rPr>
          <w:lang w:val="it-IT"/>
        </w:rPr>
        <w:t>del crowdfunding ex art. 50-</w:t>
      </w:r>
      <w:r w:rsidRPr="006015A0">
        <w:rPr>
          <w:lang w:val="it-IT"/>
        </w:rPr>
        <w:t>quinquies TUF, nel caso in cui i token rap</w:t>
      </w:r>
      <w:r>
        <w:rPr>
          <w:lang w:val="it-IT"/>
        </w:rPr>
        <w:t>presentino strumenti finanziari emessi da PMI.</w:t>
      </w:r>
    </w:p>
    <w:p w14:paraId="7AF3C3F2" w14:textId="224D82D5" w:rsidR="00571EF4" w:rsidRDefault="00571EF4" w:rsidP="003E73B3">
      <w:pPr>
        <w:rPr>
          <w:lang w:val="it-IT"/>
        </w:rPr>
      </w:pPr>
      <w:r>
        <w:rPr>
          <w:lang w:val="it-IT"/>
        </w:rPr>
        <w:t>Per quanto riguarda le piattaforme per le offerte di cripto-attività:</w:t>
      </w:r>
    </w:p>
    <w:p w14:paraId="12A0E080" w14:textId="289A273E" w:rsidR="00571EF4" w:rsidRDefault="00571EF4" w:rsidP="00B43E38">
      <w:pPr>
        <w:rPr>
          <w:lang w:val="it-IT"/>
        </w:rPr>
      </w:pPr>
      <w:r>
        <w:rPr>
          <w:lang w:val="it-IT"/>
        </w:rPr>
        <w:t>“</w:t>
      </w:r>
      <w:r w:rsidRPr="00571EF4">
        <w:rPr>
          <w:lang w:val="it-IT"/>
        </w:rPr>
        <w:t>Allo stato, gli operatori meglio posizionati per poter offrire professionalmente assistenza nella</w:t>
      </w:r>
      <w:r>
        <w:rPr>
          <w:lang w:val="it-IT"/>
        </w:rPr>
        <w:t xml:space="preserve"> </w:t>
      </w:r>
      <w:r w:rsidRPr="00571EF4">
        <w:rPr>
          <w:lang w:val="it-IT"/>
        </w:rPr>
        <w:t>realizzazione delle offerte di cripto-attività a un numero potenzialmente indeterminato di investitori</w:t>
      </w:r>
      <w:r w:rsidR="00B43E38">
        <w:rPr>
          <w:lang w:val="it-IT"/>
        </w:rPr>
        <w:t xml:space="preserve"> </w:t>
      </w:r>
      <w:r w:rsidRPr="00571EF4">
        <w:rPr>
          <w:lang w:val="it-IT"/>
        </w:rPr>
        <w:t>appaiono, in ambito domestico, i gestori di portali per la raccolta di capitali di rischio autorizzati ai</w:t>
      </w:r>
      <w:r w:rsidR="00B43E38">
        <w:rPr>
          <w:lang w:val="it-IT"/>
        </w:rPr>
        <w:t xml:space="preserve"> </w:t>
      </w:r>
      <w:r w:rsidRPr="00571EF4">
        <w:rPr>
          <w:lang w:val="it-IT"/>
        </w:rPr>
        <w:t>sensi dell’art. 50-quinquies del d. lgs. N. 58 del 1998 (TUF) e la cui attività è disciplinata con il</w:t>
      </w:r>
      <w:r w:rsidR="00B43E38">
        <w:rPr>
          <w:lang w:val="it-IT"/>
        </w:rPr>
        <w:t xml:space="preserve"> </w:t>
      </w:r>
      <w:r w:rsidRPr="00571EF4">
        <w:rPr>
          <w:lang w:val="it-IT"/>
        </w:rPr>
        <w:t>regolamento Consob n. 18592 del 26 giugno 2013 (Regolamento Crowdfunding).</w:t>
      </w:r>
      <w:r w:rsidR="00B43E38">
        <w:rPr>
          <w:lang w:val="it-IT"/>
        </w:rPr>
        <w:t xml:space="preserve"> </w:t>
      </w:r>
      <w:r w:rsidR="00B43E38" w:rsidRPr="00B43E38">
        <w:rPr>
          <w:lang w:val="it-IT"/>
        </w:rPr>
        <w:t>Potrebbe altresì prevedersi che soggetti diversi, purché in possesso di requisiti soggettivi richiesti</w:t>
      </w:r>
      <w:r w:rsidR="00B43E38">
        <w:rPr>
          <w:lang w:val="it-IT"/>
        </w:rPr>
        <w:t xml:space="preserve"> </w:t>
      </w:r>
      <w:r w:rsidR="00B43E38" w:rsidRPr="00B43E38">
        <w:rPr>
          <w:lang w:val="it-IT"/>
        </w:rPr>
        <w:t>all’anzidetta categoria di gestori di portali di crowdfunding, possano gestire piattaforme per le</w:t>
      </w:r>
      <w:r w:rsidR="00B43E38">
        <w:rPr>
          <w:lang w:val="it-IT"/>
        </w:rPr>
        <w:t xml:space="preserve"> </w:t>
      </w:r>
      <w:r w:rsidR="00B43E38" w:rsidRPr="00B43E38">
        <w:rPr>
          <w:lang w:val="it-IT"/>
        </w:rPr>
        <w:t>offerte di cripto-attività. Ciò al fine di non precludere lo sviluppo di modelli di business alternativi,</w:t>
      </w:r>
      <w:r w:rsidR="00B43E38">
        <w:rPr>
          <w:lang w:val="it-IT"/>
        </w:rPr>
        <w:t xml:space="preserve"> </w:t>
      </w:r>
      <w:r w:rsidR="00B43E38" w:rsidRPr="00B43E38">
        <w:rPr>
          <w:lang w:val="it-IT"/>
        </w:rPr>
        <w:t>in cui cioè il soggetto gestore intenda specializzarsi, pur nel rispetto di requisiti soggettivi analoghi</w:t>
      </w:r>
      <w:r w:rsidR="00B43E38">
        <w:rPr>
          <w:lang w:val="it-IT"/>
        </w:rPr>
        <w:t xml:space="preserve"> </w:t>
      </w:r>
      <w:r w:rsidR="00B43E38" w:rsidRPr="00B43E38">
        <w:rPr>
          <w:lang w:val="it-IT"/>
        </w:rPr>
        <w:t>a quanto ritenuto congruo per i gestori di portali di crowdfunding, soltanto al settore delle initial</w:t>
      </w:r>
      <w:r w:rsidR="00B43E38">
        <w:rPr>
          <w:lang w:val="it-IT"/>
        </w:rPr>
        <w:t xml:space="preserve"> </w:t>
      </w:r>
      <w:r w:rsidR="00B43E38" w:rsidRPr="00B43E38">
        <w:rPr>
          <w:lang w:val="it-IT"/>
        </w:rPr>
        <w:t>coin offerings.</w:t>
      </w:r>
      <w:r w:rsidR="00B43E38">
        <w:rPr>
          <w:lang w:val="it-IT"/>
        </w:rPr>
        <w:t xml:space="preserve"> </w:t>
      </w:r>
      <w:r w:rsidR="00B43E38" w:rsidRPr="00B43E38">
        <w:rPr>
          <w:lang w:val="it-IT"/>
        </w:rPr>
        <w:t>In tale quadro, ai soggetti che siano già autorizzati allo svolgimento dell’attività di gestione di</w:t>
      </w:r>
      <w:r w:rsidR="00B43E38">
        <w:rPr>
          <w:lang w:val="it-IT"/>
        </w:rPr>
        <w:t xml:space="preserve"> </w:t>
      </w:r>
      <w:r w:rsidR="00B43E38" w:rsidRPr="00B43E38">
        <w:rPr>
          <w:lang w:val="it-IT"/>
        </w:rPr>
        <w:t>portali per il crowdfunding potrebbe essere consentito di gestire piattaforme per le offerte di criptoattività, a condizione che ne venga data preventiva comunicazione alla Consob (la quale conduce le</w:t>
      </w:r>
      <w:r w:rsidR="00B43E38">
        <w:rPr>
          <w:lang w:val="it-IT"/>
        </w:rPr>
        <w:t xml:space="preserve"> </w:t>
      </w:r>
      <w:r w:rsidR="00B43E38" w:rsidRPr="00B43E38">
        <w:rPr>
          <w:lang w:val="it-IT"/>
        </w:rPr>
        <w:t>istanze per l’autorizzazione dei predetti soggetti), e che l’attività connessa con la promozione di</w:t>
      </w:r>
      <w:r w:rsidR="00B43E38">
        <w:rPr>
          <w:lang w:val="it-IT"/>
        </w:rPr>
        <w:t xml:space="preserve"> </w:t>
      </w:r>
      <w:r w:rsidR="00B43E38" w:rsidRPr="00B43E38">
        <w:rPr>
          <w:lang w:val="it-IT"/>
        </w:rPr>
        <w:t>offerte di cripto-attività venga in qualche modo tenuta distinta da quella connessa con le offerte di</w:t>
      </w:r>
      <w:r w:rsidR="00B43E38">
        <w:rPr>
          <w:lang w:val="it-IT"/>
        </w:rPr>
        <w:t xml:space="preserve"> </w:t>
      </w:r>
      <w:r w:rsidR="00B43E38" w:rsidRPr="00B43E38">
        <w:rPr>
          <w:lang w:val="it-IT"/>
        </w:rPr>
        <w:t>crowdfunding (ad esempio, al gestore potrebbe essere richiesto di istituire e gestire piattaforme</w:t>
      </w:r>
      <w:r w:rsidR="00B43E38">
        <w:rPr>
          <w:lang w:val="it-IT"/>
        </w:rPr>
        <w:t xml:space="preserve"> </w:t>
      </w:r>
      <w:r w:rsidR="00B43E38" w:rsidRPr="00B43E38">
        <w:rPr>
          <w:lang w:val="it-IT"/>
        </w:rPr>
        <w:t>distinte per l’una e l’altra attività).</w:t>
      </w:r>
      <w:r w:rsidR="00B43E38">
        <w:rPr>
          <w:lang w:val="it-IT"/>
        </w:rPr>
        <w:t>”</w:t>
      </w:r>
      <w:r w:rsidR="00B43E38">
        <w:rPr>
          <w:rStyle w:val="FootnoteReference"/>
          <w:lang w:val="it-IT"/>
        </w:rPr>
        <w:footnoteReference w:id="64"/>
      </w:r>
    </w:p>
    <w:p w14:paraId="3CE0416D" w14:textId="4C739EA2" w:rsidR="006015A0" w:rsidRDefault="006015A0" w:rsidP="006015A0">
      <w:pPr>
        <w:rPr>
          <w:lang w:val="it-IT"/>
        </w:rPr>
      </w:pPr>
      <w:r>
        <w:rPr>
          <w:lang w:val="it-IT"/>
        </w:rPr>
        <w:t xml:space="preserve">La Consob ha quindi spiegato chiaramente che è possibile scambiare cripto-attività sul mercato secondario tramite le cosiddette trading venues, quindi in sedi di negoziazione tipizzate e autorizzate ai sensi di MIFID II per lo scambio di strumenti </w:t>
      </w:r>
      <w:r w:rsidRPr="006015A0">
        <w:rPr>
          <w:lang w:val="it-IT"/>
        </w:rPr>
        <w:t>finanziari e non su piattaforme prive di tale status</w:t>
      </w:r>
      <w:r>
        <w:rPr>
          <w:lang w:val="it-IT"/>
        </w:rPr>
        <w:t>.</w:t>
      </w:r>
    </w:p>
    <w:p w14:paraId="627EEEEB" w14:textId="0A998A37" w:rsidR="00B43E38" w:rsidRDefault="00B43E38" w:rsidP="00B43E38">
      <w:pPr>
        <w:rPr>
          <w:lang w:val="it-IT"/>
        </w:rPr>
      </w:pPr>
      <w:r w:rsidRPr="00B43E38">
        <w:rPr>
          <w:lang w:val="it-IT"/>
        </w:rPr>
        <w:t xml:space="preserve">Peraltro, Consob non ritiene necessario creare una situazione di regole rigide.  Ritiene invece più “utile prevedere un regime che in virtù di un meccanismo di opt-in consenta al promotore dell’iniziativa (emittente/offerente/proponente) di scegliere l’impiego di una piattaforma dedicata al fine di rivolgersi alla platea degli investitori in un contesto regolamentato”. </w:t>
      </w:r>
    </w:p>
    <w:p w14:paraId="7FD9BB32" w14:textId="771976C6" w:rsidR="006015A0" w:rsidRDefault="003E73B3" w:rsidP="003E73B3">
      <w:pPr>
        <w:rPr>
          <w:lang w:val="it-IT"/>
        </w:rPr>
      </w:pPr>
      <w:r>
        <w:rPr>
          <w:lang w:val="it-IT"/>
        </w:rPr>
        <w:lastRenderedPageBreak/>
        <w:t>L’emissione di Security Token è un’attività legalizzata in Italia a seguito dell’introduzione nell’ordinamento italiano delle tecnologie DLT e Smart Contract, come previsto dalla legge 12/2019 di conversione del D.L. n. 135/2018. A livello comunitario l’ESMA si rimette all’autonomia normativa delle National Competent Authorities (NCA) e pertanto sarà necessario il parere positivo di Consob per l’emissione di tali nuovi alternativi strumenti finanziari.</w:t>
      </w:r>
      <w:r w:rsidR="00592BF3">
        <w:rPr>
          <w:rStyle w:val="FootnoteReference"/>
          <w:lang w:val="it-IT"/>
        </w:rPr>
        <w:footnoteReference w:id="65"/>
      </w:r>
    </w:p>
    <w:p w14:paraId="64CE560A" w14:textId="76D561DD" w:rsidR="00C32676" w:rsidRDefault="00592BF3" w:rsidP="00E0050D">
      <w:pPr>
        <w:rPr>
          <w:lang w:val="it-IT"/>
        </w:rPr>
      </w:pPr>
      <w:r>
        <w:rPr>
          <w:lang w:val="it-IT"/>
        </w:rPr>
        <w:t xml:space="preserve">Con la conversione in legge del Decreto Semplificazioni era stato riconosciuto il valore giuridico delle certificazioni tramite blockchain e degli smart contract. </w:t>
      </w:r>
      <w:r w:rsidR="00C32676">
        <w:rPr>
          <w:lang w:val="it-IT"/>
        </w:rPr>
        <w:t>Ai sensi dell’art. 8-ter D.L. 135/2018 convertito in Legge 12/2019 si dà definizione di DLT e Smart contrcat:</w:t>
      </w:r>
    </w:p>
    <w:p w14:paraId="29A35EC6" w14:textId="654E1B85" w:rsidR="005C3B1D" w:rsidRDefault="005C3B1D" w:rsidP="00E0050D">
      <w:pPr>
        <w:rPr>
          <w:lang w:val="it-IT"/>
        </w:rPr>
      </w:pPr>
      <w:r w:rsidRPr="005C3B1D">
        <w:rPr>
          <w:lang w:val="it-IT"/>
        </w:rPr>
        <w:t>Ai sensi dell’Art. 8</w:t>
      </w:r>
      <w:r w:rsidR="00AB225F">
        <w:rPr>
          <w:lang w:val="it-IT"/>
        </w:rPr>
        <w:t>-</w:t>
      </w:r>
      <w:r w:rsidRPr="005C3B1D">
        <w:rPr>
          <w:lang w:val="it-IT"/>
        </w:rPr>
        <w:t>ter Tecnologie basate su registri distribuiti e smart contract</w:t>
      </w:r>
      <w:r>
        <w:rPr>
          <w:lang w:val="it-IT"/>
        </w:rPr>
        <w:t xml:space="preserve"> </w:t>
      </w:r>
      <w:r w:rsidRPr="005C3B1D">
        <w:rPr>
          <w:lang w:val="it-IT"/>
        </w:rPr>
        <w:t>D.L. 135/2018 convertito in Legge 12/2019</w:t>
      </w:r>
      <w:r>
        <w:rPr>
          <w:lang w:val="it-IT"/>
        </w:rPr>
        <w:t>:</w:t>
      </w:r>
    </w:p>
    <w:p w14:paraId="3683B03E" w14:textId="77777777" w:rsidR="005C3B1D" w:rsidRPr="005C3B1D" w:rsidRDefault="005C3B1D" w:rsidP="005C3B1D">
      <w:pPr>
        <w:rPr>
          <w:lang w:val="it-IT"/>
        </w:rPr>
      </w:pPr>
      <w:r>
        <w:rPr>
          <w:lang w:val="it-IT"/>
        </w:rPr>
        <w:t>“</w:t>
      </w:r>
      <w:r w:rsidRPr="005C3B1D">
        <w:rPr>
          <w:lang w:val="it-IT"/>
        </w:rPr>
        <w:t>1. Si definiscono «tecnologie basate su registri distribuiti» le tecnologie e i protocolli informatici che usano un registro condiviso, distribuito, replicabile, accessibile simultaneamente, architetturalmente decentralizzato su basi crittografiche, tali da consentire la registrazione, la convalida, l'aggiornamento e l'archiviazione di dati sia in chiaro che ulteriormente protetti da crittografia verificabili da ciascun partecipante, non alterabili e non modificabili.</w:t>
      </w:r>
    </w:p>
    <w:p w14:paraId="750D0825" w14:textId="77777777" w:rsidR="005C3B1D" w:rsidRPr="005C3B1D" w:rsidRDefault="005C3B1D" w:rsidP="005C3B1D">
      <w:pPr>
        <w:rPr>
          <w:lang w:val="it-IT"/>
        </w:rPr>
      </w:pPr>
    </w:p>
    <w:p w14:paraId="0FFE7A8A" w14:textId="1F17C776" w:rsidR="005C3B1D" w:rsidRPr="005C3B1D" w:rsidRDefault="005C3B1D" w:rsidP="005C3B1D">
      <w:pPr>
        <w:rPr>
          <w:lang w:val="it-IT"/>
        </w:rPr>
      </w:pPr>
      <w:r w:rsidRPr="005C3B1D">
        <w:rPr>
          <w:lang w:val="it-IT"/>
        </w:rPr>
        <w:t>2. Si definisce «smart contract» un programma per elaboratore che opera su tecnologie basate su registri distribuiti e la cui esecuzione vincola automaticamente due o pi</w:t>
      </w:r>
      <w:r>
        <w:rPr>
          <w:lang w:val="it-IT"/>
        </w:rPr>
        <w:t>ù</w:t>
      </w:r>
      <w:r w:rsidRPr="005C3B1D">
        <w:rPr>
          <w:lang w:val="it-IT"/>
        </w:rPr>
        <w:t xml:space="preserve"> parti sulla base di effetti predefiniti dalle stesse. Gli smart contract soddisfano il requisito della forma scritta previa identificazione informatica delle parti interessate, attraverso un processo avente i requisiti fissati dall'Agenzia per l'Italia digitale con linee guida da adottare entro novanta giorni dalla data di entrata in vigore della legge di conversione del presente decreto.</w:t>
      </w:r>
    </w:p>
    <w:p w14:paraId="30AFC6CB" w14:textId="77777777" w:rsidR="005C3B1D" w:rsidRPr="005C3B1D" w:rsidRDefault="005C3B1D" w:rsidP="005C3B1D">
      <w:pPr>
        <w:rPr>
          <w:lang w:val="it-IT"/>
        </w:rPr>
      </w:pPr>
    </w:p>
    <w:p w14:paraId="626A183C" w14:textId="77777777" w:rsidR="005C3B1D" w:rsidRPr="005C3B1D" w:rsidRDefault="005C3B1D" w:rsidP="005C3B1D">
      <w:pPr>
        <w:rPr>
          <w:lang w:val="it-IT"/>
        </w:rPr>
      </w:pPr>
      <w:r w:rsidRPr="005C3B1D">
        <w:rPr>
          <w:lang w:val="it-IT"/>
        </w:rPr>
        <w:t>3. La memorizzazione di un documento informatico attraverso l'uso di tecnologie basate su registri distribuiti produce gli effetti giuridici della validazione temporale elettronica di cui all'articolo 41 del regolamento (UE) n. 910/2014 del Parlamento europeo e del Consiglio, del 23 luglio 2014.</w:t>
      </w:r>
    </w:p>
    <w:p w14:paraId="1B30A25F" w14:textId="77777777" w:rsidR="005C3B1D" w:rsidRPr="005C3B1D" w:rsidRDefault="005C3B1D" w:rsidP="005C3B1D">
      <w:pPr>
        <w:rPr>
          <w:lang w:val="it-IT"/>
        </w:rPr>
      </w:pPr>
    </w:p>
    <w:p w14:paraId="474AF1CF" w14:textId="020A2B79" w:rsidR="005C3B1D" w:rsidRDefault="005C3B1D" w:rsidP="005C3B1D">
      <w:pPr>
        <w:rPr>
          <w:lang w:val="it-IT"/>
        </w:rPr>
      </w:pPr>
      <w:r w:rsidRPr="005C3B1D">
        <w:rPr>
          <w:lang w:val="it-IT"/>
        </w:rPr>
        <w:t>4. Entro novanta giorni dalla data di entrata in vigore della legge di conversione del presente decreto, l'Agenzia per l'Italia digitale individua gli standard tecnici che le tecnologie basate su registri distribuiti debbono possedere ai fini della produzione degli effetti di cui al comma 3.</w:t>
      </w:r>
      <w:r>
        <w:rPr>
          <w:lang w:val="it-IT"/>
        </w:rPr>
        <w:t>”</w:t>
      </w:r>
    </w:p>
    <w:p w14:paraId="485454F7" w14:textId="7AC6EF0C" w:rsidR="008D4478" w:rsidRDefault="005C3B1D" w:rsidP="005C3B1D">
      <w:pPr>
        <w:rPr>
          <w:lang w:val="it-IT"/>
        </w:rPr>
      </w:pPr>
      <w:r>
        <w:rPr>
          <w:lang w:val="it-IT"/>
        </w:rPr>
        <w:t xml:space="preserve">Al comma 3 ci si riferisce al “documento informatico”. </w:t>
      </w:r>
      <w:r w:rsidRPr="005C3B1D">
        <w:rPr>
          <w:lang w:val="it-IT"/>
        </w:rPr>
        <w:t>Nell’ordinamento giuridico italiano non c’è una definizione di documento, il Prof. Francesco</w:t>
      </w:r>
      <w:r>
        <w:rPr>
          <w:lang w:val="it-IT"/>
        </w:rPr>
        <w:t xml:space="preserve"> </w:t>
      </w:r>
      <w:r w:rsidRPr="005C3B1D">
        <w:rPr>
          <w:lang w:val="it-IT"/>
        </w:rPr>
        <w:t>Carnelutti</w:t>
      </w:r>
      <w:r w:rsidR="008D4478">
        <w:rPr>
          <w:lang w:val="it-IT"/>
        </w:rPr>
        <w:t xml:space="preserve"> (eminente avvocato e giurista italiano vissuto tra il 1879 e il 1965 a cui viene </w:t>
      </w:r>
      <w:r w:rsidR="008D4478" w:rsidRPr="008D4478">
        <w:rPr>
          <w:lang w:val="it-IT"/>
        </w:rPr>
        <w:t>riconosciuto il merito di aver posto le fondamenta sulle</w:t>
      </w:r>
      <w:r w:rsidR="008D4478">
        <w:rPr>
          <w:lang w:val="it-IT"/>
        </w:rPr>
        <w:t xml:space="preserve"> </w:t>
      </w:r>
      <w:r w:rsidR="008D4478" w:rsidRPr="008D4478">
        <w:rPr>
          <w:lang w:val="it-IT"/>
        </w:rPr>
        <w:t xml:space="preserve">quali poggia </w:t>
      </w:r>
      <w:r w:rsidR="008D4478">
        <w:rPr>
          <w:lang w:val="it-IT"/>
        </w:rPr>
        <w:t>l’</w:t>
      </w:r>
      <w:r w:rsidR="008D4478" w:rsidRPr="008D4478">
        <w:rPr>
          <w:lang w:val="it-IT"/>
        </w:rPr>
        <w:t>ediﬁcio concettuale del sistema</w:t>
      </w:r>
      <w:r w:rsidR="008D4478">
        <w:rPr>
          <w:lang w:val="it-IT"/>
        </w:rPr>
        <w:t xml:space="preserve"> </w:t>
      </w:r>
      <w:r w:rsidR="008D4478" w:rsidRPr="008D4478">
        <w:rPr>
          <w:lang w:val="it-IT"/>
        </w:rPr>
        <w:t>della prova civile</w:t>
      </w:r>
      <w:r w:rsidR="008D4478">
        <w:rPr>
          <w:lang w:val="it-IT"/>
        </w:rPr>
        <w:t>)</w:t>
      </w:r>
      <w:r w:rsidRPr="005C3B1D">
        <w:rPr>
          <w:lang w:val="it-IT"/>
        </w:rPr>
        <w:t xml:space="preserve"> lo definì come la “cosa che fa conoscere un fatto”</w:t>
      </w:r>
      <w:r w:rsidR="005D721B">
        <w:rPr>
          <w:rStyle w:val="FootnoteReference"/>
          <w:lang w:val="it-IT"/>
        </w:rPr>
        <w:footnoteReference w:id="66"/>
      </w:r>
      <w:r w:rsidR="008D4478">
        <w:rPr>
          <w:lang w:val="it-IT"/>
        </w:rPr>
        <w:t xml:space="preserve">. </w:t>
      </w:r>
      <w:r w:rsidR="00A4479A">
        <w:rPr>
          <w:lang w:val="it-IT"/>
        </w:rPr>
        <w:t>È importante definire il documento poiché molti rami dell’ordinamento italiano si basano sulla parola “documento”, come ad esempio l’art. 234 del codice di procedura penale che consente l’acquisizione “</w:t>
      </w:r>
      <w:r w:rsidR="00A4479A" w:rsidRPr="00A4479A">
        <w:rPr>
          <w:lang w:val="it-IT"/>
        </w:rPr>
        <w:t>di scritti o di altri documenti che</w:t>
      </w:r>
      <w:r w:rsidR="00A4479A">
        <w:rPr>
          <w:lang w:val="it-IT"/>
        </w:rPr>
        <w:t xml:space="preserve"> </w:t>
      </w:r>
      <w:r w:rsidR="00A4479A" w:rsidRPr="00A4479A">
        <w:rPr>
          <w:lang w:val="it-IT"/>
        </w:rPr>
        <w:t>rappresentano fatti, persone o cose mediante la fotograﬁa,</w:t>
      </w:r>
      <w:r w:rsidR="00643910">
        <w:rPr>
          <w:lang w:val="it-IT"/>
        </w:rPr>
        <w:t xml:space="preserve"> </w:t>
      </w:r>
      <w:r w:rsidR="00A4479A" w:rsidRPr="00A4479A">
        <w:rPr>
          <w:lang w:val="it-IT"/>
        </w:rPr>
        <w:t>la cinematograﬁa, la fonograﬁa o qualsiasi altro mezzo</w:t>
      </w:r>
      <w:r w:rsidR="00A4479A">
        <w:rPr>
          <w:lang w:val="it-IT"/>
        </w:rPr>
        <w:t xml:space="preserve">”. </w:t>
      </w:r>
    </w:p>
    <w:p w14:paraId="23BF89A4" w14:textId="4297FB0F" w:rsidR="0090207E" w:rsidRDefault="0090207E" w:rsidP="0090207E">
      <w:pPr>
        <w:rPr>
          <w:lang w:val="it-IT"/>
        </w:rPr>
      </w:pPr>
      <w:r>
        <w:rPr>
          <w:lang w:val="it-IT"/>
        </w:rPr>
        <w:lastRenderedPageBreak/>
        <w:t>Natalino Irti definisce il documento come la “</w:t>
      </w:r>
      <w:r w:rsidRPr="0090207E">
        <w:rPr>
          <w:lang w:val="it-IT"/>
        </w:rPr>
        <w:t>res signata (un oggetto percepibile, recante segni), onde è dato</w:t>
      </w:r>
      <w:r>
        <w:rPr>
          <w:lang w:val="it-IT"/>
        </w:rPr>
        <w:t xml:space="preserve"> </w:t>
      </w:r>
      <w:r w:rsidRPr="0090207E">
        <w:rPr>
          <w:lang w:val="it-IT"/>
        </w:rPr>
        <w:t>pronunciare il giudizio di esistenza di un fatto, che sia sussumibile sotto un tipo normativo</w:t>
      </w:r>
      <w:r>
        <w:rPr>
          <w:lang w:val="it-IT"/>
        </w:rPr>
        <w:t>”</w:t>
      </w:r>
      <w:r>
        <w:rPr>
          <w:rStyle w:val="FootnoteReference"/>
          <w:lang w:val="it-IT"/>
        </w:rPr>
        <w:footnoteReference w:id="67"/>
      </w:r>
      <w:r>
        <w:rPr>
          <w:lang w:val="it-IT"/>
        </w:rPr>
        <w:t>.</w:t>
      </w:r>
    </w:p>
    <w:p w14:paraId="5B8754E0" w14:textId="53687245" w:rsidR="0090207E" w:rsidRDefault="0090207E" w:rsidP="0090207E">
      <w:pPr>
        <w:rPr>
          <w:lang w:val="it-IT"/>
        </w:rPr>
      </w:pPr>
      <w:r>
        <w:rPr>
          <w:lang w:val="it-IT"/>
        </w:rPr>
        <w:t>Daniela Di Sabato successivamente invece disse che il documento è “</w:t>
      </w:r>
      <w:r w:rsidRPr="0090207E">
        <w:rPr>
          <w:lang w:val="it-IT"/>
        </w:rPr>
        <w:t>qualsiasi supporto visivo,</w:t>
      </w:r>
      <w:r>
        <w:rPr>
          <w:lang w:val="it-IT"/>
        </w:rPr>
        <w:t xml:space="preserve"> </w:t>
      </w:r>
      <w:r w:rsidRPr="0090207E">
        <w:rPr>
          <w:lang w:val="it-IT"/>
        </w:rPr>
        <w:t>fonico, magnetico o cartaceo sul</w:t>
      </w:r>
      <w:r>
        <w:rPr>
          <w:lang w:val="it-IT"/>
        </w:rPr>
        <w:t xml:space="preserve"> </w:t>
      </w:r>
      <w:r w:rsidRPr="0090207E">
        <w:rPr>
          <w:lang w:val="it-IT"/>
        </w:rPr>
        <w:t>quale sono impressi segni comunicativi in grado di essere percepiti dall’uomo direttamente o</w:t>
      </w:r>
      <w:r>
        <w:rPr>
          <w:lang w:val="it-IT"/>
        </w:rPr>
        <w:t xml:space="preserve"> </w:t>
      </w:r>
      <w:r w:rsidRPr="0090207E">
        <w:rPr>
          <w:lang w:val="it-IT"/>
        </w:rPr>
        <w:t>attraverso l’impiego di particolari strumenti</w:t>
      </w:r>
      <w:r>
        <w:rPr>
          <w:lang w:val="it-IT"/>
        </w:rPr>
        <w:t>”</w:t>
      </w:r>
      <w:r>
        <w:rPr>
          <w:rStyle w:val="FootnoteReference"/>
          <w:lang w:val="it-IT"/>
        </w:rPr>
        <w:footnoteReference w:id="68"/>
      </w:r>
      <w:r w:rsidR="001B4BF1">
        <w:rPr>
          <w:lang w:val="it-IT"/>
        </w:rPr>
        <w:t>.</w:t>
      </w:r>
    </w:p>
    <w:p w14:paraId="68F4A1B9" w14:textId="5AE0D72B" w:rsidR="001B4BF1" w:rsidRDefault="001B4BF1" w:rsidP="001B4BF1">
      <w:pPr>
        <w:rPr>
          <w:lang w:val="it-IT"/>
        </w:rPr>
      </w:pPr>
      <w:r w:rsidRPr="001B4BF1">
        <w:rPr>
          <w:lang w:val="it-IT"/>
        </w:rPr>
        <w:t xml:space="preserve">Ciò che appare essenziale in ciascuna delle </w:t>
      </w:r>
      <w:r>
        <w:rPr>
          <w:lang w:val="it-IT"/>
        </w:rPr>
        <w:t>sopra riportate</w:t>
      </w:r>
      <w:r w:rsidRPr="001B4BF1">
        <w:rPr>
          <w:lang w:val="it-IT"/>
        </w:rPr>
        <w:t xml:space="preserve"> definizioni del documento è da un lato</w:t>
      </w:r>
      <w:r>
        <w:rPr>
          <w:lang w:val="it-IT"/>
        </w:rPr>
        <w:t xml:space="preserve"> </w:t>
      </w:r>
      <w:r w:rsidRPr="001B4BF1">
        <w:rPr>
          <w:lang w:val="it-IT"/>
        </w:rPr>
        <w:t>il supporto fisico, materiale,</w:t>
      </w:r>
      <w:r>
        <w:rPr>
          <w:lang w:val="it-IT"/>
        </w:rPr>
        <w:t xml:space="preserve"> </w:t>
      </w:r>
      <w:r w:rsidRPr="001B4BF1">
        <w:rPr>
          <w:lang w:val="it-IT"/>
        </w:rPr>
        <w:t>destinato ad ospitare ed incorporare la rappresentazione di un</w:t>
      </w:r>
      <w:r>
        <w:rPr>
          <w:lang w:val="it-IT"/>
        </w:rPr>
        <w:t xml:space="preserve"> </w:t>
      </w:r>
      <w:r w:rsidRPr="001B4BF1">
        <w:rPr>
          <w:lang w:val="it-IT"/>
        </w:rPr>
        <w:t>fatto, dall’altro lato l’esistenza</w:t>
      </w:r>
      <w:r>
        <w:rPr>
          <w:lang w:val="it-IT"/>
        </w:rPr>
        <w:t xml:space="preserve"> </w:t>
      </w:r>
      <w:r w:rsidRPr="001B4BF1">
        <w:rPr>
          <w:lang w:val="it-IT"/>
        </w:rPr>
        <w:t>di segni che manifestano una</w:t>
      </w:r>
      <w:r>
        <w:rPr>
          <w:lang w:val="it-IT"/>
        </w:rPr>
        <w:t xml:space="preserve"> </w:t>
      </w:r>
      <w:r w:rsidRPr="001B4BF1">
        <w:rPr>
          <w:lang w:val="it-IT"/>
        </w:rPr>
        <w:t>data realtà esterna giuridicamente rilevante (segni che assumono, nell’ipotesi di documento</w:t>
      </w:r>
      <w:r>
        <w:rPr>
          <w:lang w:val="it-IT"/>
        </w:rPr>
        <w:t xml:space="preserve"> </w:t>
      </w:r>
      <w:r w:rsidRPr="001B4BF1">
        <w:rPr>
          <w:lang w:val="it-IT"/>
        </w:rPr>
        <w:t>grafico, la veste di dichiarazione, ovverossia di un fatto di</w:t>
      </w:r>
      <w:r>
        <w:rPr>
          <w:lang w:val="it-IT"/>
        </w:rPr>
        <w:t xml:space="preserve"> </w:t>
      </w:r>
      <w:r w:rsidRPr="001B4BF1">
        <w:rPr>
          <w:lang w:val="it-IT"/>
        </w:rPr>
        <w:t>linguaggio)</w:t>
      </w:r>
      <w:r>
        <w:rPr>
          <w:lang w:val="it-IT"/>
        </w:rPr>
        <w:t>.</w:t>
      </w:r>
    </w:p>
    <w:p w14:paraId="7EAB742B" w14:textId="1D9BEFF2" w:rsidR="001B4BF1" w:rsidRPr="001B4BF1" w:rsidRDefault="00004AB9" w:rsidP="001B4BF1">
      <w:pPr>
        <w:rPr>
          <w:highlight w:val="yellow"/>
          <w:lang w:val="it-IT"/>
        </w:rPr>
      </w:pPr>
      <w:hyperlink r:id="rId37" w:history="1">
        <w:r w:rsidR="001B4BF1" w:rsidRPr="001B4BF1">
          <w:rPr>
            <w:rStyle w:val="Hyperlink"/>
            <w:highlight w:val="yellow"/>
            <w:lang w:val="it-IT"/>
          </w:rPr>
          <w:t>http://www.gaetanopetrelli.it/catalog/documenti/00000236/Petrelli%20-%20Documento%20informatico,%20contratto%20in%20forma%20elettronica%20e%20atto%20notarile%20-%201997.pdf</w:t>
        </w:r>
      </w:hyperlink>
    </w:p>
    <w:p w14:paraId="5FE29C54" w14:textId="729D648B" w:rsidR="001B4BF1" w:rsidRDefault="00004AB9" w:rsidP="001B4BF1">
      <w:pPr>
        <w:rPr>
          <w:lang w:val="it-IT"/>
        </w:rPr>
      </w:pPr>
      <w:hyperlink r:id="rId38" w:history="1">
        <w:r w:rsidR="001B4BF1" w:rsidRPr="001B4BF1">
          <w:rPr>
            <w:rStyle w:val="Hyperlink"/>
            <w:highlight w:val="yellow"/>
            <w:lang w:val="it-IT"/>
          </w:rPr>
          <w:t>https://www.romagnatech.eu/wp-content/uploads/2019/03/20190416_Blockchain_Avv_EmanueleMansuelli.pdf</w:t>
        </w:r>
      </w:hyperlink>
    </w:p>
    <w:p w14:paraId="4DE525DA" w14:textId="77777777" w:rsidR="001B4BF1" w:rsidRDefault="001B4BF1" w:rsidP="001B4BF1">
      <w:pPr>
        <w:rPr>
          <w:lang w:val="it-IT"/>
        </w:rPr>
      </w:pPr>
    </w:p>
    <w:p w14:paraId="7E7616AE" w14:textId="2C69D9F7" w:rsidR="001B4BF1" w:rsidRDefault="00DB4829" w:rsidP="00643910">
      <w:pPr>
        <w:rPr>
          <w:lang w:val="it-IT"/>
        </w:rPr>
      </w:pPr>
      <w:r>
        <w:rPr>
          <w:lang w:val="it-IT"/>
        </w:rPr>
        <w:t>“</w:t>
      </w:r>
      <w:r w:rsidR="00643910">
        <w:rPr>
          <w:lang w:val="it-IT"/>
        </w:rPr>
        <w:t xml:space="preserve">Nessuno degli autori che si è occupato della materia ha affermato che il supporto materiale del documento debba necessariamente essere un supporto cartaceo: al contrario, è affermazione unanime ed </w:t>
      </w:r>
      <w:r w:rsidR="00643910" w:rsidRPr="00643910">
        <w:rPr>
          <w:lang w:val="it-IT"/>
        </w:rPr>
        <w:t>incontrastata che qualsiasi mat</w:t>
      </w:r>
      <w:r w:rsidR="00643910">
        <w:rPr>
          <w:lang w:val="it-IT"/>
        </w:rPr>
        <w:t xml:space="preserve">eria può costituire la base del </w:t>
      </w:r>
      <w:r w:rsidR="00643910" w:rsidRPr="00643910">
        <w:rPr>
          <w:lang w:val="it-IT"/>
        </w:rPr>
        <w:t>documento</w:t>
      </w:r>
      <w:r w:rsidR="00643910">
        <w:rPr>
          <w:lang w:val="it-IT"/>
        </w:rPr>
        <w:t>.</w:t>
      </w:r>
      <w:r>
        <w:rPr>
          <w:lang w:val="it-IT"/>
        </w:rPr>
        <w:t>”</w:t>
      </w:r>
      <w:r>
        <w:rPr>
          <w:rStyle w:val="FootnoteReference"/>
          <w:lang w:val="it-IT"/>
        </w:rPr>
        <w:footnoteReference w:id="69"/>
      </w:r>
    </w:p>
    <w:p w14:paraId="1B99F05A" w14:textId="1048256A" w:rsidR="00643910" w:rsidRPr="00643910" w:rsidRDefault="00643910" w:rsidP="00643910">
      <w:pPr>
        <w:rPr>
          <w:lang w:val="it-IT"/>
        </w:rPr>
      </w:pPr>
      <w:r>
        <w:rPr>
          <w:lang w:val="it-IT"/>
        </w:rPr>
        <w:t xml:space="preserve">“Poiché il più antico </w:t>
      </w:r>
      <w:r w:rsidRPr="00643910">
        <w:rPr>
          <w:lang w:val="it-IT"/>
        </w:rPr>
        <w:t>e ancora il più diffuso tra i mezzi documentali è l</w:t>
      </w:r>
      <w:r>
        <w:rPr>
          <w:lang w:val="it-IT"/>
        </w:rPr>
        <w:t xml:space="preserve">a scrittura e, oggi, la materia </w:t>
      </w:r>
      <w:r w:rsidRPr="00643910">
        <w:rPr>
          <w:lang w:val="it-IT"/>
        </w:rPr>
        <w:t>sulla quale s</w:t>
      </w:r>
      <w:r>
        <w:rPr>
          <w:lang w:val="it-IT"/>
        </w:rPr>
        <w:t xml:space="preserve">i scrive è la carta, per lo più </w:t>
      </w:r>
      <w:r w:rsidRPr="00643910">
        <w:rPr>
          <w:lang w:val="it-IT"/>
        </w:rPr>
        <w:t>il docume</w:t>
      </w:r>
      <w:r>
        <w:rPr>
          <w:lang w:val="it-IT"/>
        </w:rPr>
        <w:t xml:space="preserve">nto è cartaceo ... Ma il vero è </w:t>
      </w:r>
      <w:r w:rsidRPr="00643910">
        <w:rPr>
          <w:lang w:val="it-IT"/>
        </w:rPr>
        <w:t>che qu</w:t>
      </w:r>
      <w:r>
        <w:rPr>
          <w:lang w:val="it-IT"/>
        </w:rPr>
        <w:t xml:space="preserve">alunque materia, atta a formare </w:t>
      </w:r>
      <w:r w:rsidRPr="00643910">
        <w:rPr>
          <w:lang w:val="it-IT"/>
        </w:rPr>
        <w:t>una co</w:t>
      </w:r>
      <w:r>
        <w:rPr>
          <w:lang w:val="it-IT"/>
        </w:rPr>
        <w:t xml:space="preserve">sa rappresentativa, può entrare </w:t>
      </w:r>
      <w:r w:rsidRPr="00643910">
        <w:rPr>
          <w:lang w:val="it-IT"/>
        </w:rPr>
        <w:t>nel documento: tela, cera, metallo, pietra e via dicendo</w:t>
      </w:r>
      <w:r>
        <w:rPr>
          <w:lang w:val="it-IT"/>
        </w:rPr>
        <w:t>”.</w:t>
      </w:r>
      <w:r>
        <w:rPr>
          <w:rStyle w:val="FootnoteReference"/>
          <w:lang w:val="it-IT"/>
        </w:rPr>
        <w:footnoteReference w:id="70"/>
      </w:r>
    </w:p>
    <w:p w14:paraId="15B840AE" w14:textId="3F84F211" w:rsidR="008D4478" w:rsidRDefault="008D4478" w:rsidP="005C3B1D">
      <w:pPr>
        <w:rPr>
          <w:lang w:val="it-IT"/>
        </w:rPr>
      </w:pPr>
      <w:r>
        <w:rPr>
          <w:lang w:val="it-IT"/>
        </w:rPr>
        <w:t xml:space="preserve">Tuttavia, è possibile risalire a quelli che sono gli elementi essenziali del documento che possono interessare al giurista: </w:t>
      </w:r>
    </w:p>
    <w:p w14:paraId="6A47563B" w14:textId="77DD6290" w:rsidR="00050C47" w:rsidRDefault="00050C47" w:rsidP="005879DB">
      <w:pPr>
        <w:pStyle w:val="ListParagraph"/>
        <w:numPr>
          <w:ilvl w:val="0"/>
          <w:numId w:val="25"/>
        </w:numPr>
        <w:rPr>
          <w:lang w:val="it-IT"/>
        </w:rPr>
      </w:pPr>
      <w:r>
        <w:rPr>
          <w:lang w:val="it-IT"/>
        </w:rPr>
        <w:t>La forma scritta, richiesta per finalità probatorie o per la stessa validità dell’atto giuridico</w:t>
      </w:r>
      <w:r w:rsidR="00D61D3C">
        <w:rPr>
          <w:lang w:val="it-IT"/>
        </w:rPr>
        <w:t xml:space="preserve"> (ad esempio art. 1350 c.c. compravendita immobiliare)</w:t>
      </w:r>
    </w:p>
    <w:p w14:paraId="031B308B" w14:textId="7521273A" w:rsidR="00D61D3C" w:rsidRDefault="00D61D3C" w:rsidP="005879DB">
      <w:pPr>
        <w:pStyle w:val="ListParagraph"/>
        <w:numPr>
          <w:ilvl w:val="0"/>
          <w:numId w:val="25"/>
        </w:numPr>
        <w:rPr>
          <w:lang w:val="it-IT"/>
        </w:rPr>
      </w:pPr>
      <w:r>
        <w:rPr>
          <w:lang w:val="it-IT"/>
        </w:rPr>
        <w:t xml:space="preserve">Il contenuto ovvero l’espressione di una volontà negoziale che dà forma all’atto giuridico estrinsecandolo in una forma scritta </w:t>
      </w:r>
    </w:p>
    <w:p w14:paraId="13EACF8A" w14:textId="0D01F0DC" w:rsidR="00D61D3C" w:rsidRDefault="00D61D3C" w:rsidP="005879DB">
      <w:pPr>
        <w:pStyle w:val="ListParagraph"/>
        <w:numPr>
          <w:ilvl w:val="0"/>
          <w:numId w:val="25"/>
        </w:numPr>
        <w:rPr>
          <w:lang w:val="it-IT"/>
        </w:rPr>
      </w:pPr>
      <w:r>
        <w:rPr>
          <w:lang w:val="it-IT"/>
        </w:rPr>
        <w:t>La sottoscrizione (individua l’autore del documento e la paternità)</w:t>
      </w:r>
    </w:p>
    <w:p w14:paraId="1E81E763" w14:textId="3AD01944" w:rsidR="00D61D3C" w:rsidRDefault="00D61D3C" w:rsidP="005879DB">
      <w:pPr>
        <w:pStyle w:val="ListParagraph"/>
        <w:numPr>
          <w:ilvl w:val="0"/>
          <w:numId w:val="25"/>
        </w:numPr>
        <w:rPr>
          <w:lang w:val="it-IT"/>
        </w:rPr>
      </w:pPr>
      <w:r>
        <w:rPr>
          <w:lang w:val="it-IT"/>
        </w:rPr>
        <w:t>La data (</w:t>
      </w:r>
      <w:r w:rsidRPr="00D61D3C">
        <w:rPr>
          <w:lang w:val="it-IT"/>
        </w:rPr>
        <w:t>che in alcuni casi viene attestata per maggiore sicurezza, es: atti pubblici,</w:t>
      </w:r>
      <w:r>
        <w:rPr>
          <w:lang w:val="it-IT"/>
        </w:rPr>
        <w:t xml:space="preserve"> </w:t>
      </w:r>
      <w:r w:rsidRPr="00D61D3C">
        <w:rPr>
          <w:lang w:val="it-IT"/>
        </w:rPr>
        <w:t>scritture private autenticate</w:t>
      </w:r>
      <w:r>
        <w:rPr>
          <w:lang w:val="it-IT"/>
        </w:rPr>
        <w:t>)</w:t>
      </w:r>
    </w:p>
    <w:p w14:paraId="5C6623A9" w14:textId="4E99781D" w:rsidR="00A74FA3" w:rsidRPr="00A74FA3" w:rsidRDefault="00A74FA3" w:rsidP="00A74FA3">
      <w:pPr>
        <w:rPr>
          <w:lang w:val="it-IT"/>
        </w:rPr>
      </w:pPr>
      <w:r w:rsidRPr="00A74FA3">
        <w:rPr>
          <w:lang w:val="it-IT"/>
        </w:rPr>
        <w:t>N</w:t>
      </w:r>
      <w:r>
        <w:rPr>
          <w:lang w:val="it-IT"/>
        </w:rPr>
        <w:t xml:space="preserve">essuna norma disciplina il tipo </w:t>
      </w:r>
      <w:r w:rsidRPr="00A74FA3">
        <w:rPr>
          <w:lang w:val="it-IT"/>
        </w:rPr>
        <w:t>di linguaggio che occorre utilizz</w:t>
      </w:r>
      <w:r>
        <w:rPr>
          <w:lang w:val="it-IT"/>
        </w:rPr>
        <w:t xml:space="preserve">are per potersi avere scrittura </w:t>
      </w:r>
      <w:r w:rsidRPr="00A74FA3">
        <w:rPr>
          <w:lang w:val="it-IT"/>
        </w:rPr>
        <w:t xml:space="preserve">privata: conseguentemente </w:t>
      </w:r>
      <w:r>
        <w:rPr>
          <w:lang w:val="it-IT"/>
        </w:rPr>
        <w:t xml:space="preserve">si è </w:t>
      </w:r>
      <w:r w:rsidRPr="00A74FA3">
        <w:rPr>
          <w:lang w:val="it-IT"/>
        </w:rPr>
        <w:t>ritenuto, in dottrina e giurisprudenza, che anche il crit</w:t>
      </w:r>
      <w:r>
        <w:rPr>
          <w:lang w:val="it-IT"/>
        </w:rPr>
        <w:t xml:space="preserve">togramma, o messaggio segreto o </w:t>
      </w:r>
      <w:r w:rsidRPr="00A74FA3">
        <w:rPr>
          <w:lang w:val="it-IT"/>
        </w:rPr>
        <w:t>in</w:t>
      </w:r>
      <w:r>
        <w:rPr>
          <w:lang w:val="it-IT"/>
        </w:rPr>
        <w:t xml:space="preserve"> cifra, in quanto sottoscritto, </w:t>
      </w:r>
      <w:r w:rsidRPr="00A74FA3">
        <w:rPr>
          <w:lang w:val="it-IT"/>
        </w:rPr>
        <w:t>sia scrittura privata, astratt</w:t>
      </w:r>
      <w:r>
        <w:rPr>
          <w:lang w:val="it-IT"/>
        </w:rPr>
        <w:t>amente idonea ad essere oggetto di perizia per scoprirne la chiave.</w:t>
      </w:r>
    </w:p>
    <w:p w14:paraId="06288FBA" w14:textId="1FBDD656" w:rsidR="00D61D3C" w:rsidRDefault="009B69D8" w:rsidP="00D61D3C">
      <w:pPr>
        <w:rPr>
          <w:lang w:val="it-IT"/>
        </w:rPr>
      </w:pPr>
      <w:r>
        <w:rPr>
          <w:lang w:val="it-IT"/>
        </w:rPr>
        <w:t xml:space="preserve">L’Italia è stato uno dei primi paesi nel mondo a riconoscere la validità e rilevanza giuridica del documento informatico sancendo il principio di equivalenza con il documento analogico. </w:t>
      </w:r>
    </w:p>
    <w:p w14:paraId="1C50ECF5" w14:textId="71801AAA" w:rsidR="009B69D8" w:rsidRDefault="009B69D8" w:rsidP="00D61D3C">
      <w:pPr>
        <w:rPr>
          <w:lang w:val="it-IT"/>
        </w:rPr>
      </w:pPr>
      <w:r>
        <w:rPr>
          <w:lang w:val="it-IT"/>
        </w:rPr>
        <w:t>Art. 15, comma 2 della Legge 15 marzo 1997 n. 59:</w:t>
      </w:r>
    </w:p>
    <w:p w14:paraId="5A8BDFBF" w14:textId="46DFD5BD" w:rsidR="009B69D8" w:rsidRDefault="009B69D8" w:rsidP="009B69D8">
      <w:pPr>
        <w:rPr>
          <w:lang w:val="it-IT"/>
        </w:rPr>
      </w:pPr>
      <w:r>
        <w:rPr>
          <w:lang w:val="it-IT"/>
        </w:rPr>
        <w:lastRenderedPageBreak/>
        <w:t>“</w:t>
      </w:r>
      <w:r w:rsidRPr="009B69D8">
        <w:rPr>
          <w:lang w:val="it-IT"/>
        </w:rPr>
        <w:t>Gli atti, dati e documenti formati dalla pubblica amministrazione e dai privati con strumenti</w:t>
      </w:r>
      <w:r>
        <w:rPr>
          <w:lang w:val="it-IT"/>
        </w:rPr>
        <w:t xml:space="preserve"> </w:t>
      </w:r>
      <w:r w:rsidRPr="009B69D8">
        <w:rPr>
          <w:lang w:val="it-IT"/>
        </w:rPr>
        <w:t>informatici o telematici, i contratti stipulati nelle medesime forme, nonché la loro archiviazione e</w:t>
      </w:r>
      <w:r>
        <w:rPr>
          <w:lang w:val="it-IT"/>
        </w:rPr>
        <w:t xml:space="preserve"> </w:t>
      </w:r>
      <w:r w:rsidRPr="009B69D8">
        <w:rPr>
          <w:lang w:val="it-IT"/>
        </w:rPr>
        <w:t>trasmissione con strumenti informatici sono validi e rilevanti a tutti gli effetti di legge</w:t>
      </w:r>
      <w:r>
        <w:rPr>
          <w:lang w:val="it-IT"/>
        </w:rPr>
        <w:t>”.</w:t>
      </w:r>
    </w:p>
    <w:p w14:paraId="14178ACE" w14:textId="00ECC6C3" w:rsidR="009B69D8" w:rsidRDefault="009B69D8" w:rsidP="009B69D8">
      <w:pPr>
        <w:rPr>
          <w:lang w:val="it-IT"/>
        </w:rPr>
      </w:pPr>
      <w:r>
        <w:rPr>
          <w:lang w:val="it-IT"/>
        </w:rPr>
        <w:t>Nel 2005 poi si è data una esplicita definizione di documento informatico con l’art. 1 lettera (p) del d.lgs 82/2005 (</w:t>
      </w:r>
      <w:r w:rsidRPr="009B69D8">
        <w:rPr>
          <w:lang w:val="it-IT"/>
        </w:rPr>
        <w:t>Codice dell’Amministrazione Digitale</w:t>
      </w:r>
      <w:r>
        <w:rPr>
          <w:lang w:val="it-IT"/>
        </w:rPr>
        <w:t>):</w:t>
      </w:r>
    </w:p>
    <w:p w14:paraId="1691E123" w14:textId="7961B291" w:rsidR="009B69D8" w:rsidRDefault="009B69D8" w:rsidP="009B69D8">
      <w:pPr>
        <w:rPr>
          <w:lang w:val="it-IT"/>
        </w:rPr>
      </w:pPr>
      <w:r>
        <w:rPr>
          <w:lang w:val="it-IT"/>
        </w:rPr>
        <w:t>“</w:t>
      </w:r>
      <w:r w:rsidR="00B640E7" w:rsidRPr="00B640E7">
        <w:rPr>
          <w:lang w:val="it-IT"/>
        </w:rPr>
        <w:t>il documento elettronico che contiene la rappresentazione informatica di atti, fatti o dati giuridicamente rilevanti</w:t>
      </w:r>
      <w:r w:rsidR="00B640E7">
        <w:rPr>
          <w:lang w:val="it-IT"/>
        </w:rPr>
        <w:t>”.</w:t>
      </w:r>
    </w:p>
    <w:p w14:paraId="340C567E" w14:textId="5458661E" w:rsidR="00B640E7" w:rsidRDefault="00B640E7" w:rsidP="009B69D8">
      <w:pPr>
        <w:rPr>
          <w:lang w:val="it-IT"/>
        </w:rPr>
      </w:pPr>
      <w:r>
        <w:rPr>
          <w:lang w:val="it-IT"/>
        </w:rPr>
        <w:t xml:space="preserve">Nel 2014 è venuto poi in soccorso il regolamento UE n. </w:t>
      </w:r>
      <w:r w:rsidRPr="00B640E7">
        <w:rPr>
          <w:lang w:val="it-IT"/>
        </w:rPr>
        <w:t>910/2014</w:t>
      </w:r>
      <w:r>
        <w:rPr>
          <w:lang w:val="it-IT"/>
        </w:rPr>
        <w:t xml:space="preserve"> (eiDAS) con la definizione di documento elettronico all’art. 3, punto 35 (si ricorda che u</w:t>
      </w:r>
      <w:r w:rsidRPr="00B640E7">
        <w:rPr>
          <w:lang w:val="it-IT"/>
        </w:rPr>
        <w:t>n regolamento è un atto legislativo vincolante. Deve essere applicato in tutti i suoi elementi nell'intera Unione europea</w:t>
      </w:r>
      <w:r>
        <w:rPr>
          <w:lang w:val="it-IT"/>
        </w:rPr>
        <w:t>):</w:t>
      </w:r>
    </w:p>
    <w:p w14:paraId="24D46949" w14:textId="7C5B7417" w:rsidR="00B640E7" w:rsidRDefault="00B640E7" w:rsidP="009B69D8">
      <w:pPr>
        <w:rPr>
          <w:lang w:val="it-IT"/>
        </w:rPr>
      </w:pPr>
      <w:r>
        <w:rPr>
          <w:lang w:val="it-IT"/>
        </w:rPr>
        <w:t>“</w:t>
      </w:r>
      <w:r w:rsidRPr="00B640E7">
        <w:rPr>
          <w:lang w:val="it-IT"/>
        </w:rPr>
        <w:t>qualsiasi contenuto conservato in forma elettronica, in particolare testo o registrazione sonora, visiva o audiovisiva</w:t>
      </w:r>
      <w:r>
        <w:rPr>
          <w:lang w:val="it-IT"/>
        </w:rPr>
        <w:t>”.</w:t>
      </w:r>
    </w:p>
    <w:p w14:paraId="6BABB58B" w14:textId="674A39B5" w:rsidR="00411E9A" w:rsidRDefault="00B640E7" w:rsidP="005C3B1D">
      <w:pPr>
        <w:rPr>
          <w:lang w:val="it-IT"/>
        </w:rPr>
      </w:pPr>
      <w:r>
        <w:rPr>
          <w:lang w:val="it-IT"/>
        </w:rPr>
        <w:t>E lo stesso regolamento precisa all’art. 46</w:t>
      </w:r>
      <w:r w:rsidR="00D8641F">
        <w:rPr>
          <w:lang w:val="it-IT"/>
        </w:rPr>
        <w:t>:</w:t>
      </w:r>
    </w:p>
    <w:p w14:paraId="2594D5A2" w14:textId="622605CE" w:rsidR="00D8641F" w:rsidRDefault="00D8641F" w:rsidP="005C3B1D">
      <w:pPr>
        <w:rPr>
          <w:lang w:val="it-IT"/>
        </w:rPr>
      </w:pPr>
      <w:r>
        <w:rPr>
          <w:lang w:val="it-IT"/>
        </w:rPr>
        <w:t>“</w:t>
      </w:r>
      <w:r w:rsidRPr="00D8641F">
        <w:rPr>
          <w:lang w:val="it-IT"/>
        </w:rPr>
        <w:t>A un documento elettronico non sono negati gli effetti giuridici e l’ammissibilità come prova in procedimenti giudiziali per il solo motivo della sua forma elettronica</w:t>
      </w:r>
      <w:r>
        <w:rPr>
          <w:lang w:val="it-IT"/>
        </w:rPr>
        <w:t>”.</w:t>
      </w:r>
    </w:p>
    <w:p w14:paraId="67B9A313" w14:textId="424DFE58" w:rsidR="00D8641F" w:rsidRDefault="00CA7658" w:rsidP="00CA7658">
      <w:pPr>
        <w:pStyle w:val="Heading4"/>
        <w:rPr>
          <w:lang w:val="it-IT"/>
        </w:rPr>
      </w:pPr>
      <w:r>
        <w:rPr>
          <w:lang w:val="it-IT"/>
        </w:rPr>
        <w:t>Esenzioni</w:t>
      </w:r>
    </w:p>
    <w:p w14:paraId="45233E33" w14:textId="31349E38" w:rsidR="00CA7658" w:rsidRPr="00CA7658" w:rsidRDefault="00CA7658" w:rsidP="00CA7658">
      <w:pPr>
        <w:rPr>
          <w:lang w:val="it-IT"/>
        </w:rPr>
      </w:pPr>
      <w:r w:rsidRPr="00CA7658">
        <w:rPr>
          <w:lang w:val="it-IT"/>
        </w:rPr>
        <w:t>Il regolamento (UE) 2017/1129 (il regolamento Prospetto), integrato dai regolamenti delegati (UE) 2019/979, 2019/980 e 2019/528, punta ad aiutare le imprese, comprese le piccole e medie imprese (PMI), ad accedere a differenti forme di finanziam</w:t>
      </w:r>
      <w:r>
        <w:rPr>
          <w:lang w:val="it-IT"/>
        </w:rPr>
        <w:t>ento nell’Unione europea</w:t>
      </w:r>
      <w:r w:rsidRPr="00CA7658">
        <w:rPr>
          <w:lang w:val="it-IT"/>
        </w:rPr>
        <w:t>.</w:t>
      </w:r>
      <w:r>
        <w:rPr>
          <w:lang w:val="it-IT"/>
        </w:rPr>
        <w:t xml:space="preserve"> </w:t>
      </w:r>
      <w:r w:rsidRPr="00CA7658">
        <w:rPr>
          <w:lang w:val="it-IT"/>
        </w:rPr>
        <w:t>Ciò avviene attraverso la semplificazione e l’ottimizzazione delle disposizioni e delle procedure per la redazione l’approvazione e la distribuzione del prospetto che pu</w:t>
      </w:r>
      <w:r>
        <w:rPr>
          <w:lang w:val="it-IT"/>
        </w:rPr>
        <w:t>bblicano quando emettono titoli</w:t>
      </w:r>
      <w:r w:rsidRPr="00CA7658">
        <w:rPr>
          <w:lang w:val="it-IT"/>
        </w:rPr>
        <w:t xml:space="preserve"> tramite offerta pubblica o ammissione alla negoziazione di titoli in un mercato regolamentato.</w:t>
      </w:r>
    </w:p>
    <w:p w14:paraId="0D4C8A6B" w14:textId="108B2872" w:rsidR="008D4478" w:rsidRDefault="00CA7658" w:rsidP="005C3B1D">
      <w:pPr>
        <w:rPr>
          <w:lang w:val="it-IT"/>
        </w:rPr>
      </w:pPr>
      <w:r>
        <w:rPr>
          <w:lang w:val="it-IT"/>
        </w:rPr>
        <w:t>Il regolamento:</w:t>
      </w:r>
    </w:p>
    <w:p w14:paraId="0EEE6517" w14:textId="7DBEADC0" w:rsidR="00CA7658" w:rsidRPr="00CA7658" w:rsidRDefault="00CA7658" w:rsidP="005879DB">
      <w:pPr>
        <w:pStyle w:val="ListParagraph"/>
        <w:numPr>
          <w:ilvl w:val="0"/>
          <w:numId w:val="30"/>
        </w:numPr>
        <w:rPr>
          <w:lang w:val="it-IT"/>
        </w:rPr>
      </w:pPr>
      <w:r w:rsidRPr="00CA7658">
        <w:rPr>
          <w:lang w:val="it-IT"/>
        </w:rPr>
        <w:t xml:space="preserve">elimina la necessità del prospetto per tutte le offerte di titoli al pubblico, compresi i progetti in crowdfunding (raccolta di fondi da un gruppo numeroso di persone, spesso </w:t>
      </w:r>
      <w:r>
        <w:rPr>
          <w:lang w:val="it-IT"/>
        </w:rPr>
        <w:t>tramite internet) inferiori a 1,000,000 EUR</w:t>
      </w:r>
    </w:p>
    <w:p w14:paraId="27D7A31A" w14:textId="02FA1FA0" w:rsidR="00CA7658" w:rsidRPr="00CA7658" w:rsidRDefault="00CA7658" w:rsidP="005879DB">
      <w:pPr>
        <w:pStyle w:val="ListParagraph"/>
        <w:numPr>
          <w:ilvl w:val="0"/>
          <w:numId w:val="30"/>
        </w:numPr>
        <w:rPr>
          <w:lang w:val="it-IT"/>
        </w:rPr>
      </w:pPr>
      <w:r w:rsidRPr="00CA7658">
        <w:rPr>
          <w:lang w:val="it-IT"/>
        </w:rPr>
        <w:t>consente agli Stati membri di esentar</w:t>
      </w:r>
      <w:r>
        <w:rPr>
          <w:lang w:val="it-IT"/>
        </w:rPr>
        <w:t>e le offerte di titoli fino a 8,</w:t>
      </w:r>
      <w:r w:rsidRPr="00CA7658">
        <w:rPr>
          <w:lang w:val="it-IT"/>
        </w:rPr>
        <w:t>000</w:t>
      </w:r>
      <w:r>
        <w:rPr>
          <w:lang w:val="it-IT"/>
        </w:rPr>
        <w:t>,</w:t>
      </w:r>
      <w:r w:rsidRPr="00CA7658">
        <w:rPr>
          <w:lang w:val="it-IT"/>
        </w:rPr>
        <w:t>000 EUR dall’obbligo di un prospetto, a condizione che non siano subord</w:t>
      </w:r>
      <w:r>
        <w:rPr>
          <w:lang w:val="it-IT"/>
        </w:rPr>
        <w:t>inate a notifica («passaporto»)</w:t>
      </w:r>
    </w:p>
    <w:p w14:paraId="459B5BAE" w14:textId="509BEC1B" w:rsidR="00CA7658" w:rsidRDefault="00CA7658" w:rsidP="005879DB">
      <w:pPr>
        <w:pStyle w:val="ListParagraph"/>
        <w:numPr>
          <w:ilvl w:val="0"/>
          <w:numId w:val="30"/>
        </w:numPr>
        <w:rPr>
          <w:lang w:val="it-IT"/>
        </w:rPr>
      </w:pPr>
      <w:r w:rsidRPr="00CA7658">
        <w:rPr>
          <w:lang w:val="it-IT"/>
        </w:rPr>
        <w:t xml:space="preserve">consente alle società che emettono titoli frequentemente di usufruire del documento di registrazione universale per ottenere l’approvazione in tempi rapidi da parte dei </w:t>
      </w:r>
      <w:r>
        <w:rPr>
          <w:lang w:val="it-IT"/>
        </w:rPr>
        <w:t>supervisori entro cinque giorni</w:t>
      </w:r>
    </w:p>
    <w:p w14:paraId="08BD9D62" w14:textId="7AE125FE" w:rsidR="00CA7658" w:rsidRDefault="00E41AB1" w:rsidP="00CA7658">
      <w:pPr>
        <w:rPr>
          <w:lang w:val="it-IT"/>
        </w:rPr>
      </w:pPr>
      <w:r>
        <w:rPr>
          <w:lang w:val="it-IT"/>
        </w:rPr>
        <w:t xml:space="preserve">La Consob ha emanato in data </w:t>
      </w:r>
      <w:r w:rsidRPr="00E41AB1">
        <w:rPr>
          <w:lang w:val="it-IT"/>
        </w:rPr>
        <w:t>20 novembre 2018</w:t>
      </w:r>
      <w:r>
        <w:rPr>
          <w:lang w:val="it-IT"/>
        </w:rPr>
        <w:t xml:space="preserve"> la delibera </w:t>
      </w:r>
      <w:r w:rsidRPr="00E41AB1">
        <w:rPr>
          <w:lang w:val="it-IT"/>
        </w:rPr>
        <w:t>n. 20686/2018 che modifica il Regolamento n. 11971/99 (“Regolamento Emittenti”) con riferimento alla soglia di esenzione dall’obbligo di pubblicazione di un prospetto informativo per le offerte al pubblico, che è stata incrementata a 8 milioni di euro.</w:t>
      </w:r>
    </w:p>
    <w:p w14:paraId="2A7B6FA5" w14:textId="187E2CB5" w:rsidR="00E41AB1" w:rsidRDefault="00E41AB1" w:rsidP="00CA7658">
      <w:pPr>
        <w:rPr>
          <w:lang w:val="it-IT"/>
        </w:rPr>
      </w:pPr>
      <w:r>
        <w:rPr>
          <w:lang w:val="it-IT"/>
        </w:rPr>
        <w:t xml:space="preserve">In tale delibera la Consob ha modificato </w:t>
      </w:r>
      <w:r w:rsidRPr="00E41AB1">
        <w:rPr>
          <w:lang w:val="it-IT"/>
        </w:rPr>
        <w:t>l’articolo 72, comma 1-bis del Regolamento Emittenti e integra</w:t>
      </w:r>
      <w:r>
        <w:rPr>
          <w:lang w:val="it-IT"/>
        </w:rPr>
        <w:t>to</w:t>
      </w:r>
      <w:r w:rsidRPr="00E41AB1">
        <w:rPr>
          <w:lang w:val="it-IT"/>
        </w:rPr>
        <w:t xml:space="preserve"> lo schema 2 dell’Allegato 3A al Regolamento Emittenti, prevedendo che nella relazione illustrativa dell’organo amministrativo preliminare alla delibera di aumento di capitale mediante offerta al pubblico per un importo inferiore a 8 milioni di euro siano incluse anche le seguenti informazioni:</w:t>
      </w:r>
    </w:p>
    <w:p w14:paraId="3B85D5C0" w14:textId="4D5EECE8" w:rsidR="00E41AB1" w:rsidRDefault="00E41AB1" w:rsidP="005879DB">
      <w:pPr>
        <w:pStyle w:val="ListParagraph"/>
        <w:numPr>
          <w:ilvl w:val="0"/>
          <w:numId w:val="31"/>
        </w:numPr>
        <w:rPr>
          <w:lang w:val="it-IT"/>
        </w:rPr>
      </w:pPr>
      <w:r>
        <w:rPr>
          <w:lang w:val="it-IT"/>
        </w:rPr>
        <w:t xml:space="preserve">La stima a data aggiornata del capitale circolante netto dell’emittente o del gruppo (inteso come differenza tra attivo corrente e passivo corrente), determinata senza tener conto dei proventi o degli effetti (ad es. conversione di debiti in capitale) rivenienti dall’operazione in parola. La stima del capitale circolante netto potrà essere riferita all’ultima rendicontazione contabile approvata </w:t>
      </w:r>
      <w:r>
        <w:rPr>
          <w:lang w:val="it-IT"/>
        </w:rPr>
        <w:lastRenderedPageBreak/>
        <w:t>dall’emittente; in tal caso, riportare una dichiarazione, anche con formulazione negativa, in merito alle variazioni significative eventualmente intervenute successivamente</w:t>
      </w:r>
    </w:p>
    <w:p w14:paraId="75B02CCF" w14:textId="11D75C99" w:rsidR="00E41AB1" w:rsidRDefault="00E41AB1" w:rsidP="005879DB">
      <w:pPr>
        <w:pStyle w:val="ListParagraph"/>
        <w:numPr>
          <w:ilvl w:val="0"/>
          <w:numId w:val="31"/>
        </w:numPr>
        <w:rPr>
          <w:lang w:val="it-IT"/>
        </w:rPr>
      </w:pPr>
      <w:r>
        <w:rPr>
          <w:lang w:val="it-IT"/>
        </w:rPr>
        <w:t xml:space="preserve">La stima del fabbisogno finanziario netto dell’emittente o del gruppo, ulteriore a quello eventualmente connesso al precedente punto 1, per i dodici mesi successivi alla data prevista di inizio dell’offerta, determinata senza tener conto dei proventi o degli rivenienti dalla citata operazione </w:t>
      </w:r>
    </w:p>
    <w:p w14:paraId="0E0823C4" w14:textId="0EAB03E9" w:rsidR="00E41AB1" w:rsidRDefault="00E41AB1" w:rsidP="005879DB">
      <w:pPr>
        <w:pStyle w:val="ListParagraph"/>
        <w:numPr>
          <w:ilvl w:val="0"/>
          <w:numId w:val="31"/>
        </w:numPr>
        <w:rPr>
          <w:lang w:val="it-IT"/>
        </w:rPr>
      </w:pPr>
      <w:r>
        <w:rPr>
          <w:lang w:val="it-IT"/>
        </w:rPr>
        <w:t>L</w:t>
      </w:r>
      <w:r w:rsidRPr="00E41AB1">
        <w:rPr>
          <w:lang w:val="it-IT"/>
        </w:rPr>
        <w:t>a descrizione delle modalità di finanziamento del fabbisogno finanziario complessivo di cui ai suddetti punti 1 e 2. In particolare devono essere fornite le considerazioni degli amministratori circa la congruità dei proventi netti per cassa rivenienti dall’offerta in parola rispetto al citato fabbisogno finanziario complessivo dell’emittente o del gruppo. Ove le risorse rivenienti dall’offerta siano inferiori rispetto al complessivo fabbisogno finanziario corrente del gruppo, deve essere fornita la descrizione degli ulteriori interventi previsti/posti in essere per fronteggiare gli impegni a br</w:t>
      </w:r>
      <w:r>
        <w:rPr>
          <w:lang w:val="it-IT"/>
        </w:rPr>
        <w:t>eve dell’emittente o del gruppo</w:t>
      </w:r>
    </w:p>
    <w:p w14:paraId="27A19D07" w14:textId="458542F2" w:rsidR="00E41AB1" w:rsidRDefault="00E41AB1" w:rsidP="005879DB">
      <w:pPr>
        <w:pStyle w:val="ListParagraph"/>
        <w:numPr>
          <w:ilvl w:val="0"/>
          <w:numId w:val="31"/>
        </w:numPr>
        <w:rPr>
          <w:lang w:val="it-IT"/>
        </w:rPr>
      </w:pPr>
      <w:r w:rsidRPr="00E41AB1">
        <w:rPr>
          <w:lang w:val="it-IT"/>
        </w:rPr>
        <w:t>le destinazioni, per quanto possibile in ordine di priorità, dei proventi dell’operazione ulteriori rispetto a quella funzionale alla copertura del citato f</w:t>
      </w:r>
      <w:r>
        <w:rPr>
          <w:lang w:val="it-IT"/>
        </w:rPr>
        <w:t>abbisogno finanziario corrente.</w:t>
      </w:r>
    </w:p>
    <w:p w14:paraId="51C1B3D9" w14:textId="02347E90" w:rsidR="00E41AB1" w:rsidRDefault="00E41AB1" w:rsidP="00E41AB1">
      <w:pPr>
        <w:rPr>
          <w:lang w:val="it-IT"/>
        </w:rPr>
      </w:pPr>
      <w:r w:rsidRPr="00E41AB1">
        <w:rPr>
          <w:lang w:val="it-IT"/>
        </w:rPr>
        <w:t>Nei casi in cui le operazioni siano deliberate da organi diversi dall’assemblea dei soci, è previsto inoltre che le informazioni vengano fornite altresì nei comunicati price sensitive diffusi ad esito delle delibere del relativo organo.</w:t>
      </w:r>
    </w:p>
    <w:p w14:paraId="32E80BC4" w14:textId="397677C3" w:rsidR="00B2234A" w:rsidRDefault="00B2234A" w:rsidP="00B2234A">
      <w:pPr>
        <w:pStyle w:val="Heading4"/>
        <w:rPr>
          <w:lang w:val="it-IT"/>
        </w:rPr>
      </w:pPr>
      <w:r>
        <w:rPr>
          <w:lang w:val="it-IT"/>
        </w:rPr>
        <w:t>Crowdfunding</w:t>
      </w:r>
    </w:p>
    <w:p w14:paraId="10DD49E6" w14:textId="1468B474" w:rsidR="00B2234A" w:rsidRDefault="00B2234A" w:rsidP="00B2234A">
      <w:pPr>
        <w:rPr>
          <w:lang w:val="it-IT"/>
        </w:rPr>
      </w:pPr>
    </w:p>
    <w:p w14:paraId="0FDF8CF3" w14:textId="002FC76D" w:rsidR="00B2234A" w:rsidRDefault="00B2234A" w:rsidP="00B2234A">
      <w:pPr>
        <w:rPr>
          <w:lang w:val="it-IT"/>
        </w:rPr>
      </w:pPr>
      <w:r>
        <w:rPr>
          <w:lang w:val="it-IT"/>
        </w:rPr>
        <w:t xml:space="preserve">L’Italia è stato il primo paese in Europa </w:t>
      </w:r>
      <w:r w:rsidRPr="00B2234A">
        <w:rPr>
          <w:lang w:val="it-IT"/>
        </w:rPr>
        <w:t>essersi dotato di una normativa specifica e organica relativa al solo equity crowdfunding.</w:t>
      </w:r>
      <w:r>
        <w:rPr>
          <w:lang w:val="it-IT"/>
        </w:rPr>
        <w:t xml:space="preserve"> </w:t>
      </w:r>
      <w:r w:rsidRPr="00B2234A">
        <w:rPr>
          <w:lang w:val="it-IT"/>
        </w:rPr>
        <w:t>Nella maggior parte dei Paesi in cui operano portali di crowdfunding il fenomeno non è soggetto a regolamentazione ed è fatto pertanto rientrare nell'ambito di applicazione di discipline già esistenti (appello al pubblico risparmio, servizi di pagamento, etc.).</w:t>
      </w:r>
    </w:p>
    <w:p w14:paraId="3EED67B8" w14:textId="6FBD5327" w:rsidR="00B2234A" w:rsidRDefault="00B2234A" w:rsidP="00B2234A">
      <w:pPr>
        <w:rPr>
          <w:lang w:val="it-IT"/>
        </w:rPr>
      </w:pPr>
      <w:r w:rsidRPr="00B2234A">
        <w:rPr>
          <w:lang w:val="it-IT"/>
        </w:rPr>
        <w:t>È noto come il tessuto produttivo italiano sia fondato sulle piccole imprese. Sono anche note le difficoltà che incontrano queste imprese, soprattutto dopo la crisi del 2008, a ottenere finanziamenti dalle banche. Difficoltà ancora maggiori riscontrano le imprese neo costituite, meglio conosciute come start-up.</w:t>
      </w:r>
    </w:p>
    <w:p w14:paraId="1C7A0C91" w14:textId="47B14F0E" w:rsidR="00B2234A" w:rsidRPr="00B2234A" w:rsidRDefault="00B2234A" w:rsidP="00B2234A">
      <w:pPr>
        <w:rPr>
          <w:lang w:val="it-IT"/>
        </w:rPr>
      </w:pPr>
      <w:r w:rsidRPr="00B2234A">
        <w:rPr>
          <w:lang w:val="it-IT"/>
        </w:rPr>
        <w:t xml:space="preserve">Proprio a un particolare tipo di start-up (quelle innovative) sono dedicate alcune norme introdotte dal decreto legge n. 179/2012 (convertito nella legge 17 dicembre 2012, n. 221) recante "Ulteriori misure urgenti per la crescita del Paese" (noto anche come "Decreto crescita bis"). Lo stesso titolo del "Decreto crescita bis" aiuta a capire è stato adottato con lo scopo di fornire uno stimolo alla crescita economica </w:t>
      </w:r>
      <w:r>
        <w:rPr>
          <w:lang w:val="it-IT"/>
        </w:rPr>
        <w:t>italiana</w:t>
      </w:r>
      <w:r w:rsidRPr="00B2234A">
        <w:rPr>
          <w:lang w:val="it-IT"/>
        </w:rPr>
        <w:t>. Nel complessivo disegno del legislatore, l'equity crowdfunding è visto come uno strumento che può favorire lo sviluppo delle start-up innovative attraverso regole e modalità di finanziamento in grado di sfrutta</w:t>
      </w:r>
      <w:r>
        <w:rPr>
          <w:lang w:val="it-IT"/>
        </w:rPr>
        <w:t>re le potenzialità di internet.</w:t>
      </w:r>
    </w:p>
    <w:p w14:paraId="4D2BEB4A" w14:textId="1140C848" w:rsidR="00B2234A" w:rsidRDefault="00B2234A" w:rsidP="00B2234A">
      <w:pPr>
        <w:rPr>
          <w:lang w:val="it-IT"/>
        </w:rPr>
      </w:pPr>
      <w:r w:rsidRPr="00B2234A">
        <w:rPr>
          <w:lang w:val="it-IT"/>
        </w:rPr>
        <w:t>Il Decreto ha delegato alla Consob il compito di disciplinare alcuni specifici aspetti del fenomeno con l'obiettivo di creare un "ambiente" affidabile in grado, cioè, di creare fiducia negli investitori. La Consob ha adottato il nuovo regolamento il 26 giugno 2013.</w:t>
      </w:r>
    </w:p>
    <w:p w14:paraId="5964CA6E" w14:textId="4E849EEF" w:rsidR="00B2234A" w:rsidRDefault="00B2234A" w:rsidP="00B2234A">
      <w:pPr>
        <w:rPr>
          <w:lang w:val="it-IT"/>
        </w:rPr>
      </w:pPr>
      <w:r>
        <w:rPr>
          <w:lang w:val="it-IT"/>
        </w:rPr>
        <w:t xml:space="preserve">L’art. 30 del </w:t>
      </w:r>
      <w:r w:rsidRPr="00B2234A">
        <w:rPr>
          <w:lang w:val="it-IT"/>
        </w:rPr>
        <w:t>Decreto-Legge 18 ottobre 2012, n. 179</w:t>
      </w:r>
      <w:r>
        <w:rPr>
          <w:lang w:val="it-IT"/>
        </w:rPr>
        <w:t xml:space="preserve"> inserisce nel TUF (</w:t>
      </w:r>
      <w:r w:rsidRPr="00B2234A">
        <w:rPr>
          <w:lang w:val="it-IT"/>
        </w:rPr>
        <w:t>Decreto legislativo 24 febbraio 1998, n. 58</w:t>
      </w:r>
      <w:r>
        <w:rPr>
          <w:lang w:val="it-IT"/>
        </w:rPr>
        <w:t xml:space="preserve">) l’art. 100-ter riguardante le offerte </w:t>
      </w:r>
      <w:r w:rsidRPr="00B2234A">
        <w:rPr>
          <w:lang w:val="it-IT"/>
        </w:rPr>
        <w:t>attraverso portali per la raccolta di capitali</w:t>
      </w:r>
      <w:r>
        <w:rPr>
          <w:lang w:val="it-IT"/>
        </w:rPr>
        <w:t xml:space="preserve"> recante la seguente disposizione:</w:t>
      </w:r>
    </w:p>
    <w:p w14:paraId="50D20905" w14:textId="16CD0586" w:rsidR="00B2234A" w:rsidRDefault="00B2234A" w:rsidP="00B2234A">
      <w:pPr>
        <w:rPr>
          <w:lang w:val="it-IT"/>
        </w:rPr>
      </w:pPr>
      <w:r>
        <w:rPr>
          <w:lang w:val="it-IT"/>
        </w:rPr>
        <w:t xml:space="preserve">“1. </w:t>
      </w:r>
      <w:r w:rsidRPr="00B2234A">
        <w:rPr>
          <w:lang w:val="it-IT"/>
        </w:rPr>
        <w:t>Le offerte al pubblico condotte attraverso uno o più port</w:t>
      </w:r>
      <w:r>
        <w:rPr>
          <w:lang w:val="it-IT"/>
        </w:rPr>
        <w:t xml:space="preserve">ali per la raccolta di capitali </w:t>
      </w:r>
      <w:r w:rsidRPr="00B2234A">
        <w:rPr>
          <w:lang w:val="it-IT"/>
        </w:rPr>
        <w:t>possono avere ad oggetto soltanto la sottoscrizione di strumenti fi</w:t>
      </w:r>
      <w:r>
        <w:rPr>
          <w:lang w:val="it-IT"/>
        </w:rPr>
        <w:t xml:space="preserve">nanziari emessi dalle piccole e </w:t>
      </w:r>
      <w:r w:rsidRPr="00B2234A">
        <w:rPr>
          <w:lang w:val="it-IT"/>
        </w:rPr>
        <w:t>medie imprese, come definite dall’articolo 61, comma 1, lettera h)</w:t>
      </w:r>
      <w:r>
        <w:rPr>
          <w:lang w:val="it-IT"/>
        </w:rPr>
        <w:t xml:space="preserve">, dalle imprese sociali e dagli </w:t>
      </w:r>
      <w:r w:rsidRPr="00B2234A">
        <w:rPr>
          <w:lang w:val="it-IT"/>
        </w:rPr>
        <w:t>organismi di investimento collettivo del risparmio o altre società di capitali che investono</w:t>
      </w:r>
      <w:r>
        <w:rPr>
          <w:lang w:val="it-IT"/>
        </w:rPr>
        <w:t xml:space="preserve"> </w:t>
      </w:r>
      <w:r w:rsidRPr="00B2234A">
        <w:rPr>
          <w:lang w:val="it-IT"/>
        </w:rPr>
        <w:t xml:space="preserve">prevalentemente in piccole e medie </w:t>
      </w:r>
      <w:r w:rsidRPr="00B2234A">
        <w:rPr>
          <w:lang w:val="it-IT"/>
        </w:rPr>
        <w:lastRenderedPageBreak/>
        <w:t>imprese. Le offerte relative a</w:t>
      </w:r>
      <w:r>
        <w:rPr>
          <w:lang w:val="it-IT"/>
        </w:rPr>
        <w:t xml:space="preserve"> strumenti finanziari emessi da </w:t>
      </w:r>
      <w:r w:rsidRPr="00B2234A">
        <w:rPr>
          <w:lang w:val="it-IT"/>
        </w:rPr>
        <w:t>piccole e medie imprese devono avere un corrispettivo totale inferiore a quello</w:t>
      </w:r>
      <w:r>
        <w:rPr>
          <w:lang w:val="it-IT"/>
        </w:rPr>
        <w:t xml:space="preserve"> determinato dalla </w:t>
      </w:r>
      <w:r w:rsidRPr="00B2234A">
        <w:rPr>
          <w:lang w:val="it-IT"/>
        </w:rPr>
        <w:t>Consob ai sensi dell’articolo 100, comma 3, lettera c</w:t>
      </w:r>
      <w:r>
        <w:rPr>
          <w:lang w:val="it-IT"/>
        </w:rPr>
        <w:t>.”</w:t>
      </w:r>
    </w:p>
    <w:p w14:paraId="52599EC6" w14:textId="2650FA6F" w:rsidR="00DB68B1" w:rsidRDefault="00DB68B1" w:rsidP="00B2234A">
      <w:pPr>
        <w:rPr>
          <w:lang w:val="it-IT"/>
        </w:rPr>
      </w:pPr>
      <w:r>
        <w:rPr>
          <w:lang w:val="it-IT"/>
        </w:rPr>
        <w:t xml:space="preserve">Inoltre, come indicato dall’art. 24, comma 2 e 2-ter, del </w:t>
      </w:r>
      <w:r w:rsidRPr="00DB68B1">
        <w:rPr>
          <w:lang w:val="it-IT"/>
        </w:rPr>
        <w:t>Regolamento Consob n. 18592/2013</w:t>
      </w:r>
      <w:r>
        <w:rPr>
          <w:lang w:val="it-IT"/>
        </w:rPr>
        <w:t xml:space="preserve"> una campagna di crowdfunding, per essere valida, </w:t>
      </w:r>
      <w:r w:rsidRPr="00DB68B1">
        <w:rPr>
          <w:lang w:val="it-IT"/>
        </w:rPr>
        <w:t>deve essere sottoscritta per almeno il 5% dell'importo da parte di investitori istituzionali (banche, fondi di investimento, fondazioni, incubatori e simili). Tuttavia per le «offerte effettuate da piccole e medie imprese in possesso della certificazione del bilancio e dell'eventuale bilancio consolidato, relativi agli ultimi due esercizi precedenti l'offerta, redatti da un revisore contabile o da una società di revisione iscritta nel re</w:t>
      </w:r>
      <w:r>
        <w:rPr>
          <w:lang w:val="it-IT"/>
        </w:rPr>
        <w:t>gistro dei revisori contabili»</w:t>
      </w:r>
      <w:r w:rsidRPr="00DB68B1">
        <w:rPr>
          <w:lang w:val="it-IT"/>
        </w:rPr>
        <w:t xml:space="preserve"> tale soglia è stata ridotta al 3%</w:t>
      </w:r>
      <w:r>
        <w:rPr>
          <w:lang w:val="it-IT"/>
        </w:rPr>
        <w:t>.</w:t>
      </w:r>
    </w:p>
    <w:p w14:paraId="27379186" w14:textId="1C3DE8C7" w:rsidR="00B2234A" w:rsidRDefault="00B2234A" w:rsidP="00B2234A">
      <w:pPr>
        <w:rPr>
          <w:lang w:val="it-IT"/>
        </w:rPr>
      </w:pPr>
      <w:r>
        <w:rPr>
          <w:lang w:val="it-IT"/>
        </w:rPr>
        <w:t>Le piccole e medie imprese ai fini della disposizione su citata si definiscono nel seguente modo:</w:t>
      </w:r>
    </w:p>
    <w:p w14:paraId="0E17DB1C" w14:textId="523D1FC5" w:rsidR="00B2234A" w:rsidRDefault="00B2234A" w:rsidP="005879DB">
      <w:pPr>
        <w:pStyle w:val="ListParagraph"/>
        <w:numPr>
          <w:ilvl w:val="0"/>
          <w:numId w:val="32"/>
        </w:numPr>
        <w:rPr>
          <w:lang w:val="it-IT"/>
        </w:rPr>
      </w:pPr>
      <w:r w:rsidRPr="00B2234A">
        <w:rPr>
          <w:lang w:val="it-IT"/>
        </w:rPr>
        <w:t>società che in base al loro più recente bilancio annuale o consolidato soddisfino almeno due dei tre criteri seguenti:</w:t>
      </w:r>
      <w:r>
        <w:rPr>
          <w:lang w:val="it-IT"/>
        </w:rPr>
        <w:t xml:space="preserve"> </w:t>
      </w:r>
      <w:r w:rsidRPr="00B2234A">
        <w:rPr>
          <w:lang w:val="it-IT"/>
        </w:rPr>
        <w:t>numero medio di dipendenti nel corso dell’esercizio inferiore a 250, totale dello st</w:t>
      </w:r>
      <w:r>
        <w:rPr>
          <w:lang w:val="it-IT"/>
        </w:rPr>
        <w:t>ato patrimoniale non superiore a €43,000,</w:t>
      </w:r>
      <w:r w:rsidRPr="00B2234A">
        <w:rPr>
          <w:lang w:val="it-IT"/>
        </w:rPr>
        <w:t>000 EUR e fatturato n</w:t>
      </w:r>
      <w:r>
        <w:rPr>
          <w:lang w:val="it-IT"/>
        </w:rPr>
        <w:t>etto annuale non superiore a €50,000,</w:t>
      </w:r>
      <w:r w:rsidRPr="00B2234A">
        <w:rPr>
          <w:lang w:val="it-IT"/>
        </w:rPr>
        <w:t>000</w:t>
      </w:r>
      <w:r>
        <w:rPr>
          <w:lang w:val="it-IT"/>
        </w:rPr>
        <w:t>; oppure</w:t>
      </w:r>
    </w:p>
    <w:p w14:paraId="0F27DAF7" w14:textId="273A2CF8" w:rsidR="00B2234A" w:rsidRDefault="00B2234A" w:rsidP="005879DB">
      <w:pPr>
        <w:pStyle w:val="ListParagraph"/>
        <w:numPr>
          <w:ilvl w:val="0"/>
          <w:numId w:val="32"/>
        </w:numPr>
        <w:rPr>
          <w:lang w:val="it-IT"/>
        </w:rPr>
      </w:pPr>
      <w:r w:rsidRPr="00B2234A">
        <w:rPr>
          <w:lang w:val="it-IT"/>
        </w:rPr>
        <w:t>un’impresa che ha una capitalizzazione</w:t>
      </w:r>
      <w:r>
        <w:rPr>
          <w:lang w:val="it-IT"/>
        </w:rPr>
        <w:t xml:space="preserve"> di borsa media inferiore a €200,000,</w:t>
      </w:r>
      <w:r w:rsidRPr="00B2234A">
        <w:rPr>
          <w:lang w:val="it-IT"/>
        </w:rPr>
        <w:t>00</w:t>
      </w:r>
      <w:r>
        <w:rPr>
          <w:lang w:val="it-IT"/>
        </w:rPr>
        <w:t xml:space="preserve">0 sulla </w:t>
      </w:r>
      <w:r w:rsidRPr="00B2234A">
        <w:rPr>
          <w:lang w:val="it-IT"/>
        </w:rPr>
        <w:t>base delle quotazioni di fine anno dei tre precedenti anni civili;</w:t>
      </w:r>
    </w:p>
    <w:p w14:paraId="7A6AAEE8" w14:textId="2A4CD762" w:rsidR="00671B59" w:rsidRDefault="00671B59" w:rsidP="00671B59">
      <w:pPr>
        <w:rPr>
          <w:lang w:val="it-IT"/>
        </w:rPr>
      </w:pPr>
      <w:r>
        <w:rPr>
          <w:lang w:val="it-IT"/>
        </w:rPr>
        <w:t>L’art. 50-quinquies del TUF si riferisce ai gestori</w:t>
      </w:r>
      <w:r w:rsidRPr="00671B59">
        <w:rPr>
          <w:lang w:val="it-IT"/>
        </w:rPr>
        <w:t xml:space="preserve"> di portali per la raccolta di capitali</w:t>
      </w:r>
      <w:r>
        <w:rPr>
          <w:lang w:val="it-IT"/>
        </w:rPr>
        <w:t xml:space="preserve"> per le piccole e medie imprese </w:t>
      </w:r>
      <w:r w:rsidRPr="00671B59">
        <w:rPr>
          <w:lang w:val="it-IT"/>
        </w:rPr>
        <w:t>e per le imprese sociali</w:t>
      </w:r>
      <w:r>
        <w:rPr>
          <w:lang w:val="it-IT"/>
        </w:rPr>
        <w:t xml:space="preserve"> e anche fa parte del framework normativo relativo al Crowdfunding:</w:t>
      </w:r>
    </w:p>
    <w:p w14:paraId="60EF97C7" w14:textId="3B007F48" w:rsidR="00671B59" w:rsidRDefault="00671B59" w:rsidP="00671B59">
      <w:pPr>
        <w:rPr>
          <w:lang w:val="it-IT"/>
        </w:rPr>
      </w:pPr>
      <w:r>
        <w:rPr>
          <w:lang w:val="it-IT"/>
        </w:rPr>
        <w:t>“</w:t>
      </w:r>
      <w:r w:rsidRPr="00671B59">
        <w:rPr>
          <w:lang w:val="it-IT"/>
        </w:rPr>
        <w:t>1. È gestore di portali il soggetto che esercita professionalm</w:t>
      </w:r>
      <w:r>
        <w:rPr>
          <w:lang w:val="it-IT"/>
        </w:rPr>
        <w:t xml:space="preserve">ente il servizio di gestione di </w:t>
      </w:r>
      <w:r w:rsidRPr="00671B59">
        <w:rPr>
          <w:lang w:val="it-IT"/>
        </w:rPr>
        <w:t>portali per la raccolta di capitali per le piccole e medie impres</w:t>
      </w:r>
      <w:r>
        <w:rPr>
          <w:lang w:val="it-IT"/>
        </w:rPr>
        <w:t xml:space="preserve">e e per le imprese sociali ed è </w:t>
      </w:r>
      <w:r w:rsidRPr="00671B59">
        <w:rPr>
          <w:lang w:val="it-IT"/>
        </w:rPr>
        <w:t>iscritto nel registro di cui al comma 2</w:t>
      </w:r>
      <w:r>
        <w:rPr>
          <w:lang w:val="it-IT"/>
        </w:rPr>
        <w:t>.</w:t>
      </w:r>
    </w:p>
    <w:p w14:paraId="5A958BA8" w14:textId="6636B02C" w:rsidR="00671B59" w:rsidRDefault="00671B59" w:rsidP="00671B59">
      <w:pPr>
        <w:rPr>
          <w:lang w:val="it-IT"/>
        </w:rPr>
      </w:pPr>
      <w:r w:rsidRPr="00671B59">
        <w:rPr>
          <w:lang w:val="it-IT"/>
        </w:rPr>
        <w:t>2. L’attività di gestione di portali per la raccolta di capitali p</w:t>
      </w:r>
      <w:r>
        <w:rPr>
          <w:lang w:val="it-IT"/>
        </w:rPr>
        <w:t xml:space="preserve">er le piccole e medie imprese e </w:t>
      </w:r>
      <w:r w:rsidRPr="00671B59">
        <w:rPr>
          <w:lang w:val="it-IT"/>
        </w:rPr>
        <w:t>per le imprese sociali è riservata alle Sim, alle imprese di investi</w:t>
      </w:r>
      <w:r>
        <w:rPr>
          <w:lang w:val="it-IT"/>
        </w:rPr>
        <w:t xml:space="preserve">mento UE, alle imprese di paesi </w:t>
      </w:r>
      <w:r w:rsidRPr="00671B59">
        <w:rPr>
          <w:lang w:val="it-IT"/>
        </w:rPr>
        <w:t>terzi diverse dalle banche autorizzate in Italia, ai gestori di cui all’articolo 1, comma 1, lettera q</w:t>
      </w:r>
      <w:r>
        <w:rPr>
          <w:lang w:val="it-IT"/>
        </w:rPr>
        <w:t>-</w:t>
      </w:r>
      <w:r w:rsidRPr="00671B59">
        <w:rPr>
          <w:lang w:val="it-IT"/>
        </w:rPr>
        <w:t>bis), limitatamente all’offerta di quote o azioni di Oicr che inves</w:t>
      </w:r>
      <w:r>
        <w:rPr>
          <w:lang w:val="it-IT"/>
        </w:rPr>
        <w:t xml:space="preserve">tono prevalentemente in piccole </w:t>
      </w:r>
      <w:r w:rsidRPr="00671B59">
        <w:rPr>
          <w:lang w:val="it-IT"/>
        </w:rPr>
        <w:t>e medie imprese e alle banche, autorizzati ai relativi servizi di i</w:t>
      </w:r>
      <w:r>
        <w:rPr>
          <w:lang w:val="it-IT"/>
        </w:rPr>
        <w:t xml:space="preserve">nvestimento, nonché ai soggetti </w:t>
      </w:r>
      <w:r w:rsidRPr="00671B59">
        <w:rPr>
          <w:lang w:val="it-IT"/>
        </w:rPr>
        <w:t>iscritti in un apposito registro tenuto dalla Consob, a condizion</w:t>
      </w:r>
      <w:r>
        <w:rPr>
          <w:lang w:val="it-IT"/>
        </w:rPr>
        <w:t xml:space="preserve">e che questi ultimi trasmettano </w:t>
      </w:r>
      <w:r w:rsidRPr="00671B59">
        <w:rPr>
          <w:lang w:val="it-IT"/>
        </w:rPr>
        <w:t>gli ordini riguardanti la sottoscrizione e la compravendita di strum</w:t>
      </w:r>
      <w:r>
        <w:rPr>
          <w:lang w:val="it-IT"/>
        </w:rPr>
        <w:t xml:space="preserve">enti finanziari rappresentativi </w:t>
      </w:r>
      <w:r w:rsidRPr="00671B59">
        <w:rPr>
          <w:lang w:val="it-IT"/>
        </w:rPr>
        <w:t>di capitale esclusivamente a banche, Sim, imprese di investime</w:t>
      </w:r>
      <w:r>
        <w:rPr>
          <w:lang w:val="it-IT"/>
        </w:rPr>
        <w:t xml:space="preserve">nto UE e imprese di paesi terzi </w:t>
      </w:r>
      <w:r w:rsidRPr="00671B59">
        <w:rPr>
          <w:lang w:val="it-IT"/>
        </w:rPr>
        <w:t>diverse dalla banche, e gli ordini riguardanti azioni o quote deg</w:t>
      </w:r>
      <w:r>
        <w:rPr>
          <w:lang w:val="it-IT"/>
        </w:rPr>
        <w:t xml:space="preserve">li Oicr ai relativi gestori. Ai </w:t>
      </w:r>
      <w:r w:rsidRPr="00671B59">
        <w:rPr>
          <w:lang w:val="it-IT"/>
        </w:rPr>
        <w:t>soggetti iscritti in tale registro non si applicano le disposizioni della</w:t>
      </w:r>
      <w:r>
        <w:rPr>
          <w:lang w:val="it-IT"/>
        </w:rPr>
        <w:t xml:space="preserve"> parte II, titolo II, capo II e </w:t>
      </w:r>
      <w:r w:rsidRPr="00671B59">
        <w:rPr>
          <w:lang w:val="it-IT"/>
        </w:rPr>
        <w:t>dell’articolo 32</w:t>
      </w:r>
      <w:r>
        <w:rPr>
          <w:lang w:val="it-IT"/>
        </w:rPr>
        <w:t>”</w:t>
      </w:r>
    </w:p>
    <w:p w14:paraId="30BA48DD" w14:textId="715384F4" w:rsidR="00671B59" w:rsidRDefault="00DB68B1" w:rsidP="00DB68B1">
      <w:pPr>
        <w:rPr>
          <w:lang w:val="it-IT"/>
        </w:rPr>
      </w:pPr>
      <w:r>
        <w:rPr>
          <w:lang w:val="it-IT"/>
        </w:rPr>
        <w:t>Le piattaforme possono istituire delle bacheche elettroniche “</w:t>
      </w:r>
      <w:r w:rsidRPr="00DB68B1">
        <w:rPr>
          <w:lang w:val="it-IT"/>
        </w:rPr>
        <w:t>per la pubblicazione delle m</w:t>
      </w:r>
      <w:r>
        <w:rPr>
          <w:lang w:val="it-IT"/>
        </w:rPr>
        <w:t xml:space="preserve">anifestazioni di interesse alla </w:t>
      </w:r>
      <w:r w:rsidRPr="00DB68B1">
        <w:rPr>
          <w:lang w:val="it-IT"/>
        </w:rPr>
        <w:t>compravendita di strumenti finanziari, che siano st</w:t>
      </w:r>
      <w:r>
        <w:rPr>
          <w:lang w:val="it-IT"/>
        </w:rPr>
        <w:t xml:space="preserve">ati oggetto di offerte concluse </w:t>
      </w:r>
      <w:r w:rsidRPr="00DB68B1">
        <w:rPr>
          <w:lang w:val="it-IT"/>
        </w:rPr>
        <w:t>con successo nell’ambito di una campagna di crowdfunding svolta sul</w:t>
      </w:r>
      <w:r>
        <w:rPr>
          <w:lang w:val="it-IT"/>
        </w:rPr>
        <w:t xml:space="preserve"> proprio </w:t>
      </w:r>
      <w:r w:rsidRPr="00DB68B1">
        <w:rPr>
          <w:lang w:val="it-IT"/>
        </w:rPr>
        <w:t>portale.</w:t>
      </w:r>
      <w:r>
        <w:rPr>
          <w:lang w:val="it-IT"/>
        </w:rPr>
        <w:t>”</w:t>
      </w:r>
      <w:r>
        <w:rPr>
          <w:rStyle w:val="FootnoteReference"/>
          <w:lang w:val="it-IT"/>
        </w:rPr>
        <w:footnoteReference w:id="71"/>
      </w:r>
    </w:p>
    <w:p w14:paraId="2C20702A" w14:textId="79EDA555" w:rsidR="00DB68B1" w:rsidRPr="00B2234A" w:rsidRDefault="00DB68B1" w:rsidP="00DB68B1">
      <w:pPr>
        <w:rPr>
          <w:lang w:val="it-IT"/>
        </w:rPr>
      </w:pPr>
      <w:r>
        <w:rPr>
          <w:lang w:val="it-IT"/>
        </w:rPr>
        <w:t xml:space="preserve">Tuttavia le piattaforme devono limitarsi a comunicare in forma riservata i dati relativi ai soggetti interessati al trasferimento degli strumenti finanziari, mentre non possono svolgere attività volte ad agevolare l’incontro della domanda ed offerta degli strumenti finanziari presenti nella bacheca elettronica. </w:t>
      </w:r>
    </w:p>
    <w:p w14:paraId="6D75F086" w14:textId="60993B24" w:rsidR="00B2234A" w:rsidRDefault="00B2234A" w:rsidP="00B2234A">
      <w:pPr>
        <w:rPr>
          <w:lang w:val="it-IT"/>
        </w:rPr>
      </w:pPr>
    </w:p>
    <w:p w14:paraId="717EB4A8" w14:textId="24E59668" w:rsidR="00B2234A" w:rsidRDefault="00B2234A" w:rsidP="00B2234A">
      <w:pPr>
        <w:rPr>
          <w:lang w:val="it-IT"/>
        </w:rPr>
      </w:pPr>
    </w:p>
    <w:p w14:paraId="16C7D38C" w14:textId="0B0B6B71" w:rsidR="00B2234A" w:rsidRDefault="00B2234A" w:rsidP="00B2234A">
      <w:pPr>
        <w:rPr>
          <w:lang w:val="it-IT"/>
        </w:rPr>
      </w:pPr>
    </w:p>
    <w:p w14:paraId="50258FC3" w14:textId="77777777" w:rsidR="00B2234A" w:rsidRPr="00B2234A" w:rsidRDefault="00B2234A" w:rsidP="00B2234A">
      <w:pPr>
        <w:rPr>
          <w:lang w:val="it-IT"/>
        </w:rPr>
      </w:pPr>
    </w:p>
    <w:p w14:paraId="5879E4E1" w14:textId="5C8FCF13" w:rsidR="006E748A" w:rsidRDefault="00004AB9" w:rsidP="006E748A">
      <w:pPr>
        <w:rPr>
          <w:lang w:val="it-IT"/>
        </w:rPr>
      </w:pPr>
      <w:hyperlink r:id="rId39" w:history="1">
        <w:r w:rsidR="002339D1" w:rsidRPr="00DE0045">
          <w:rPr>
            <w:rStyle w:val="Hyperlink"/>
            <w:lang w:val="it-IT"/>
          </w:rPr>
          <w:t>https://www.romagnatech.eu/wp-content/uploads/2019/03/20190416_Blockchain_Avv_EmanueleMansuelli.pdf</w:t>
        </w:r>
      </w:hyperlink>
    </w:p>
    <w:p w14:paraId="3AB28ACE" w14:textId="29759865" w:rsidR="002339D1" w:rsidRDefault="00004AB9" w:rsidP="006E748A">
      <w:pPr>
        <w:rPr>
          <w:lang w:val="it-IT"/>
        </w:rPr>
      </w:pPr>
      <w:hyperlink r:id="rId40" w:history="1">
        <w:r w:rsidR="002339D1" w:rsidRPr="00DE0045">
          <w:rPr>
            <w:rStyle w:val="Hyperlink"/>
            <w:lang w:val="it-IT"/>
          </w:rPr>
          <w:t>https://www.agendadigitale.eu/documenti/blockchain-e-validazione-temporale-degli-smart-contract-quali-regole-in-italia/</w:t>
        </w:r>
      </w:hyperlink>
    </w:p>
    <w:p w14:paraId="47F9A6C5" w14:textId="722C6D68" w:rsidR="002339D1" w:rsidRDefault="00004AB9" w:rsidP="006E748A">
      <w:pPr>
        <w:rPr>
          <w:lang w:val="it-IT"/>
        </w:rPr>
      </w:pPr>
      <w:hyperlink r:id="rId41" w:history="1">
        <w:r w:rsidR="002339D1" w:rsidRPr="00DE0045">
          <w:rPr>
            <w:rStyle w:val="Hyperlink"/>
            <w:lang w:val="it-IT"/>
          </w:rPr>
          <w:t>https://poloarchivistico.regione.emilia-romagna.it/notizie/blockchain-e-smart-contract-entrano-nella-normativa-italiana</w:t>
        </w:r>
      </w:hyperlink>
    </w:p>
    <w:p w14:paraId="2CC5CE7A" w14:textId="10DD51D0" w:rsidR="002339D1" w:rsidRDefault="00004AB9" w:rsidP="006E748A">
      <w:pPr>
        <w:rPr>
          <w:lang w:val="it-IT"/>
        </w:rPr>
      </w:pPr>
      <w:hyperlink r:id="rId42" w:history="1">
        <w:r w:rsidR="002339D1" w:rsidRPr="00DE0045">
          <w:rPr>
            <w:rStyle w:val="Hyperlink"/>
            <w:lang w:val="it-IT"/>
          </w:rPr>
          <w:t>https://www.agendadigitale.eu/documenti/al-via-la-blockchain-revolution-ecco-tutte-le-novita-e-cosa-si-potra-fare/</w:t>
        </w:r>
      </w:hyperlink>
    </w:p>
    <w:p w14:paraId="14DA9D6F" w14:textId="427DA824" w:rsidR="002339D1" w:rsidRDefault="00004AB9" w:rsidP="006E748A">
      <w:pPr>
        <w:rPr>
          <w:lang w:val="it-IT"/>
        </w:rPr>
      </w:pPr>
      <w:hyperlink r:id="rId43" w:history="1">
        <w:r w:rsidR="002339D1" w:rsidRPr="00DE0045">
          <w:rPr>
            <w:rStyle w:val="Hyperlink"/>
            <w:lang w:val="it-IT"/>
          </w:rPr>
          <w:t>https://www.agendadigitale.eu/documenti/documento-informatico-che-cose-e-quale-validita-ha-con-la-firma-digitale/</w:t>
        </w:r>
      </w:hyperlink>
    </w:p>
    <w:p w14:paraId="66E673AA" w14:textId="57C0F9AD" w:rsidR="002339D1" w:rsidRDefault="00004AB9" w:rsidP="006E748A">
      <w:pPr>
        <w:rPr>
          <w:lang w:val="it-IT"/>
        </w:rPr>
      </w:pPr>
      <w:hyperlink r:id="rId44" w:anchor="inizio" w:history="1">
        <w:r w:rsidR="002339D1" w:rsidRPr="00DE0045">
          <w:rPr>
            <w:rStyle w:val="Hyperlink"/>
            <w:lang w:val="it-IT"/>
          </w:rPr>
          <w:t>http://www.rivistaodc.eu/disciplina-initial-token-offerings-itos-token-crowdfunding#inizio</w:t>
        </w:r>
      </w:hyperlink>
    </w:p>
    <w:p w14:paraId="2EC50A52" w14:textId="1049283F" w:rsidR="002339D1" w:rsidRDefault="00004AB9" w:rsidP="006E748A">
      <w:pPr>
        <w:rPr>
          <w:lang w:val="it-IT"/>
        </w:rPr>
      </w:pPr>
      <w:hyperlink r:id="rId45" w:history="1">
        <w:r w:rsidR="002339D1" w:rsidRPr="00DE0045">
          <w:rPr>
            <w:rStyle w:val="Hyperlink"/>
            <w:lang w:val="it-IT"/>
          </w:rPr>
          <w:t>https://www.medialaws.eu/initial-coin-offering-natura-giuridica-e-prospettive-regolatorie/</w:t>
        </w:r>
      </w:hyperlink>
    </w:p>
    <w:p w14:paraId="596B5F27" w14:textId="77777777" w:rsidR="002339D1" w:rsidRPr="006E748A" w:rsidRDefault="002339D1" w:rsidP="006E748A">
      <w:pPr>
        <w:rPr>
          <w:lang w:val="it-IT"/>
        </w:rPr>
      </w:pPr>
    </w:p>
    <w:p w14:paraId="571F0A16" w14:textId="74576A78" w:rsidR="00083B26" w:rsidRPr="00643910" w:rsidRDefault="00AE7C4B" w:rsidP="00AE7C4B">
      <w:pPr>
        <w:pStyle w:val="Heading3"/>
      </w:pPr>
      <w:bookmarkStart w:id="36" w:name="_Toc100246252"/>
      <w:r w:rsidRPr="00643910">
        <w:t>USA</w:t>
      </w:r>
      <w:bookmarkEnd w:id="36"/>
    </w:p>
    <w:p w14:paraId="589C7EB2" w14:textId="77777777" w:rsidR="00AA6080" w:rsidRPr="00643910" w:rsidRDefault="00AA6080" w:rsidP="00AA6080"/>
    <w:p w14:paraId="6F63243B" w14:textId="6F82CD44" w:rsidR="00AE7C4B" w:rsidRDefault="00AE7C4B" w:rsidP="006776FE">
      <w:r w:rsidRPr="00024DF9">
        <w:t>“</w:t>
      </w:r>
      <w:r w:rsidR="00024DF9" w:rsidRPr="00024DF9">
        <w:t>Security tokens sold during STO are any virtual tokens that exist on a blockchain and mee</w:t>
      </w:r>
      <w:r w:rsidR="00024DF9">
        <w:t xml:space="preserve">t the definition of </w:t>
      </w:r>
      <w:r w:rsidR="00024DF9" w:rsidRPr="00024DF9">
        <w:t>a security under US law, whether the tokens represent function on a platform (known as “utility tokens”), ownership of a real-world asset (asset-backed tokens), interest in a fund (fund tokens), equity (equity tokens) or debt (crypto bonds).</w:t>
      </w:r>
      <w:r w:rsidR="00024DF9">
        <w:t>”</w:t>
      </w:r>
      <w:r w:rsidR="00024DF9">
        <w:rPr>
          <w:rStyle w:val="FootnoteReference"/>
        </w:rPr>
        <w:footnoteReference w:id="72"/>
      </w:r>
    </w:p>
    <w:p w14:paraId="0809AB1C" w14:textId="4BAA20BB" w:rsidR="00F22657" w:rsidRDefault="00303909" w:rsidP="006776FE">
      <w:pPr>
        <w:rPr>
          <w:lang w:val="it-IT"/>
        </w:rPr>
      </w:pPr>
      <w:r>
        <w:rPr>
          <w:lang w:val="it-IT"/>
        </w:rPr>
        <w:t>Le autorità che contribuiscono allo sviluppo</w:t>
      </w:r>
      <w:r w:rsidR="00F22657" w:rsidRPr="00303909">
        <w:rPr>
          <w:lang w:val="it-IT"/>
        </w:rPr>
        <w:t xml:space="preserve"> quadro </w:t>
      </w:r>
      <w:r>
        <w:rPr>
          <w:lang w:val="it-IT"/>
        </w:rPr>
        <w:t>normativo relativo ai digital asset negli USA sono:</w:t>
      </w:r>
    </w:p>
    <w:p w14:paraId="58B67668" w14:textId="7EFCE8AE" w:rsidR="00303909" w:rsidRDefault="00303909" w:rsidP="005879DB">
      <w:pPr>
        <w:pStyle w:val="ListParagraph"/>
        <w:numPr>
          <w:ilvl w:val="0"/>
          <w:numId w:val="21"/>
        </w:numPr>
        <w:rPr>
          <w:lang w:val="it-IT"/>
        </w:rPr>
      </w:pPr>
      <w:r w:rsidRPr="00303909">
        <w:rPr>
          <w:lang w:val="it-IT"/>
        </w:rPr>
        <w:t xml:space="preserve">Commodity Futures Trading Commission (CFTC): Regola principalmente </w:t>
      </w:r>
      <w:r>
        <w:rPr>
          <w:lang w:val="it-IT"/>
        </w:rPr>
        <w:t>i mercati di strumenti derivati come futures e swaps.</w:t>
      </w:r>
    </w:p>
    <w:p w14:paraId="4777678D" w14:textId="10F10789" w:rsidR="00303909" w:rsidRDefault="00303909" w:rsidP="005879DB">
      <w:pPr>
        <w:pStyle w:val="ListParagraph"/>
        <w:numPr>
          <w:ilvl w:val="0"/>
          <w:numId w:val="21"/>
        </w:numPr>
        <w:rPr>
          <w:lang w:val="it-IT"/>
        </w:rPr>
      </w:pPr>
      <w:r w:rsidRPr="00303909">
        <w:rPr>
          <w:lang w:val="it-IT"/>
        </w:rPr>
        <w:t xml:space="preserve">Securities and Exchange Commission (SEC): Regola il mercato </w:t>
      </w:r>
      <w:r>
        <w:rPr>
          <w:lang w:val="it-IT"/>
        </w:rPr>
        <w:t>dei capitali americano e vigila che le leggi federali vengano rispettate.</w:t>
      </w:r>
    </w:p>
    <w:p w14:paraId="09BADD54" w14:textId="0D40139A" w:rsidR="00303909" w:rsidRDefault="00303909" w:rsidP="005879DB">
      <w:pPr>
        <w:pStyle w:val="ListParagraph"/>
        <w:numPr>
          <w:ilvl w:val="0"/>
          <w:numId w:val="21"/>
        </w:numPr>
        <w:rPr>
          <w:lang w:val="it-IT"/>
        </w:rPr>
      </w:pPr>
      <w:r w:rsidRPr="00E65132">
        <w:rPr>
          <w:lang w:val="it-IT"/>
        </w:rPr>
        <w:t xml:space="preserve">Financial Crimes Enforcement Network (FinCEN): </w:t>
      </w:r>
      <w:r w:rsidR="00E65132" w:rsidRPr="00E65132">
        <w:rPr>
          <w:lang w:val="it-IT"/>
        </w:rPr>
        <w:t>Vigila il sistema fi</w:t>
      </w:r>
      <w:r w:rsidR="00E65132">
        <w:rPr>
          <w:lang w:val="it-IT"/>
        </w:rPr>
        <w:t>nanziario nell’ottica di proteggerlo da usi illeciti come il riciclaggio di denaro sporco.</w:t>
      </w:r>
    </w:p>
    <w:p w14:paraId="6E3CB683" w14:textId="35BCCC6A" w:rsidR="00E65132" w:rsidRDefault="00E65132" w:rsidP="005879DB">
      <w:pPr>
        <w:pStyle w:val="ListParagraph"/>
        <w:numPr>
          <w:ilvl w:val="0"/>
          <w:numId w:val="21"/>
        </w:numPr>
        <w:rPr>
          <w:lang w:val="it-IT"/>
        </w:rPr>
      </w:pPr>
      <w:r w:rsidRPr="00E65132">
        <w:rPr>
          <w:lang w:val="it-IT"/>
        </w:rPr>
        <w:t>Office of the Comptroller of the Currency (OCC): regola le banche nazionali ed estere che o</w:t>
      </w:r>
      <w:r>
        <w:rPr>
          <w:lang w:val="it-IT"/>
        </w:rPr>
        <w:t>perano negli US.</w:t>
      </w:r>
    </w:p>
    <w:p w14:paraId="1AA2DFAA" w14:textId="3DCA24F4" w:rsidR="00B2629D" w:rsidRDefault="00E65132" w:rsidP="005879DB">
      <w:pPr>
        <w:pStyle w:val="ListParagraph"/>
        <w:numPr>
          <w:ilvl w:val="0"/>
          <w:numId w:val="21"/>
        </w:numPr>
        <w:rPr>
          <w:lang w:val="it-IT"/>
        </w:rPr>
      </w:pPr>
      <w:r w:rsidRPr="00E65132">
        <w:rPr>
          <w:lang w:val="it-IT"/>
        </w:rPr>
        <w:t>Federal Reserve System: Banca centrale america</w:t>
      </w:r>
      <w:r>
        <w:rPr>
          <w:lang w:val="it-IT"/>
        </w:rPr>
        <w:t>na che, tra le altre cose, regola le transazioni finanziarie.</w:t>
      </w:r>
    </w:p>
    <w:p w14:paraId="0EF88839" w14:textId="58C48EAC" w:rsidR="00B2629D" w:rsidRPr="00B2629D" w:rsidRDefault="00B2629D" w:rsidP="00B2629D">
      <w:pPr>
        <w:rPr>
          <w:lang w:val="it-IT"/>
        </w:rPr>
      </w:pPr>
      <w:r>
        <w:rPr>
          <w:lang w:val="it-IT"/>
        </w:rPr>
        <w:t xml:space="preserve">A livello federale, nonostante vi sia stato un importante coinvolgimento delle agenzie sopra citate, </w:t>
      </w:r>
      <w:r w:rsidR="000A6033">
        <w:rPr>
          <w:lang w:val="it-IT"/>
        </w:rPr>
        <w:t xml:space="preserve">si è deciso di non procedere con una massiccia regolamentazione che avrebbe rischiato di minare il ruolo di leader degli US nello sviluppo di questa tecnologia. </w:t>
      </w:r>
    </w:p>
    <w:p w14:paraId="00B89731" w14:textId="1EDBDB37" w:rsidR="005D5D73" w:rsidRDefault="00024DF9" w:rsidP="006776FE">
      <w:pPr>
        <w:rPr>
          <w:lang w:val="it-IT"/>
        </w:rPr>
      </w:pPr>
      <w:r w:rsidRPr="00024DF9">
        <w:rPr>
          <w:lang w:val="it-IT"/>
        </w:rPr>
        <w:t xml:space="preserve">Negli USA, affinché dei prodotti finanziari possano essere venduti agli investitori devono essere classificati come </w:t>
      </w:r>
      <w:r>
        <w:rPr>
          <w:lang w:val="it-IT"/>
        </w:rPr>
        <w:t>Securities e quindi ricadere sotto il Securities Act del</w:t>
      </w:r>
      <w:r w:rsidRPr="00024DF9">
        <w:rPr>
          <w:lang w:val="it-IT"/>
        </w:rPr>
        <w:t xml:space="preserve"> 1933</w:t>
      </w:r>
      <w:r>
        <w:rPr>
          <w:lang w:val="it-IT"/>
        </w:rPr>
        <w:t>.</w:t>
      </w:r>
      <w:r w:rsidR="00FC73D9">
        <w:rPr>
          <w:lang w:val="it-IT"/>
        </w:rPr>
        <w:t xml:space="preserve"> La sezione quinta del Securities Act richiede infatti che gli emittenti di securities registrino le offerte al pubblico presso la SEC o che ne </w:t>
      </w:r>
      <w:r w:rsidR="00FC73D9">
        <w:rPr>
          <w:lang w:val="it-IT"/>
        </w:rPr>
        <w:lastRenderedPageBreak/>
        <w:t>richiedano una specifica esenzione.</w:t>
      </w:r>
      <w:r>
        <w:rPr>
          <w:lang w:val="it-IT"/>
        </w:rPr>
        <w:t xml:space="preserve"> </w:t>
      </w:r>
      <w:r w:rsidR="005D5D73">
        <w:rPr>
          <w:lang w:val="it-IT"/>
        </w:rPr>
        <w:t>L’Howey Test, elaborato in un famoso caso della Corte Suprema americana del 1946</w:t>
      </w:r>
      <w:r w:rsidR="005D5D73">
        <w:rPr>
          <w:rStyle w:val="FootnoteReference"/>
          <w:lang w:val="it-IT"/>
        </w:rPr>
        <w:footnoteReference w:id="73"/>
      </w:r>
      <w:r w:rsidR="005D5D73">
        <w:rPr>
          <w:lang w:val="it-IT"/>
        </w:rPr>
        <w:t>,</w:t>
      </w:r>
      <w:r w:rsidR="006B3599">
        <w:rPr>
          <w:lang w:val="it-IT"/>
        </w:rPr>
        <w:t xml:space="preserve"> viene usato dai giudici americani per</w:t>
      </w:r>
      <w:r w:rsidR="005D5D73">
        <w:rPr>
          <w:lang w:val="it-IT"/>
        </w:rPr>
        <w:t xml:space="preserve"> verifica</w:t>
      </w:r>
      <w:r w:rsidR="006B3599">
        <w:rPr>
          <w:lang w:val="it-IT"/>
        </w:rPr>
        <w:t>re</w:t>
      </w:r>
      <w:r w:rsidR="005D5D73">
        <w:rPr>
          <w:lang w:val="it-IT"/>
        </w:rPr>
        <w:t xml:space="preserve"> se un determinato contratto di investimento è o meno una Security. Il riconoscimento di un prodotto finanziario come Security comporta </w:t>
      </w:r>
      <w:r w:rsidR="005D5D73" w:rsidRPr="005D5D73">
        <w:rPr>
          <w:lang w:val="it-IT"/>
        </w:rPr>
        <w:t>degli obblighi di registrazione presso la SEC</w:t>
      </w:r>
      <w:r w:rsidR="005D5D73">
        <w:rPr>
          <w:lang w:val="it-IT"/>
        </w:rPr>
        <w:t xml:space="preserve"> che obbliga a divulgare una serie di informazioni che includono:</w:t>
      </w:r>
    </w:p>
    <w:p w14:paraId="07BE59E7" w14:textId="3440528F" w:rsidR="005D5D73" w:rsidRDefault="005D5D73" w:rsidP="005879DB">
      <w:pPr>
        <w:pStyle w:val="ListParagraph"/>
        <w:numPr>
          <w:ilvl w:val="0"/>
          <w:numId w:val="18"/>
        </w:numPr>
        <w:rPr>
          <w:lang w:val="it-IT"/>
        </w:rPr>
      </w:pPr>
      <w:r>
        <w:rPr>
          <w:lang w:val="it-IT"/>
        </w:rPr>
        <w:t>Una descrizione della ragione sociale e dei principali dati anagrafici</w:t>
      </w:r>
    </w:p>
    <w:p w14:paraId="22AC0820" w14:textId="035EB157" w:rsidR="005D5D73" w:rsidRDefault="005D5D73" w:rsidP="005879DB">
      <w:pPr>
        <w:pStyle w:val="ListParagraph"/>
        <w:numPr>
          <w:ilvl w:val="0"/>
          <w:numId w:val="18"/>
        </w:numPr>
        <w:rPr>
          <w:lang w:val="it-IT"/>
        </w:rPr>
      </w:pPr>
      <w:r>
        <w:rPr>
          <w:lang w:val="it-IT"/>
        </w:rPr>
        <w:t>Una descrizione dell’investimento offerto</w:t>
      </w:r>
    </w:p>
    <w:p w14:paraId="62C60296" w14:textId="31A3C62D" w:rsidR="005D5D73" w:rsidRDefault="005D5D73" w:rsidP="005879DB">
      <w:pPr>
        <w:pStyle w:val="ListParagraph"/>
        <w:numPr>
          <w:ilvl w:val="0"/>
          <w:numId w:val="18"/>
        </w:numPr>
        <w:rPr>
          <w:lang w:val="it-IT"/>
        </w:rPr>
      </w:pPr>
      <w:r>
        <w:rPr>
          <w:lang w:val="it-IT"/>
        </w:rPr>
        <w:t>Un’informativa riguardo il management della società</w:t>
      </w:r>
    </w:p>
    <w:p w14:paraId="064CAC58" w14:textId="521992B7" w:rsidR="005D5D73" w:rsidRDefault="005D5D73" w:rsidP="005879DB">
      <w:pPr>
        <w:pStyle w:val="ListParagraph"/>
        <w:numPr>
          <w:ilvl w:val="0"/>
          <w:numId w:val="18"/>
        </w:numPr>
        <w:rPr>
          <w:lang w:val="it-IT"/>
        </w:rPr>
      </w:pPr>
      <w:r>
        <w:rPr>
          <w:lang w:val="it-IT"/>
        </w:rPr>
        <w:t>I bilanci di esercizio certificati da revisori indipendenti</w:t>
      </w:r>
    </w:p>
    <w:p w14:paraId="3A1E4F1F" w14:textId="73B2847E" w:rsidR="00E50DE2" w:rsidRPr="00E50DE2" w:rsidRDefault="00E50DE2" w:rsidP="00E50DE2">
      <w:pPr>
        <w:rPr>
          <w:lang w:val="it-IT"/>
        </w:rPr>
      </w:pPr>
      <w:r>
        <w:rPr>
          <w:lang w:val="it-IT"/>
        </w:rPr>
        <w:t>Alternativamente gli emittenti devono richiedere alla SEC una specifica esenzione dalla registrazione</w:t>
      </w:r>
      <w:r>
        <w:rPr>
          <w:rStyle w:val="FootnoteReference"/>
          <w:lang w:val="it-IT"/>
        </w:rPr>
        <w:footnoteReference w:id="74"/>
      </w:r>
      <w:r>
        <w:rPr>
          <w:lang w:val="it-IT"/>
        </w:rPr>
        <w:t>.</w:t>
      </w:r>
    </w:p>
    <w:p w14:paraId="427170DD" w14:textId="2B9BC97B" w:rsidR="005D5D73" w:rsidRDefault="006B3599" w:rsidP="005D5D73">
      <w:pPr>
        <w:rPr>
          <w:lang w:val="it-IT"/>
        </w:rPr>
      </w:pPr>
      <w:r>
        <w:rPr>
          <w:lang w:val="it-IT"/>
        </w:rPr>
        <w:t>Gli emittenti sono soggetti anche al Securities Exchange Act del 1934 che regola il potere di vigilanza della SEC e le sanzioni applicabili</w:t>
      </w:r>
      <w:r w:rsidR="00665FFB">
        <w:rPr>
          <w:rStyle w:val="FootnoteReference"/>
          <w:lang w:val="it-IT"/>
        </w:rPr>
        <w:footnoteReference w:id="75"/>
      </w:r>
      <w:r>
        <w:rPr>
          <w:lang w:val="it-IT"/>
        </w:rPr>
        <w:t xml:space="preserve"> nel caso di violazione delle leggi riguardanti le Securities. </w:t>
      </w:r>
      <w:r w:rsidR="00E50DE2">
        <w:rPr>
          <w:lang w:val="it-IT"/>
        </w:rPr>
        <w:t>Gli emittenti sono responsabili, verso gli investitori, per falsa dichiarazione e omissione ingannevole nei prospetti e nelle dichiarazioni di registrazione.</w:t>
      </w:r>
      <w:r w:rsidR="00E50DE2">
        <w:rPr>
          <w:rStyle w:val="FootnoteReference"/>
          <w:lang w:val="it-IT"/>
        </w:rPr>
        <w:footnoteReference w:id="76"/>
      </w:r>
    </w:p>
    <w:p w14:paraId="4BA38ED6" w14:textId="10E0A687" w:rsidR="00E50DE2" w:rsidRPr="005D5D73" w:rsidRDefault="00E50DE2" w:rsidP="005D5D73">
      <w:pPr>
        <w:rPr>
          <w:lang w:val="it-IT"/>
        </w:rPr>
      </w:pPr>
      <w:r>
        <w:rPr>
          <w:lang w:val="it-IT"/>
        </w:rPr>
        <w:t>Vi sono anche obblighi di divulgazione continua e periodica di determinate informazioni</w:t>
      </w:r>
      <w:r>
        <w:rPr>
          <w:rStyle w:val="FootnoteReference"/>
          <w:lang w:val="it-IT"/>
        </w:rPr>
        <w:footnoteReference w:id="77"/>
      </w:r>
      <w:r>
        <w:rPr>
          <w:lang w:val="it-IT"/>
        </w:rPr>
        <w:t>.</w:t>
      </w:r>
    </w:p>
    <w:p w14:paraId="0E4A37AF" w14:textId="4DE0A582" w:rsidR="005D5D73" w:rsidRDefault="005D5D73" w:rsidP="005D5D73">
      <w:pPr>
        <w:rPr>
          <w:lang w:val="it-IT"/>
        </w:rPr>
      </w:pPr>
      <w:r>
        <w:rPr>
          <w:lang w:val="it-IT"/>
        </w:rPr>
        <w:t xml:space="preserve">L’Howey Test è necessario dal momento che verifica la sostanza di un contratto, più che la forma, per determinare la natura di Security. Anche se un titolo non viene nominato come “Stock” o “Bond”, può a tutti gli effetti essere una Security per la quale devono essere applicati gli obblighi di registrazione e divulgazione delle informazioni. </w:t>
      </w:r>
    </w:p>
    <w:p w14:paraId="3E3A50EE" w14:textId="47E38D66" w:rsidR="005D5D73" w:rsidRDefault="006B3599" w:rsidP="005D5D73">
      <w:pPr>
        <w:rPr>
          <w:lang w:val="it-IT"/>
        </w:rPr>
      </w:pPr>
      <w:r>
        <w:rPr>
          <w:lang w:val="it-IT"/>
        </w:rPr>
        <w:t>Secondo il Test, dei titoli offerti a degli investitori vengono considerati come Securities se è presente:</w:t>
      </w:r>
    </w:p>
    <w:p w14:paraId="4AB5E778" w14:textId="61EAE049" w:rsidR="006B3599" w:rsidRDefault="006B3599" w:rsidP="005879DB">
      <w:pPr>
        <w:pStyle w:val="ListParagraph"/>
        <w:numPr>
          <w:ilvl w:val="0"/>
          <w:numId w:val="19"/>
        </w:numPr>
        <w:rPr>
          <w:lang w:val="it-IT"/>
        </w:rPr>
      </w:pPr>
      <w:r>
        <w:rPr>
          <w:lang w:val="it-IT"/>
        </w:rPr>
        <w:t>An investment of money</w:t>
      </w:r>
    </w:p>
    <w:p w14:paraId="0AAB3500" w14:textId="26D63D82" w:rsidR="006B3599" w:rsidRDefault="006B3599" w:rsidP="005879DB">
      <w:pPr>
        <w:pStyle w:val="ListParagraph"/>
        <w:numPr>
          <w:ilvl w:val="0"/>
          <w:numId w:val="19"/>
        </w:numPr>
        <w:rPr>
          <w:lang w:val="it-IT"/>
        </w:rPr>
      </w:pPr>
      <w:r>
        <w:rPr>
          <w:lang w:val="it-IT"/>
        </w:rPr>
        <w:t xml:space="preserve">in a common enterprise </w:t>
      </w:r>
    </w:p>
    <w:p w14:paraId="04027155" w14:textId="7E9169D3" w:rsidR="006B3599" w:rsidRDefault="006B3599" w:rsidP="005879DB">
      <w:pPr>
        <w:pStyle w:val="ListParagraph"/>
        <w:numPr>
          <w:ilvl w:val="0"/>
          <w:numId w:val="19"/>
        </w:numPr>
      </w:pPr>
      <w:r w:rsidRPr="006B3599">
        <w:t>with a reasonable expectation of profit</w:t>
      </w:r>
    </w:p>
    <w:p w14:paraId="66898834" w14:textId="0C1334B3" w:rsidR="006B3599" w:rsidRDefault="006B3599" w:rsidP="005879DB">
      <w:pPr>
        <w:pStyle w:val="ListParagraph"/>
        <w:numPr>
          <w:ilvl w:val="0"/>
          <w:numId w:val="19"/>
        </w:numPr>
      </w:pPr>
      <w:r w:rsidRPr="006B3599">
        <w:t>to be derived from the efforts of others</w:t>
      </w:r>
      <w:r>
        <w:t>.</w:t>
      </w:r>
    </w:p>
    <w:p w14:paraId="57D970A5" w14:textId="225E0BEF" w:rsidR="006B3599" w:rsidRDefault="006B3599" w:rsidP="006B3599">
      <w:pPr>
        <w:rPr>
          <w:lang w:val="it-IT"/>
        </w:rPr>
      </w:pPr>
      <w:r w:rsidRPr="006B3599">
        <w:rPr>
          <w:lang w:val="it-IT"/>
        </w:rPr>
        <w:t xml:space="preserve">In parafrasi: deve esserci </w:t>
      </w:r>
      <w:r>
        <w:rPr>
          <w:lang w:val="it-IT"/>
        </w:rPr>
        <w:t xml:space="preserve">(1.) </w:t>
      </w:r>
      <w:r w:rsidRPr="006B3599">
        <w:rPr>
          <w:lang w:val="it-IT"/>
        </w:rPr>
        <w:t>un investimento di soldi o qualunque altro tipo di asset</w:t>
      </w:r>
      <w:r>
        <w:rPr>
          <w:lang w:val="it-IT"/>
        </w:rPr>
        <w:t xml:space="preserve">, (2.) gli investitori mettono del denaro in comune per investire in un progetto, </w:t>
      </w:r>
      <w:r w:rsidRPr="006B3599">
        <w:rPr>
          <w:lang w:val="it-IT"/>
        </w:rPr>
        <w:t>(3.) si attende un profitto dall’investimento,</w:t>
      </w:r>
      <w:r>
        <w:rPr>
          <w:lang w:val="it-IT"/>
        </w:rPr>
        <w:t xml:space="preserve"> (4.) il profitto deriva dal lavoro di un “promoter” o di un terzo che è indipendente rispetto al controllo degli investitori. </w:t>
      </w:r>
    </w:p>
    <w:p w14:paraId="0CFC8567" w14:textId="5D0C28FD" w:rsidR="006B3599" w:rsidRPr="006B3599" w:rsidRDefault="006B3599" w:rsidP="006B3599">
      <w:pPr>
        <w:rPr>
          <w:lang w:val="it-IT"/>
        </w:rPr>
      </w:pPr>
      <w:r>
        <w:rPr>
          <w:lang w:val="it-IT"/>
        </w:rPr>
        <w:t>I Security Tokens, sotto la veste di prodotti finanziari, si assume soddisfino questi requisiti.</w:t>
      </w:r>
      <w:r w:rsidR="00F22657">
        <w:rPr>
          <w:lang w:val="it-IT"/>
        </w:rPr>
        <w:t xml:space="preserve"> </w:t>
      </w:r>
    </w:p>
    <w:p w14:paraId="4660591D" w14:textId="368D68BF" w:rsidR="00024DF9" w:rsidRDefault="00E50DE2" w:rsidP="006776FE">
      <w:pPr>
        <w:rPr>
          <w:lang w:val="it-IT"/>
        </w:rPr>
      </w:pPr>
      <w:r>
        <w:rPr>
          <w:lang w:val="it-IT"/>
        </w:rPr>
        <w:t>Oltre a questi obblighi legati a requisiti intrinseci dei tokens, anche le piattaforme di scambio</w:t>
      </w:r>
      <w:r w:rsidR="00665FFB">
        <w:rPr>
          <w:lang w:val="it-IT"/>
        </w:rPr>
        <w:t>, sotto certe condizioni, hanno obblighi di registrazione presso la SEC</w:t>
      </w:r>
      <w:r w:rsidR="00665FFB">
        <w:rPr>
          <w:rStyle w:val="FootnoteReference"/>
          <w:lang w:val="it-IT"/>
        </w:rPr>
        <w:footnoteReference w:id="78"/>
      </w:r>
      <w:r w:rsidR="00665FFB">
        <w:rPr>
          <w:lang w:val="it-IT"/>
        </w:rPr>
        <w:t>.</w:t>
      </w:r>
    </w:p>
    <w:p w14:paraId="69F8445F" w14:textId="77777777" w:rsidR="00F22657" w:rsidRDefault="00F22657" w:rsidP="006776FE">
      <w:pPr>
        <w:rPr>
          <w:lang w:val="it-IT"/>
        </w:rPr>
      </w:pPr>
    </w:p>
    <w:p w14:paraId="46A486FA" w14:textId="20BD471C" w:rsidR="00EA5FD5" w:rsidRDefault="00EA5FD5" w:rsidP="00EA5FD5">
      <w:pPr>
        <w:pStyle w:val="Heading4"/>
        <w:rPr>
          <w:lang w:val="it-IT"/>
        </w:rPr>
      </w:pPr>
      <w:r>
        <w:rPr>
          <w:lang w:val="it-IT"/>
        </w:rPr>
        <w:t>Investment of money</w:t>
      </w:r>
    </w:p>
    <w:p w14:paraId="5BE2A922" w14:textId="2C944C3C" w:rsidR="00EA5FD5" w:rsidRDefault="00EA5FD5" w:rsidP="00EA5FD5">
      <w:pPr>
        <w:rPr>
          <w:lang w:val="it-IT"/>
        </w:rPr>
      </w:pPr>
    </w:p>
    <w:p w14:paraId="503D5DE8" w14:textId="42A7B651" w:rsidR="00EA5FD5" w:rsidRDefault="00EA5FD5" w:rsidP="00EA5FD5">
      <w:pPr>
        <w:rPr>
          <w:lang w:val="it-IT"/>
        </w:rPr>
      </w:pPr>
      <w:r>
        <w:rPr>
          <w:lang w:val="it-IT"/>
        </w:rPr>
        <w:lastRenderedPageBreak/>
        <w:t xml:space="preserve">La prima parte dell’Howey Test stabilisce che un accordo fra due parti può essere qualificato come contratto di investimento (e per estensione una Security) </w:t>
      </w:r>
      <w:r w:rsidR="00C52242">
        <w:rPr>
          <w:lang w:val="it-IT"/>
        </w:rPr>
        <w:t xml:space="preserve">solo ha ad oggetto </w:t>
      </w:r>
      <w:r w:rsidR="003138B3">
        <w:rPr>
          <w:lang w:val="it-IT"/>
        </w:rPr>
        <w:t xml:space="preserve">un impiego in denaro. </w:t>
      </w:r>
    </w:p>
    <w:p w14:paraId="1013AB0F" w14:textId="2CB4027F" w:rsidR="00E9111B" w:rsidRPr="00E9111B" w:rsidRDefault="00E9111B" w:rsidP="00E9111B">
      <w:r>
        <w:rPr>
          <w:lang w:val="it-IT"/>
        </w:rPr>
        <w:t xml:space="preserve">Almeno una sentenza ha argomentato che un investimento in valuta virtuale si qualifica come un “investment of money”. </w:t>
      </w:r>
      <w:r w:rsidRPr="00E9111B">
        <w:rPr>
          <w:lang w:val="it-IT"/>
        </w:rPr>
        <w:t>Nel caso SEC v. Shavers</w:t>
      </w:r>
      <w:r>
        <w:rPr>
          <w:rStyle w:val="FootnoteReference"/>
          <w:lang w:val="it-IT"/>
        </w:rPr>
        <w:footnoteReference w:id="79"/>
      </w:r>
      <w:r w:rsidRPr="00E9111B">
        <w:rPr>
          <w:lang w:val="it-IT"/>
        </w:rPr>
        <w:t>, lo U.S. District Court for the Eastern District of Texas ha stabilito ch</w:t>
      </w:r>
      <w:r>
        <w:rPr>
          <w:lang w:val="it-IT"/>
        </w:rPr>
        <w:t xml:space="preserve">e uno schema per il quale dei soggetti trasferiscono dei Bitcoin ad un promoter, per usarli in una serie di opportunità di investimento, si qualifica come un “investment of money” come descritto dall’Howey Test. </w:t>
      </w:r>
      <w:r w:rsidRPr="00E9111B">
        <w:t>Inoltre: “The court expl</w:t>
      </w:r>
      <w:r>
        <w:t>ained that based upon existing case law, ‘</w:t>
      </w:r>
      <w:r w:rsidRPr="00E9111B">
        <w:t>the primary consideratio</w:t>
      </w:r>
      <w:r>
        <w:t>n’ under Howey’s ‘</w:t>
      </w:r>
      <w:r w:rsidRPr="00E9111B">
        <w:t>invest</w:t>
      </w:r>
      <w:r>
        <w:t xml:space="preserve">ment of money’ requirement ‘is </w:t>
      </w:r>
      <w:r w:rsidRPr="00E9111B">
        <w:t>whether the purchaser was required to give up something of valu</w:t>
      </w:r>
      <w:r>
        <w:t>e in exchange for the promised consideration’</w:t>
      </w:r>
      <w:r w:rsidRPr="00E9111B">
        <w:t xml:space="preserve"> rejecting the argument that Howey’s first prong is limited to the investment of</w:t>
      </w:r>
      <w:r>
        <w:t xml:space="preserve"> </w:t>
      </w:r>
      <w:r w:rsidRPr="00E9111B">
        <w:t>cash or currency that amounts to legal tender</w:t>
      </w:r>
      <w:r>
        <w:t>”.</w:t>
      </w:r>
      <w:r>
        <w:rPr>
          <w:rStyle w:val="FootnoteReference"/>
        </w:rPr>
        <w:footnoteReference w:id="80"/>
      </w:r>
    </w:p>
    <w:p w14:paraId="3D3C1440" w14:textId="2C815574" w:rsidR="00E9111B" w:rsidRPr="00C22695" w:rsidRDefault="00C52242" w:rsidP="00C52242">
      <w:pPr>
        <w:pStyle w:val="Heading4"/>
        <w:rPr>
          <w:lang w:val="it-IT"/>
        </w:rPr>
      </w:pPr>
      <w:r w:rsidRPr="00C22695">
        <w:rPr>
          <w:lang w:val="it-IT"/>
        </w:rPr>
        <w:t>Common Enterprise</w:t>
      </w:r>
    </w:p>
    <w:p w14:paraId="78B81EDA" w14:textId="4A84779F" w:rsidR="00C52242" w:rsidRPr="00C22695" w:rsidRDefault="00C52242" w:rsidP="00C52242">
      <w:pPr>
        <w:rPr>
          <w:lang w:val="it-IT"/>
        </w:rPr>
      </w:pPr>
    </w:p>
    <w:p w14:paraId="56EDF44A" w14:textId="267D4C79" w:rsidR="00C52242" w:rsidRDefault="00C52242" w:rsidP="00C52242">
      <w:pPr>
        <w:rPr>
          <w:lang w:val="it-IT"/>
        </w:rPr>
      </w:pPr>
      <w:r w:rsidRPr="00C52242">
        <w:rPr>
          <w:lang w:val="it-IT"/>
        </w:rPr>
        <w:t xml:space="preserve">La sentenza Howey non ha approfondito </w:t>
      </w:r>
      <w:r>
        <w:rPr>
          <w:lang w:val="it-IT"/>
        </w:rPr>
        <w:t xml:space="preserve">il ragionamento logico dietro al concetto di “common enterprise”. Secondo N. L. </w:t>
      </w:r>
      <w:r w:rsidRPr="00C52242">
        <w:rPr>
          <w:lang w:val="it-IT"/>
        </w:rPr>
        <w:t>Georgakopoulos</w:t>
      </w:r>
      <w:r>
        <w:rPr>
          <w:lang w:val="it-IT"/>
        </w:rPr>
        <w:t xml:space="preserve"> la condizione della common enterprise è necessaria poiché in una struttura simile gli investitori “tend to have </w:t>
      </w:r>
      <w:r w:rsidRPr="00C52242">
        <w:rPr>
          <w:lang w:val="it-IT"/>
        </w:rPr>
        <w:t>difficulty assessing the greater enterprise and have no control of its management</w:t>
      </w:r>
      <w:r>
        <w:rPr>
          <w:lang w:val="it-IT"/>
        </w:rPr>
        <w:t>”</w:t>
      </w:r>
      <w:r>
        <w:rPr>
          <w:rStyle w:val="FootnoteReference"/>
          <w:lang w:val="it-IT"/>
        </w:rPr>
        <w:footnoteReference w:id="81"/>
      </w:r>
      <w:r>
        <w:rPr>
          <w:lang w:val="it-IT"/>
        </w:rPr>
        <w:t xml:space="preserve"> necessitando quindi di speciale protezione. Secondo questa tesi, il regime di </w:t>
      </w:r>
      <w:r w:rsidRPr="00C52242">
        <w:rPr>
          <w:lang w:val="it-IT"/>
        </w:rPr>
        <w:t>Caveat emptor</w:t>
      </w:r>
      <w:r>
        <w:rPr>
          <w:lang w:val="it-IT"/>
        </w:rPr>
        <w:t xml:space="preserve"> (espressione latina che significa: “Stia in guardia il compratore!”) applicabile ai contratti ordinari in cui l’acquirente è in grado di ispezionare e amministrare i principali corrispettivi contrattuali in autonomia è inadeguato per la vendita della partecipazione frazionata in un progetto collettivo nel quale “</w:t>
      </w:r>
      <w:r w:rsidRPr="00C52242">
        <w:rPr>
          <w:lang w:val="it-IT"/>
        </w:rPr>
        <w:t>each buyer cannot appropriately inspect and will not have the contr</w:t>
      </w:r>
      <w:r>
        <w:rPr>
          <w:lang w:val="it-IT"/>
        </w:rPr>
        <w:t xml:space="preserve">ol necessary to administer the </w:t>
      </w:r>
      <w:r w:rsidR="00531030">
        <w:rPr>
          <w:lang w:val="it-IT"/>
        </w:rPr>
        <w:t xml:space="preserve">common </w:t>
      </w:r>
      <w:r w:rsidRPr="00C52242">
        <w:rPr>
          <w:lang w:val="it-IT"/>
        </w:rPr>
        <w:t>enterprise</w:t>
      </w:r>
      <w:r>
        <w:rPr>
          <w:lang w:val="it-IT"/>
        </w:rPr>
        <w:t>”</w:t>
      </w:r>
      <w:r>
        <w:rPr>
          <w:rStyle w:val="FootnoteReference"/>
          <w:lang w:val="it-IT"/>
        </w:rPr>
        <w:footnoteReference w:id="82"/>
      </w:r>
      <w:r w:rsidRPr="00C52242">
        <w:rPr>
          <w:lang w:val="it-IT"/>
        </w:rPr>
        <w:t>.</w:t>
      </w:r>
    </w:p>
    <w:p w14:paraId="2CF06002" w14:textId="71309938" w:rsidR="00C52242" w:rsidRDefault="00531030" w:rsidP="00C52242">
      <w:pPr>
        <w:rPr>
          <w:lang w:val="it-IT"/>
        </w:rPr>
      </w:pPr>
      <w:r>
        <w:rPr>
          <w:lang w:val="it-IT"/>
        </w:rPr>
        <w:t>Alcuni tribunali inferiori</w:t>
      </w:r>
      <w:r>
        <w:rPr>
          <w:rStyle w:val="FootnoteReference"/>
          <w:lang w:val="it-IT"/>
        </w:rPr>
        <w:footnoteReference w:id="83"/>
      </w:r>
      <w:r>
        <w:rPr>
          <w:lang w:val="it-IT"/>
        </w:rPr>
        <w:t xml:space="preserve"> hanno cercato di concretizzare il concetto di common enteprise adottando tre approcci differenti:</w:t>
      </w:r>
    </w:p>
    <w:p w14:paraId="7072FB6B" w14:textId="6D56B3F6" w:rsidR="00531030" w:rsidRDefault="00531030" w:rsidP="005879DB">
      <w:pPr>
        <w:pStyle w:val="ListParagraph"/>
        <w:numPr>
          <w:ilvl w:val="0"/>
          <w:numId w:val="20"/>
        </w:numPr>
        <w:rPr>
          <w:lang w:val="it-IT"/>
        </w:rPr>
      </w:pPr>
      <w:r w:rsidRPr="00531030">
        <w:rPr>
          <w:b/>
          <w:lang w:val="it-IT"/>
        </w:rPr>
        <w:t>Horizontal commonality</w:t>
      </w:r>
      <w:r>
        <w:rPr>
          <w:lang w:val="it-IT"/>
        </w:rPr>
        <w:t xml:space="preserve">: Una common enterprise esiste nel momento in cui gli investitori mettono del capitale in comune e condividono, proporzionalmente alla rispettiva quota, i profitti e i rischi dell’impresa. </w:t>
      </w:r>
    </w:p>
    <w:p w14:paraId="31380B2E" w14:textId="6E927460" w:rsidR="00531030" w:rsidRPr="00531030" w:rsidRDefault="00531030" w:rsidP="005879DB">
      <w:pPr>
        <w:pStyle w:val="ListParagraph"/>
        <w:numPr>
          <w:ilvl w:val="0"/>
          <w:numId w:val="20"/>
        </w:numPr>
        <w:rPr>
          <w:b/>
          <w:lang w:val="it-IT"/>
        </w:rPr>
      </w:pPr>
      <w:r w:rsidRPr="00531030">
        <w:rPr>
          <w:b/>
          <w:lang w:val="it-IT"/>
        </w:rPr>
        <w:t>Broad vertical commonality</w:t>
      </w:r>
      <w:r>
        <w:rPr>
          <w:b/>
          <w:lang w:val="it-IT"/>
        </w:rPr>
        <w:t xml:space="preserve">: </w:t>
      </w:r>
      <w:r w:rsidRPr="00531030">
        <w:rPr>
          <w:lang w:val="it-IT"/>
        </w:rPr>
        <w:t>Questo approccio enfatizza la relazione fra l’investitore e il manager dell’impresa.</w:t>
      </w:r>
      <w:r>
        <w:rPr>
          <w:b/>
          <w:lang w:val="it-IT"/>
        </w:rPr>
        <w:t xml:space="preserve"> </w:t>
      </w:r>
      <w:r>
        <w:rPr>
          <w:lang w:val="it-IT"/>
        </w:rPr>
        <w:t xml:space="preserve">La common enterprise esiste nel momento in cui il patrimonio di un investitore dipende dal lavoro e dalla professionalità di un promoter. </w:t>
      </w:r>
    </w:p>
    <w:p w14:paraId="7AE6F3BB" w14:textId="762AFD05" w:rsidR="00531030" w:rsidRDefault="00531030" w:rsidP="005879DB">
      <w:pPr>
        <w:pStyle w:val="ListParagraph"/>
        <w:numPr>
          <w:ilvl w:val="0"/>
          <w:numId w:val="20"/>
        </w:numPr>
        <w:rPr>
          <w:lang w:val="it-IT"/>
        </w:rPr>
      </w:pPr>
      <w:r w:rsidRPr="00531030">
        <w:rPr>
          <w:b/>
          <w:lang w:val="it-IT"/>
        </w:rPr>
        <w:t>Narrow vertical commonality</w:t>
      </w:r>
      <w:r>
        <w:rPr>
          <w:lang w:val="it-IT"/>
        </w:rPr>
        <w:t xml:space="preserve">: La common enterprise esiste non solo in dipendenza rispetto al lavoro e professionalità di un promoter, ma anche in relazione ai profitti di quest’ultimo. </w:t>
      </w:r>
    </w:p>
    <w:p w14:paraId="6A399755" w14:textId="1756C698" w:rsidR="00531030" w:rsidRDefault="00DE1F79" w:rsidP="00DE1F79">
      <w:pPr>
        <w:pStyle w:val="Heading4"/>
        <w:rPr>
          <w:lang w:val="it-IT"/>
        </w:rPr>
      </w:pPr>
      <w:r w:rsidRPr="00DE1F79">
        <w:rPr>
          <w:lang w:val="it-IT"/>
        </w:rPr>
        <w:t>Reasonable Expectation of Profit</w:t>
      </w:r>
    </w:p>
    <w:p w14:paraId="49ECD0D2" w14:textId="470E4A63" w:rsidR="00531030" w:rsidRDefault="00531030" w:rsidP="00531030">
      <w:pPr>
        <w:rPr>
          <w:lang w:val="it-IT"/>
        </w:rPr>
      </w:pPr>
    </w:p>
    <w:p w14:paraId="0A489ED8" w14:textId="1149BC09" w:rsidR="00DE1F79" w:rsidRDefault="00DE1F79" w:rsidP="00531030">
      <w:pPr>
        <w:rPr>
          <w:lang w:val="it-IT"/>
        </w:rPr>
      </w:pPr>
      <w:r>
        <w:rPr>
          <w:lang w:val="it-IT"/>
        </w:rPr>
        <w:t>La Corte Suprema ha precisato che vi sono delle distinzioni tra investimenti in c</w:t>
      </w:r>
      <w:r w:rsidR="00154018">
        <w:rPr>
          <w:lang w:val="it-IT"/>
        </w:rPr>
        <w:t>u</w:t>
      </w:r>
      <w:r>
        <w:rPr>
          <w:lang w:val="it-IT"/>
        </w:rPr>
        <w:t>i gli acquirenti hanno come movente principale il rendimento economico (che soddisferebbe questo requisito) e investimenti in cui gli acquirenti hanno come principale movente il desiderio di usare o consumare un prodotto o servizio (che non soddisferebbe questo requisito).</w:t>
      </w:r>
    </w:p>
    <w:p w14:paraId="47C73B60" w14:textId="5FAEF521" w:rsidR="00DE1F79" w:rsidRPr="00531030" w:rsidRDefault="00DE1F79" w:rsidP="00531030">
      <w:pPr>
        <w:rPr>
          <w:lang w:val="it-IT"/>
        </w:rPr>
      </w:pPr>
      <w:r>
        <w:rPr>
          <w:lang w:val="it-IT"/>
        </w:rPr>
        <w:lastRenderedPageBreak/>
        <w:t xml:space="preserve">Questa distinzione è stata fondamentale durante la sentenza </w:t>
      </w:r>
      <w:r w:rsidRPr="00DE1F79">
        <w:rPr>
          <w:lang w:val="it-IT"/>
        </w:rPr>
        <w:t>United Housing Foundation, Inc. v. Forman</w:t>
      </w:r>
      <w:r w:rsidR="000E2EC7">
        <w:rPr>
          <w:rStyle w:val="FootnoteReference"/>
          <w:lang w:val="it-IT"/>
        </w:rPr>
        <w:footnoteReference w:id="84"/>
      </w:r>
      <w:r>
        <w:rPr>
          <w:lang w:val="it-IT"/>
        </w:rPr>
        <w:t>, dove il tribunale ha deciso che la proprietà di quote che</w:t>
      </w:r>
      <w:r w:rsidR="000E2EC7">
        <w:rPr>
          <w:lang w:val="it-IT"/>
        </w:rPr>
        <w:t xml:space="preserve"> intitolassero i detentori di locare un appartamento in una “housing cooperative”</w:t>
      </w:r>
      <w:r w:rsidR="000E2EC7">
        <w:rPr>
          <w:rStyle w:val="FootnoteReference"/>
          <w:lang w:val="it-IT"/>
        </w:rPr>
        <w:footnoteReference w:id="85"/>
      </w:r>
      <w:r w:rsidR="000E2EC7">
        <w:rPr>
          <w:lang w:val="it-IT"/>
        </w:rPr>
        <w:t xml:space="preserve"> non fossero Securities dal momento che mancava il requisito del profitto atteso. </w:t>
      </w:r>
    </w:p>
    <w:p w14:paraId="058D37AF" w14:textId="4F7D38AA" w:rsidR="00C52242" w:rsidRDefault="000E2EC7" w:rsidP="000E2EC7">
      <w:pPr>
        <w:pStyle w:val="Heading4"/>
      </w:pPr>
      <w:r w:rsidRPr="000E2EC7">
        <w:t>Derived from the Efforts of Others</w:t>
      </w:r>
    </w:p>
    <w:p w14:paraId="33DFC47B" w14:textId="45A12632" w:rsidR="000E2EC7" w:rsidRDefault="000E2EC7" w:rsidP="000E2EC7"/>
    <w:p w14:paraId="524321CE" w14:textId="0528238E" w:rsidR="000E2EC7" w:rsidRDefault="000E2EC7" w:rsidP="000E2EC7">
      <w:pPr>
        <w:rPr>
          <w:lang w:val="it-IT"/>
        </w:rPr>
      </w:pPr>
      <w:r w:rsidRPr="000E2EC7">
        <w:rPr>
          <w:lang w:val="it-IT"/>
        </w:rPr>
        <w:t xml:space="preserve">Nonostante la </w:t>
      </w:r>
      <w:r>
        <w:rPr>
          <w:lang w:val="it-IT"/>
        </w:rPr>
        <w:t>Corte Suprema abbia indicato nella sentenza Howey che i profitti devono derivare “</w:t>
      </w:r>
      <w:r w:rsidRPr="000E2EC7">
        <w:rPr>
          <w:i/>
          <w:lang w:val="it-IT"/>
        </w:rPr>
        <w:t>solely</w:t>
      </w:r>
      <w:r>
        <w:rPr>
          <w:lang w:val="it-IT"/>
        </w:rPr>
        <w:t xml:space="preserve"> from the efforts of others”, i Tribunali inferiori h</w:t>
      </w:r>
      <w:r w:rsidR="0081645A">
        <w:rPr>
          <w:lang w:val="it-IT"/>
        </w:rPr>
        <w:t>anno argomentato che il termine “solely” non deve essere interpretato letteralmente dal momento che la sentenza non ha usato quel termine nel resto del verdetto.</w:t>
      </w:r>
    </w:p>
    <w:p w14:paraId="6FE8A8EB" w14:textId="5CA2E97C" w:rsidR="0081645A" w:rsidRDefault="0081645A" w:rsidP="000E2EC7">
      <w:pPr>
        <w:rPr>
          <w:lang w:val="it-IT"/>
        </w:rPr>
      </w:pPr>
      <w:r>
        <w:rPr>
          <w:lang w:val="it-IT"/>
        </w:rPr>
        <w:t>La circoscrizione del Distretto di Columbia</w:t>
      </w:r>
      <w:r>
        <w:rPr>
          <w:rStyle w:val="FootnoteReference"/>
          <w:lang w:val="it-IT"/>
        </w:rPr>
        <w:footnoteReference w:id="86"/>
      </w:r>
      <w:r>
        <w:rPr>
          <w:lang w:val="it-IT"/>
        </w:rPr>
        <w:t xml:space="preserve"> ha disputato che il requisito è soddisfatto quando i profitti dipendono “</w:t>
      </w:r>
      <w:r w:rsidRPr="0081645A">
        <w:rPr>
          <w:lang w:val="it-IT"/>
        </w:rPr>
        <w:t>predominantly</w:t>
      </w:r>
      <w:r>
        <w:rPr>
          <w:lang w:val="it-IT"/>
        </w:rPr>
        <w:t>” dal lavoro altrui</w:t>
      </w:r>
      <w:r>
        <w:rPr>
          <w:rStyle w:val="FootnoteReference"/>
          <w:lang w:val="it-IT"/>
        </w:rPr>
        <w:footnoteReference w:id="87"/>
      </w:r>
      <w:r>
        <w:rPr>
          <w:lang w:val="it-IT"/>
        </w:rPr>
        <w:t xml:space="preserve">. </w:t>
      </w:r>
    </w:p>
    <w:p w14:paraId="142B0044" w14:textId="5E199C70" w:rsidR="00D62955" w:rsidRPr="00D62955" w:rsidRDefault="0081645A" w:rsidP="006776FE">
      <w:r w:rsidRPr="0081645A">
        <w:t>La nona circoscrizione ha indicato che è sufficiente che gli “efforts of others” siano “the undeniably significant ones . . . which affect the failure or success of the enterprise”</w:t>
      </w:r>
      <w:r>
        <w:rPr>
          <w:rStyle w:val="FootnoteReference"/>
        </w:rPr>
        <w:footnoteReference w:id="88"/>
      </w:r>
      <w:r>
        <w:t>.</w:t>
      </w:r>
    </w:p>
    <w:p w14:paraId="3CB4EAE6" w14:textId="0AA8522A" w:rsidR="00064339" w:rsidRPr="00643910" w:rsidRDefault="00D62955" w:rsidP="00AA6080">
      <w:pPr>
        <w:pStyle w:val="Heading4"/>
        <w:rPr>
          <w:lang w:val="it-IT"/>
        </w:rPr>
      </w:pPr>
      <w:r w:rsidRPr="00643910">
        <w:rPr>
          <w:lang w:val="it-IT"/>
        </w:rPr>
        <w:t>Exchange</w:t>
      </w:r>
    </w:p>
    <w:p w14:paraId="7664D1DF" w14:textId="77777777" w:rsidR="00AA6080" w:rsidRPr="00643910" w:rsidRDefault="00AA6080" w:rsidP="00AA6080">
      <w:pPr>
        <w:rPr>
          <w:lang w:val="it-IT"/>
        </w:rPr>
      </w:pPr>
    </w:p>
    <w:p w14:paraId="50C72AE2" w14:textId="3792C3DC" w:rsidR="00064339" w:rsidRDefault="00064339" w:rsidP="006776FE">
      <w:pPr>
        <w:rPr>
          <w:lang w:val="it-IT"/>
        </w:rPr>
      </w:pPr>
      <w:r w:rsidRPr="00064339">
        <w:rPr>
          <w:lang w:val="it-IT"/>
        </w:rPr>
        <w:t>La vendita di digital a</w:t>
      </w:r>
      <w:r>
        <w:rPr>
          <w:lang w:val="it-IT"/>
        </w:rPr>
        <w:t>ssets viene generalmente regolamentata solo se:</w:t>
      </w:r>
    </w:p>
    <w:p w14:paraId="0F8CA47F" w14:textId="7EE29BA0" w:rsidR="00064339" w:rsidRDefault="00064339" w:rsidP="005879DB">
      <w:pPr>
        <w:pStyle w:val="ListParagraph"/>
        <w:numPr>
          <w:ilvl w:val="0"/>
          <w:numId w:val="22"/>
        </w:numPr>
        <w:rPr>
          <w:lang w:val="it-IT"/>
        </w:rPr>
      </w:pPr>
      <w:r>
        <w:rPr>
          <w:lang w:val="it-IT"/>
        </w:rPr>
        <w:t>I digital asset venduti possono essere assimilati a delle Securities ai sensi della legge federale o statale</w:t>
      </w:r>
    </w:p>
    <w:p w14:paraId="56794A86" w14:textId="3D940146" w:rsidR="00064339" w:rsidRDefault="00064339" w:rsidP="005879DB">
      <w:pPr>
        <w:pStyle w:val="ListParagraph"/>
        <w:numPr>
          <w:ilvl w:val="0"/>
          <w:numId w:val="22"/>
        </w:numPr>
        <w:rPr>
          <w:lang w:val="it-IT"/>
        </w:rPr>
      </w:pPr>
      <w:r>
        <w:rPr>
          <w:lang w:val="it-IT"/>
        </w:rPr>
        <w:t>I digital asset venduti sono considerati come “money transmission” rendendo così il venditore un “money services business” (MSB)</w:t>
      </w:r>
      <w:r w:rsidR="001975F4">
        <w:rPr>
          <w:lang w:val="it-IT"/>
        </w:rPr>
        <w:t>.</w:t>
      </w:r>
    </w:p>
    <w:p w14:paraId="7201AA9A" w14:textId="78B2F203" w:rsidR="001975F4" w:rsidRPr="00643910" w:rsidRDefault="001975F4" w:rsidP="001975F4">
      <w:r w:rsidRPr="00643910">
        <w:t>Con MSB si intende:</w:t>
      </w:r>
    </w:p>
    <w:p w14:paraId="03FB55A7" w14:textId="1CC5C929" w:rsidR="001975F4" w:rsidRPr="001975F4" w:rsidRDefault="001975F4" w:rsidP="001975F4">
      <w:r w:rsidRPr="001975F4">
        <w:t>“any person</w:t>
      </w:r>
      <w:r>
        <w:t xml:space="preserve"> (</w:t>
      </w:r>
      <w:r w:rsidR="007F7928" w:rsidRPr="007F7928">
        <w:t>An individual, a corporation, a partnership, a trust or estate, a joint stock company, an association, a syndicate, joint venture, or other unincorporated organization or group, an Indian Tribe, and all entities cognizable as legal personalities</w:t>
      </w:r>
      <w:r w:rsidR="007F7928">
        <w:t>)</w:t>
      </w:r>
      <w:r w:rsidRPr="001975F4">
        <w:t xml:space="preserve"> doing business, whether or not on a regular basis or as an organized business concern, in one or more of the following capacities:</w:t>
      </w:r>
      <w:r>
        <w:t xml:space="preserve"> </w:t>
      </w:r>
      <w:r w:rsidRPr="001975F4">
        <w:t>(1) Currency dealer or exchanger</w:t>
      </w:r>
      <w:r>
        <w:t xml:space="preserve">, </w:t>
      </w:r>
      <w:r w:rsidRPr="001975F4">
        <w:t>(2) Check casher</w:t>
      </w:r>
      <w:r>
        <w:t xml:space="preserve">, </w:t>
      </w:r>
      <w:r w:rsidRPr="001975F4">
        <w:t>(3) Issuer of traveler's checks, money orders or stored value</w:t>
      </w:r>
      <w:r>
        <w:t xml:space="preserve">, </w:t>
      </w:r>
      <w:r w:rsidRPr="001975F4">
        <w:t>(4) Seller or redeemer of traveler's checks, money orders or stored value</w:t>
      </w:r>
      <w:r>
        <w:t xml:space="preserve">, </w:t>
      </w:r>
      <w:r w:rsidRPr="001975F4">
        <w:t>(5) Money transmitter</w:t>
      </w:r>
      <w:r>
        <w:t xml:space="preserve">, </w:t>
      </w:r>
      <w:r w:rsidRPr="001975F4">
        <w:t>(6) U.S. Postal Service.</w:t>
      </w:r>
      <w:r>
        <w:t>”</w:t>
      </w:r>
      <w:r w:rsidR="007F7928">
        <w:rPr>
          <w:rStyle w:val="FootnoteReference"/>
        </w:rPr>
        <w:footnoteReference w:id="89"/>
      </w:r>
    </w:p>
    <w:p w14:paraId="3E0F9D4F" w14:textId="7E1E7A31" w:rsidR="00194F04" w:rsidRPr="007F7928" w:rsidRDefault="007F7928" w:rsidP="006776FE">
      <w:pPr>
        <w:rPr>
          <w:lang w:val="it-IT"/>
        </w:rPr>
      </w:pPr>
      <w:r w:rsidRPr="007F7928">
        <w:rPr>
          <w:lang w:val="it-IT"/>
        </w:rPr>
        <w:t>Inoltre, ogni contratto derivato c</w:t>
      </w:r>
      <w:r>
        <w:rPr>
          <w:lang w:val="it-IT"/>
        </w:rPr>
        <w:t>ome i futures, le opzioni e gli swaps il cui sottostante sia un cryptoasset che ricade sotto la definizione di commodity</w:t>
      </w:r>
      <w:r w:rsidR="001C2D0E">
        <w:rPr>
          <w:rStyle w:val="FootnoteReference"/>
          <w:lang w:val="it-IT"/>
        </w:rPr>
        <w:footnoteReference w:id="90"/>
      </w:r>
      <w:r w:rsidR="001C2D0E">
        <w:rPr>
          <w:lang w:val="it-IT"/>
        </w:rPr>
        <w:t xml:space="preserve"> è soggetto alla regolamentazione e vigilanza della CFTC sotto il Commodity Exchange Act. </w:t>
      </w:r>
    </w:p>
    <w:p w14:paraId="7E8A95A6" w14:textId="4E0CAB48" w:rsidR="00194F04" w:rsidRDefault="004B5594" w:rsidP="006776FE">
      <w:pPr>
        <w:rPr>
          <w:lang w:val="it-IT"/>
        </w:rPr>
      </w:pPr>
      <w:r>
        <w:rPr>
          <w:lang w:val="it-IT"/>
        </w:rPr>
        <w:t>Ai sensi del Bank Secrecy Act (BSA), la FinCEN regola gli MSB. Per la FinCEN vengono considerati MSB:</w:t>
      </w:r>
    </w:p>
    <w:p w14:paraId="5713C983" w14:textId="1F6B7EC7" w:rsidR="00394A0E" w:rsidRDefault="00394A0E" w:rsidP="005879DB">
      <w:pPr>
        <w:pStyle w:val="ListParagraph"/>
        <w:numPr>
          <w:ilvl w:val="0"/>
          <w:numId w:val="23"/>
        </w:numPr>
        <w:rPr>
          <w:lang w:val="it-IT"/>
        </w:rPr>
      </w:pPr>
      <w:r>
        <w:rPr>
          <w:lang w:val="it-IT"/>
        </w:rPr>
        <w:t>A virtual currency exchange</w:t>
      </w:r>
    </w:p>
    <w:p w14:paraId="79EB6D42" w14:textId="1375DFDB" w:rsidR="00394A0E" w:rsidRDefault="00394A0E" w:rsidP="005879DB">
      <w:pPr>
        <w:pStyle w:val="ListParagraph"/>
        <w:numPr>
          <w:ilvl w:val="0"/>
          <w:numId w:val="23"/>
        </w:numPr>
      </w:pPr>
      <w:r w:rsidRPr="00394A0E">
        <w:t>An administrator of a c</w:t>
      </w:r>
      <w:r>
        <w:t>entralized repository of virtual currency who has the authority to both issue and redeem the virtual currency.</w:t>
      </w:r>
    </w:p>
    <w:p w14:paraId="2D851C86" w14:textId="7754AC0A" w:rsidR="00F6593C" w:rsidRDefault="00F6593C" w:rsidP="00F6593C">
      <w:pPr>
        <w:rPr>
          <w:lang w:val="it-IT"/>
        </w:rPr>
      </w:pPr>
      <w:r w:rsidRPr="00F6593C">
        <w:rPr>
          <w:lang w:val="it-IT"/>
        </w:rPr>
        <w:lastRenderedPageBreak/>
        <w:t>Il 18/03/13 la FinCEN ha e</w:t>
      </w:r>
      <w:r>
        <w:rPr>
          <w:lang w:val="it-IT"/>
        </w:rPr>
        <w:t>messo una direttiva che prescriveva come di seguito:</w:t>
      </w:r>
    </w:p>
    <w:p w14:paraId="0658E8E2" w14:textId="2A7D62B6" w:rsidR="00F6593C" w:rsidRDefault="00F6593C" w:rsidP="00F32B47">
      <w:r w:rsidRPr="00F6593C">
        <w:t>“An administrator or exchanger that (1) accepts and transmits a convertible virtual</w:t>
      </w:r>
      <w:r>
        <w:t xml:space="preserve"> </w:t>
      </w:r>
      <w:r w:rsidRPr="00F6593C">
        <w:t>currency or (2) buys or sells convertible virtual currency for any reason is a money transmitter</w:t>
      </w:r>
      <w:r>
        <w:t xml:space="preserve"> </w:t>
      </w:r>
      <w:r w:rsidRPr="00F6593C">
        <w:t>under FinCEN’s regulations, unless a limitation to or exemption from the definition applies to</w:t>
      </w:r>
      <w:r>
        <w:t xml:space="preserve"> </w:t>
      </w:r>
      <w:r w:rsidRPr="00F6593C">
        <w:t>the person.</w:t>
      </w:r>
      <w:r>
        <w:t xml:space="preserve"> </w:t>
      </w:r>
      <w:r w:rsidRPr="00F6593C">
        <w:t xml:space="preserve">FinCEN’s regulations define the term </w:t>
      </w:r>
      <w:r>
        <w:t>‘</w:t>
      </w:r>
      <w:r w:rsidRPr="00F6593C">
        <w:t>money transmitter</w:t>
      </w:r>
      <w:r>
        <w:t>’</w:t>
      </w:r>
      <w:r w:rsidRPr="00F6593C">
        <w:t xml:space="preserve"> as a person that</w:t>
      </w:r>
      <w:r>
        <w:t xml:space="preserve"> </w:t>
      </w:r>
      <w:r w:rsidRPr="00F6593C">
        <w:t>provides money transmission services, or any other person engaged in the transfer of funds. The</w:t>
      </w:r>
      <w:r>
        <w:t xml:space="preserve"> </w:t>
      </w:r>
      <w:r w:rsidRPr="00F6593C">
        <w:t xml:space="preserve">term </w:t>
      </w:r>
      <w:r>
        <w:t>‘</w:t>
      </w:r>
      <w:r w:rsidRPr="00F6593C">
        <w:t>money transmission services</w:t>
      </w:r>
      <w:r>
        <w:t>’</w:t>
      </w:r>
      <w:r w:rsidRPr="00F6593C">
        <w:t xml:space="preserve"> means the acceptance of currency, funds, or other value</w:t>
      </w:r>
      <w:r>
        <w:t xml:space="preserve"> </w:t>
      </w:r>
      <w:r w:rsidRPr="00F6593C">
        <w:t>that substitutes for currency from one person and the transmission of currency, funds, or other</w:t>
      </w:r>
      <w:r>
        <w:t xml:space="preserve"> </w:t>
      </w:r>
      <w:r w:rsidRPr="00F6593C">
        <w:t>value that substitutes for currency to another location or person by any means</w:t>
      </w:r>
      <w:r w:rsidR="00F32B47">
        <w:t>. The definition of a money transmitter does not differentiate between real currencies and convertible virtual currencies. Accepting and transmitting anything of value that substitutes for currency makes a person a money transmitter under the regulations implementing the BSA</w:t>
      </w:r>
      <w:r>
        <w:t>”</w:t>
      </w:r>
      <w:r w:rsidR="00F32B47">
        <w:rPr>
          <w:rStyle w:val="FootnoteReference"/>
        </w:rPr>
        <w:footnoteReference w:id="91"/>
      </w:r>
      <w:r w:rsidR="00F32B47">
        <w:t>.</w:t>
      </w:r>
    </w:p>
    <w:p w14:paraId="290C1F3B" w14:textId="010A7EF4" w:rsidR="00370C97" w:rsidRPr="00226FDF" w:rsidRDefault="00F32B47" w:rsidP="00370C97">
      <w:r w:rsidRPr="00F32B47">
        <w:rPr>
          <w:lang w:val="it-IT"/>
        </w:rPr>
        <w:t>Un MSB che è u</w:t>
      </w:r>
      <w:r>
        <w:rPr>
          <w:lang w:val="it-IT"/>
        </w:rPr>
        <w:t>n “money transmitter” deve sottoporsi ad un approfondito “risk assessment” della sua esposizione al riciclaggio di denaro e quindi implementare un programma di “anti-money laundering (AML)”. I regolamenti FinCEN impongono che gli MSB sviluppino, imp</w:t>
      </w:r>
      <w:r w:rsidR="00370C97">
        <w:rPr>
          <w:lang w:val="it-IT"/>
        </w:rPr>
        <w:t xml:space="preserve">lementino e mantengano un programma scritto che possa </w:t>
      </w:r>
      <w:r w:rsidR="00AA6080">
        <w:rPr>
          <w:lang w:val="it-IT"/>
        </w:rPr>
        <w:t>ragionevolmente</w:t>
      </w:r>
      <w:r w:rsidR="00370C97">
        <w:rPr>
          <w:lang w:val="it-IT"/>
        </w:rPr>
        <w:t xml:space="preserve"> prevenire il rischio che la MSB venga usata per facilitare il riciclaggio di denaro e finanziare attività terroristiche. </w:t>
      </w:r>
      <w:r w:rsidR="00370C97" w:rsidRPr="00226FDF">
        <w:t xml:space="preserve">Il programma di AML deve: “(i) </w:t>
      </w:r>
      <w:r w:rsidR="00226FDF" w:rsidRPr="00226FDF">
        <w:t>incorporate written policies, procedures and internal controls reasonably designed t</w:t>
      </w:r>
      <w:r w:rsidR="00226FDF">
        <w:t>o assure ongoing compliance; (ii) designate an individual compliance officer responsible for assuring day-to-day compliance with the program and BSA requirements; (iii) provide training for appropriate personnel, which specifically includes training in the detection of suspicious transactions; and (iv) provide for independent review to monitor and maintain an adequate program.”.</w:t>
      </w:r>
      <w:r w:rsidR="00226FDF">
        <w:rPr>
          <w:rStyle w:val="FootnoteReference"/>
        </w:rPr>
        <w:footnoteReference w:id="92"/>
      </w:r>
    </w:p>
    <w:p w14:paraId="6E8517DD" w14:textId="64034AFB" w:rsidR="00194F04" w:rsidRPr="00FE2E31" w:rsidRDefault="008860AC" w:rsidP="008860AC">
      <w:pPr>
        <w:pStyle w:val="Heading4"/>
        <w:rPr>
          <w:lang w:val="it-IT"/>
        </w:rPr>
      </w:pPr>
      <w:r w:rsidRPr="00FE2E31">
        <w:rPr>
          <w:lang w:val="it-IT"/>
        </w:rPr>
        <w:t>Exemptions</w:t>
      </w:r>
    </w:p>
    <w:p w14:paraId="6D607A37" w14:textId="293D8A91" w:rsidR="008860AC" w:rsidRPr="00FE2E31" w:rsidRDefault="008860AC" w:rsidP="008860AC">
      <w:pPr>
        <w:rPr>
          <w:lang w:val="it-IT"/>
        </w:rPr>
      </w:pPr>
    </w:p>
    <w:p w14:paraId="38F99672" w14:textId="20791548" w:rsidR="008860AC" w:rsidRDefault="008860AC" w:rsidP="008860AC">
      <w:pPr>
        <w:rPr>
          <w:lang w:val="it-IT"/>
        </w:rPr>
      </w:pPr>
      <w:r w:rsidRPr="008860AC">
        <w:rPr>
          <w:lang w:val="it-IT"/>
        </w:rPr>
        <w:t xml:space="preserve">Come previsto dalla sezione quinta del </w:t>
      </w:r>
      <w:r>
        <w:rPr>
          <w:lang w:val="it-IT"/>
        </w:rPr>
        <w:t>Securities Act è possibile chiedere un’esenzione dalla registrazione presso la SEC.</w:t>
      </w:r>
      <w:r w:rsidR="006B5386">
        <w:rPr>
          <w:lang w:val="it-IT"/>
        </w:rPr>
        <w:t xml:space="preserve"> Ricadere in una di queste regolamentazioni porta grandi benefici dal momento che permette di raccogliere capitale più velocemente a costi più bassi. </w:t>
      </w:r>
    </w:p>
    <w:p w14:paraId="12DA7E51" w14:textId="04347A5C" w:rsidR="008860AC" w:rsidRDefault="008860AC" w:rsidP="008860AC">
      <w:pPr>
        <w:rPr>
          <w:lang w:val="it-IT"/>
        </w:rPr>
      </w:pPr>
      <w:r>
        <w:rPr>
          <w:lang w:val="it-IT"/>
        </w:rPr>
        <w:t>Le tre modalità di esenzione sono le seguenti:</w:t>
      </w:r>
    </w:p>
    <w:p w14:paraId="6C46BB7D" w14:textId="464160D7" w:rsidR="008860AC" w:rsidRDefault="008860AC" w:rsidP="005879DB">
      <w:pPr>
        <w:pStyle w:val="ListParagraph"/>
        <w:numPr>
          <w:ilvl w:val="0"/>
          <w:numId w:val="27"/>
        </w:numPr>
      </w:pPr>
      <w:r w:rsidRPr="008860AC">
        <w:t>Regulation D - Rules Governing the Limited Offer and Sale of Securities</w:t>
      </w:r>
      <w:r>
        <w:t xml:space="preserve"> Without Registration Under the </w:t>
      </w:r>
      <w:r w:rsidRPr="008860AC">
        <w:t>Securities Act of 1933</w:t>
      </w:r>
    </w:p>
    <w:p w14:paraId="552CF9BC" w14:textId="5D2C108C" w:rsidR="008860AC" w:rsidRDefault="006B5386" w:rsidP="005879DB">
      <w:pPr>
        <w:pStyle w:val="ListParagraph"/>
        <w:numPr>
          <w:ilvl w:val="0"/>
          <w:numId w:val="27"/>
        </w:numPr>
      </w:pPr>
      <w:r w:rsidRPr="006B5386">
        <w:t>Regulation Crowdfunding</w:t>
      </w:r>
    </w:p>
    <w:p w14:paraId="7E83C18B" w14:textId="06345567" w:rsidR="006B5386" w:rsidRDefault="006B5386" w:rsidP="005879DB">
      <w:pPr>
        <w:pStyle w:val="ListParagraph"/>
        <w:numPr>
          <w:ilvl w:val="0"/>
          <w:numId w:val="27"/>
        </w:numPr>
      </w:pPr>
      <w:r>
        <w:t xml:space="preserve">Regulation A - </w:t>
      </w:r>
      <w:r w:rsidRPr="006B5386">
        <w:t>Conditional Small Issues Exemption</w:t>
      </w:r>
    </w:p>
    <w:p w14:paraId="20BD00F9" w14:textId="729C1C5F" w:rsidR="006B5386" w:rsidRPr="006B5386" w:rsidRDefault="006B5386" w:rsidP="006B5386">
      <w:pPr>
        <w:rPr>
          <w:b/>
          <w:lang w:val="it-IT"/>
        </w:rPr>
      </w:pPr>
      <w:r w:rsidRPr="006B5386">
        <w:rPr>
          <w:b/>
          <w:lang w:val="it-IT"/>
        </w:rPr>
        <w:t xml:space="preserve">Regulation D: </w:t>
      </w:r>
    </w:p>
    <w:p w14:paraId="1CD99BEB" w14:textId="6DF5952A" w:rsidR="00F56F1E" w:rsidRDefault="00C47E4C" w:rsidP="006B5386">
      <w:pPr>
        <w:rPr>
          <w:lang w:val="it-IT"/>
        </w:rPr>
      </w:pPr>
      <w:r>
        <w:rPr>
          <w:lang w:val="it-IT"/>
        </w:rPr>
        <w:t xml:space="preserve">La Regulation D contiene tre disposizioni di esenzione che si trovano nelle </w:t>
      </w:r>
      <w:r w:rsidRPr="00C47E4C">
        <w:rPr>
          <w:lang w:val="it-IT"/>
        </w:rPr>
        <w:t xml:space="preserve">Rules 504, 506(b) </w:t>
      </w:r>
      <w:r>
        <w:rPr>
          <w:lang w:val="it-IT"/>
        </w:rPr>
        <w:t>e 506(c), pensate e istituite per aiutare le piccole società a sollecitare capitale.</w:t>
      </w:r>
    </w:p>
    <w:p w14:paraId="7FD7FC64" w14:textId="4DEBC8EE" w:rsidR="00C47E4C" w:rsidRDefault="00C47E4C" w:rsidP="006B5386">
      <w:pPr>
        <w:rPr>
          <w:lang w:val="it-IT"/>
        </w:rPr>
      </w:pPr>
      <w:r>
        <w:rPr>
          <w:lang w:val="it-IT"/>
        </w:rPr>
        <w:t xml:space="preserve">È possibile ricadere sotto la Rule 504 quando l’offerta pubblica di sottoscrizione ha un valore inferiore a $10mln. La Rule </w:t>
      </w:r>
      <w:r w:rsidRPr="00C47E4C">
        <w:rPr>
          <w:lang w:val="it-IT"/>
        </w:rPr>
        <w:t>506(b) e 506(c)</w:t>
      </w:r>
      <w:r>
        <w:rPr>
          <w:lang w:val="it-IT"/>
        </w:rPr>
        <w:t xml:space="preserve"> non impongono limiti al valore dell’offerta. </w:t>
      </w:r>
    </w:p>
    <w:p w14:paraId="6988348A" w14:textId="391BED03" w:rsidR="00C47E4C" w:rsidRPr="006B5386" w:rsidRDefault="00C47E4C" w:rsidP="006B5386">
      <w:pPr>
        <w:rPr>
          <w:lang w:val="it-IT"/>
        </w:rPr>
      </w:pPr>
      <w:r>
        <w:rPr>
          <w:lang w:val="it-IT"/>
        </w:rPr>
        <w:t xml:space="preserve">Nonostante la Regulation D eviti la registrazione presso la SEC, deve la società deve comunque depositare un “Form D” con la SEC entro 15 giorni dalla prima vendita delle Securities. Il form contiene delle informazioni specifiche come il valore dell’offerta e la quantità di titoli venduti. </w:t>
      </w:r>
    </w:p>
    <w:p w14:paraId="058F1992" w14:textId="1CE62D0F" w:rsidR="00194F04" w:rsidRPr="00C47E4C" w:rsidRDefault="00C47E4C" w:rsidP="006776FE">
      <w:pPr>
        <w:rPr>
          <w:b/>
        </w:rPr>
      </w:pPr>
      <w:r w:rsidRPr="00C47E4C">
        <w:rPr>
          <w:b/>
        </w:rPr>
        <w:lastRenderedPageBreak/>
        <w:t>Regulation Crowdfunding:</w:t>
      </w:r>
    </w:p>
    <w:p w14:paraId="6ECDD024" w14:textId="39C8CFF0" w:rsidR="00C47E4C" w:rsidRDefault="00C47E4C" w:rsidP="00C47E4C">
      <w:r>
        <w:t>Secondo questa Regulation:</w:t>
      </w:r>
    </w:p>
    <w:p w14:paraId="67DE0E84" w14:textId="568BFA02" w:rsidR="00C47E4C" w:rsidRDefault="00C47E4C" w:rsidP="005879DB">
      <w:pPr>
        <w:pStyle w:val="ListParagraph"/>
        <w:numPr>
          <w:ilvl w:val="0"/>
          <w:numId w:val="28"/>
        </w:numPr>
        <w:rPr>
          <w:lang w:val="it-IT"/>
        </w:rPr>
      </w:pPr>
      <w:r w:rsidRPr="00C47E4C">
        <w:rPr>
          <w:lang w:val="it-IT"/>
        </w:rPr>
        <w:t xml:space="preserve">La vendita dei titoli deve essere svolta online attraverso un intermediario registrato presso la </w:t>
      </w:r>
      <w:r>
        <w:rPr>
          <w:lang w:val="it-IT"/>
        </w:rPr>
        <w:t>SEC</w:t>
      </w:r>
    </w:p>
    <w:p w14:paraId="5302F545" w14:textId="2F167A8C" w:rsidR="00C47E4C" w:rsidRDefault="00C47E4C" w:rsidP="005879DB">
      <w:pPr>
        <w:pStyle w:val="ListParagraph"/>
        <w:numPr>
          <w:ilvl w:val="0"/>
          <w:numId w:val="28"/>
        </w:numPr>
        <w:rPr>
          <w:lang w:val="it-IT"/>
        </w:rPr>
      </w:pPr>
      <w:r>
        <w:rPr>
          <w:lang w:val="it-IT"/>
        </w:rPr>
        <w:t xml:space="preserve">Il valore massimo di sottoscrizione è di $5mln </w:t>
      </w:r>
    </w:p>
    <w:p w14:paraId="3A2AC041" w14:textId="2FCA4C0C" w:rsidR="00C47E4C" w:rsidRDefault="00C47E4C" w:rsidP="005879DB">
      <w:pPr>
        <w:pStyle w:val="ListParagraph"/>
        <w:numPr>
          <w:ilvl w:val="0"/>
          <w:numId w:val="28"/>
        </w:numPr>
        <w:rPr>
          <w:lang w:val="it-IT"/>
        </w:rPr>
      </w:pPr>
      <w:r>
        <w:rPr>
          <w:lang w:val="it-IT"/>
        </w:rPr>
        <w:t>È possibile far partecipare un numero limitato di investitori non qualificati</w:t>
      </w:r>
    </w:p>
    <w:p w14:paraId="7ED43C33" w14:textId="06DCBF14" w:rsidR="00C47E4C" w:rsidRDefault="00C47E4C" w:rsidP="005879DB">
      <w:pPr>
        <w:pStyle w:val="ListParagraph"/>
        <w:numPr>
          <w:ilvl w:val="0"/>
          <w:numId w:val="28"/>
        </w:numPr>
        <w:rPr>
          <w:lang w:val="it-IT"/>
        </w:rPr>
      </w:pPr>
      <w:r>
        <w:rPr>
          <w:lang w:val="it-IT"/>
        </w:rPr>
        <w:t>Bisogna depositare un Form C presso la SEC</w:t>
      </w:r>
    </w:p>
    <w:p w14:paraId="5D9B1883" w14:textId="294B7A03" w:rsidR="00C47E4C" w:rsidRPr="00C47E4C" w:rsidRDefault="00C47E4C" w:rsidP="00C47E4C">
      <w:pPr>
        <w:rPr>
          <w:b/>
          <w:lang w:val="it-IT"/>
        </w:rPr>
      </w:pPr>
      <w:r w:rsidRPr="00C47E4C">
        <w:rPr>
          <w:b/>
          <w:lang w:val="it-IT"/>
        </w:rPr>
        <w:t>Regulation A:</w:t>
      </w:r>
    </w:p>
    <w:p w14:paraId="4F947FE8" w14:textId="4B1D3EFA" w:rsidR="00C47E4C" w:rsidRDefault="00C47E4C" w:rsidP="00C47E4C">
      <w:pPr>
        <w:rPr>
          <w:lang w:val="it-IT"/>
        </w:rPr>
      </w:pPr>
      <w:r>
        <w:rPr>
          <w:lang w:val="it-IT"/>
        </w:rPr>
        <w:t>Questa norma è rivolta principalmente al</w:t>
      </w:r>
      <w:r w:rsidR="00E84CE6">
        <w:rPr>
          <w:lang w:val="it-IT"/>
        </w:rPr>
        <w:t xml:space="preserve">le start-up o comunque società giovani. </w:t>
      </w:r>
    </w:p>
    <w:p w14:paraId="3C05CF64" w14:textId="29F99418" w:rsidR="00E84CE6" w:rsidRDefault="00E84CE6" w:rsidP="00C47E4C">
      <w:pPr>
        <w:rPr>
          <w:lang w:val="it-IT"/>
        </w:rPr>
      </w:pPr>
      <w:r>
        <w:rPr>
          <w:lang w:val="it-IT"/>
        </w:rPr>
        <w:t>Vi sono due differenti scope dall’esenzione offerta in questa regulation:</w:t>
      </w:r>
    </w:p>
    <w:p w14:paraId="66B3137D" w14:textId="390E20A6" w:rsidR="00E84CE6" w:rsidRDefault="00E84CE6" w:rsidP="005879DB">
      <w:pPr>
        <w:pStyle w:val="ListParagraph"/>
        <w:numPr>
          <w:ilvl w:val="0"/>
          <w:numId w:val="29"/>
        </w:numPr>
        <w:rPr>
          <w:lang w:val="it-IT"/>
        </w:rPr>
      </w:pPr>
      <w:r>
        <w:rPr>
          <w:lang w:val="it-IT"/>
        </w:rPr>
        <w:t>Tier 1: Offerte di sottoscrizioni con un valore inferiore a $20mln</w:t>
      </w:r>
    </w:p>
    <w:p w14:paraId="6E07647B" w14:textId="469DB300" w:rsidR="00E84CE6" w:rsidRDefault="00E84CE6" w:rsidP="005879DB">
      <w:pPr>
        <w:pStyle w:val="ListParagraph"/>
        <w:numPr>
          <w:ilvl w:val="0"/>
          <w:numId w:val="29"/>
        </w:numPr>
        <w:rPr>
          <w:lang w:val="it-IT"/>
        </w:rPr>
      </w:pPr>
      <w:r>
        <w:rPr>
          <w:lang w:val="it-IT"/>
        </w:rPr>
        <w:t>Tier 2: Offerte di sottoscrizioni con un valore inferiore a $75mln</w:t>
      </w:r>
    </w:p>
    <w:p w14:paraId="2AE8DC58" w14:textId="7C405B5E" w:rsidR="00E84CE6" w:rsidRPr="00E84CE6" w:rsidRDefault="00E84CE6" w:rsidP="00E84CE6">
      <w:pPr>
        <w:rPr>
          <w:lang w:val="it-IT"/>
        </w:rPr>
      </w:pPr>
      <w:r>
        <w:rPr>
          <w:lang w:val="it-IT"/>
        </w:rPr>
        <w:t>È comunque necessario depositare presso la SEC un prospetto informativo di tipo Form 1-A.</w:t>
      </w:r>
    </w:p>
    <w:p w14:paraId="5F537D07" w14:textId="17CFCF32" w:rsidR="00C47E4C" w:rsidRDefault="00E84CE6" w:rsidP="006776FE">
      <w:pPr>
        <w:rPr>
          <w:lang w:val="it-IT"/>
        </w:rPr>
      </w:pPr>
      <w:r>
        <w:rPr>
          <w:lang w:val="it-IT"/>
        </w:rPr>
        <w:t xml:space="preserve">La differenza tra Tier 1 e Tier 2 sta negli obblighi di reporting periodici. Le società con offerta Tier 1 dovranno solo, alla fine dell’offerta di sottoscrizione, depositare un exit report del tipo Form 1-Z non oltre 30gg dalla fine dell’offerta. </w:t>
      </w:r>
    </w:p>
    <w:p w14:paraId="1A4C641E" w14:textId="01D838BB" w:rsidR="00E84CE6" w:rsidRPr="00C47E4C" w:rsidRDefault="00E84CE6" w:rsidP="006776FE">
      <w:pPr>
        <w:rPr>
          <w:lang w:val="it-IT"/>
        </w:rPr>
      </w:pPr>
      <w:r>
        <w:rPr>
          <w:lang w:val="it-IT"/>
        </w:rPr>
        <w:t xml:space="preserve">Le società con offerta Tier 2 dovranno invece periodicamente emettere un report annuale di tipo Form 1-K. </w:t>
      </w:r>
    </w:p>
    <w:p w14:paraId="4218E69F" w14:textId="50543E39" w:rsidR="00C47E4C" w:rsidRPr="00C47E4C" w:rsidRDefault="00C47E4C" w:rsidP="006776FE">
      <w:pPr>
        <w:rPr>
          <w:lang w:val="it-IT"/>
        </w:rPr>
      </w:pPr>
    </w:p>
    <w:p w14:paraId="4AE3F017" w14:textId="257E84F7" w:rsidR="00C47E4C" w:rsidRPr="00C47E4C" w:rsidRDefault="00C47E4C" w:rsidP="006776FE">
      <w:pPr>
        <w:rPr>
          <w:lang w:val="it-IT"/>
        </w:rPr>
      </w:pPr>
    </w:p>
    <w:p w14:paraId="01BFACB5" w14:textId="31515F57" w:rsidR="00C47E4C" w:rsidRPr="00C47E4C" w:rsidRDefault="00C47E4C" w:rsidP="006776FE">
      <w:pPr>
        <w:rPr>
          <w:lang w:val="it-IT"/>
        </w:rPr>
      </w:pPr>
    </w:p>
    <w:p w14:paraId="19C3604E" w14:textId="77777777" w:rsidR="00C47E4C" w:rsidRPr="00C47E4C" w:rsidRDefault="00C47E4C" w:rsidP="006776FE">
      <w:pPr>
        <w:rPr>
          <w:lang w:val="it-IT"/>
        </w:rPr>
      </w:pPr>
    </w:p>
    <w:p w14:paraId="7CB5F435" w14:textId="27618F53" w:rsidR="00C71733" w:rsidRDefault="00C71733" w:rsidP="006776FE">
      <w:pPr>
        <w:rPr>
          <w:lang w:val="it-IT"/>
        </w:rPr>
      </w:pPr>
      <w:r w:rsidRPr="00C71733">
        <w:rPr>
          <w:lang w:val="it-IT"/>
        </w:rPr>
        <w:t>Pagina 20 Book innovation in real estate</w:t>
      </w:r>
      <w:r>
        <w:sym w:font="Wingdings" w:char="F0E0"/>
      </w:r>
      <w:r w:rsidRPr="00C71733">
        <w:rPr>
          <w:lang w:val="it-IT"/>
        </w:rPr>
        <w:t>è veramente una cosa buona mettere in un calderone un insieme di immobili e dimenticarsi del loro rischio idiosincratico</w:t>
      </w:r>
      <w:r>
        <w:rPr>
          <w:lang w:val="it-IT"/>
        </w:rPr>
        <w:t>?</w:t>
      </w:r>
    </w:p>
    <w:p w14:paraId="5AC91BF8" w14:textId="4DC0FBD1" w:rsidR="00C71733" w:rsidRDefault="00C71733" w:rsidP="006776FE">
      <w:pPr>
        <w:rPr>
          <w:lang w:val="it-IT"/>
        </w:rPr>
      </w:pPr>
      <w:r>
        <w:rPr>
          <w:lang w:val="it-IT"/>
        </w:rPr>
        <w:t>Pagina 21—&gt; come si fa ad astrarre un immobile in una tradable securities</w:t>
      </w:r>
    </w:p>
    <w:p w14:paraId="7F896759" w14:textId="6C2577A2" w:rsidR="00E55E9D" w:rsidRDefault="00E55E9D" w:rsidP="006776FE">
      <w:pPr>
        <w:rPr>
          <w:lang w:val="it-IT"/>
        </w:rPr>
      </w:pPr>
      <w:r>
        <w:rPr>
          <w:lang w:val="it-IT"/>
        </w:rPr>
        <w:t>Da pagina 28 a pagina 35</w:t>
      </w:r>
      <w:r w:rsidRPr="00E55E9D">
        <w:rPr>
          <w:lang w:val="it-IT"/>
        </w:rPr>
        <w:sym w:font="Wingdings" w:char="F0E0"/>
      </w:r>
      <w:r>
        <w:rPr>
          <w:lang w:val="it-IT"/>
        </w:rPr>
        <w:t xml:space="preserve">non si può usare CAPM in RE perché si comporta diversamente rispetto alle azioni. </w:t>
      </w:r>
    </w:p>
    <w:p w14:paraId="55BCED04" w14:textId="51FD28FE" w:rsidR="00E55E9D" w:rsidRPr="00E94B8C" w:rsidRDefault="00E55E9D" w:rsidP="006776FE">
      <w:pPr>
        <w:rPr>
          <w:b/>
          <w:lang w:val="it-IT"/>
        </w:rPr>
      </w:pPr>
      <w:r w:rsidRPr="00E94B8C">
        <w:rPr>
          <w:lang w:val="it-IT"/>
        </w:rPr>
        <w:t>Pagina 39</w:t>
      </w:r>
      <w:r w:rsidRPr="00E55E9D">
        <w:rPr>
          <w:lang w:val="it-IT"/>
        </w:rPr>
        <w:sym w:font="Wingdings" w:char="F0E0"/>
      </w:r>
      <w:r w:rsidRPr="00E94B8C">
        <w:rPr>
          <w:lang w:val="it-IT"/>
        </w:rPr>
        <w:t>takeaways from urban real estate economics</w:t>
      </w:r>
      <w:r w:rsidR="00E94B8C" w:rsidRPr="00E94B8C">
        <w:rPr>
          <w:lang w:val="it-IT"/>
        </w:rPr>
        <w:t>/</w:t>
      </w:r>
      <w:r w:rsidR="00E94B8C" w:rsidRPr="00E94B8C">
        <w:rPr>
          <w:b/>
          <w:lang w:val="it-IT"/>
        </w:rPr>
        <w:t>Fattori che muovono I valori di RE</w:t>
      </w:r>
    </w:p>
    <w:p w14:paraId="25A838BB" w14:textId="77777777" w:rsidR="00E94B8C" w:rsidRDefault="00E94B8C" w:rsidP="00E94B8C">
      <w:r>
        <w:t>“Each piece of real property may be a fixed point on the earth’s surface, but</w:t>
      </w:r>
    </w:p>
    <w:p w14:paraId="41951382" w14:textId="77777777" w:rsidR="00E94B8C" w:rsidRDefault="00E94B8C" w:rsidP="00E94B8C">
      <w:r>
        <w:t>this fixed point is a part of a highly dynamic framework. All manner of forces-economic, political, and social; international, national and local- are operating constantly to add to or to detract from the property’s capacity to</w:t>
      </w:r>
    </w:p>
    <w:p w14:paraId="4AEA2095" w14:textId="4BAB04AF" w:rsidR="00E55E9D" w:rsidRDefault="00E94B8C" w:rsidP="00E94B8C">
      <w:r>
        <w:t xml:space="preserve">produce income at a given site.” </w:t>
      </w:r>
      <w:r>
        <w:sym w:font="Wingdings" w:char="F0E0"/>
      </w:r>
      <w:r w:rsidRPr="00E94B8C">
        <w:t xml:space="preserve"> </w:t>
      </w:r>
      <w:r>
        <w:t xml:space="preserve">Weimer and Hoyt’s </w:t>
      </w:r>
      <w:r w:rsidRPr="00E94B8C">
        <w:rPr>
          <w:i/>
        </w:rPr>
        <w:t>Real Estate</w:t>
      </w:r>
      <w:r>
        <w:t>, (1966)</w:t>
      </w:r>
    </w:p>
    <w:p w14:paraId="7ADF9D84" w14:textId="6FC37B4A" w:rsidR="00FC676E" w:rsidRDefault="00FC676E" w:rsidP="00E94B8C">
      <w:r>
        <w:t>Pagina 61</w:t>
      </w:r>
      <w:r>
        <w:sym w:font="Wingdings" w:char="F0E0"/>
      </w:r>
      <w:r>
        <w:t xml:space="preserve">Hoeg risk factors </w:t>
      </w:r>
    </w:p>
    <w:p w14:paraId="395DB2FB" w14:textId="5FA03E3B" w:rsidR="00FC676E" w:rsidRDefault="00FC676E" w:rsidP="00E94B8C">
      <w:r>
        <w:t>Pag 62</w:t>
      </w:r>
      <w:r>
        <w:sym w:font="Wingdings" w:char="F0E0"/>
      </w:r>
      <w:r w:rsidRPr="00FC676E">
        <w:t>It should be clear by now that real estate is refractory to abstraction.</w:t>
      </w:r>
    </w:p>
    <w:p w14:paraId="38D92E01" w14:textId="099A9BB6" w:rsidR="00693535" w:rsidRPr="00E51BE0" w:rsidRDefault="00C0626A" w:rsidP="00E94B8C">
      <w:r>
        <w:t>Pag 167</w:t>
      </w:r>
      <w:r>
        <w:sym w:font="Wingdings" w:char="F0E0"/>
      </w:r>
      <w:r>
        <w:t xml:space="preserve">how tokens can benefit liquidity and in general solve RE probems. </w:t>
      </w:r>
      <w:r w:rsidR="00E51BE0" w:rsidRPr="00E51BE0">
        <w:t xml:space="preserve">Integrare con </w:t>
      </w:r>
      <w:hyperlink r:id="rId46" w:history="1">
        <w:r w:rsidR="00E51BE0" w:rsidRPr="00E51BE0">
          <w:rPr>
            <w:rStyle w:val="Hyperlink"/>
          </w:rPr>
          <w:t>https://assets.kpmg/content/dam/kpmg/cn/pdf/en/2020/04/real-estate-tokenization.pdf</w:t>
        </w:r>
      </w:hyperlink>
      <w:r w:rsidR="00E51BE0" w:rsidRPr="00E51BE0">
        <w:t xml:space="preserve"> che dice “by a digital register of members (ROM) on blockchain. New financial products could be distributed to a wider </w:t>
      </w:r>
      <w:r w:rsidR="00E51BE0" w:rsidRPr="00E51BE0">
        <w:lastRenderedPageBreak/>
        <w:t>pool of investors at a lower per unit cost, with a fee structure inclusive of an access premium for the previously inaccessible investment opportunity»”</w:t>
      </w:r>
    </w:p>
    <w:p w14:paraId="5A088637" w14:textId="77777777" w:rsidR="002D0AD5" w:rsidRPr="002D0AD5" w:rsidRDefault="0001600F" w:rsidP="002D0AD5">
      <w:pPr>
        <w:rPr>
          <w:lang w:val="it-IT"/>
        </w:rPr>
      </w:pPr>
      <w:r w:rsidRPr="0001600F">
        <w:rPr>
          <w:lang w:val="it-IT"/>
        </w:rPr>
        <w:t>Verificare da RE economics come si prezza un inv immobiliare dato che poi va riflesso nel token</w:t>
      </w:r>
      <w:r w:rsidR="002D0AD5" w:rsidRPr="002D0AD5">
        <w:rPr>
          <w:lang w:val="it-IT"/>
        </w:rPr>
        <w:sym w:font="Wingdings" w:char="F0E0"/>
      </w:r>
      <w:r w:rsidR="002D0AD5">
        <w:rPr>
          <w:lang w:val="it-IT"/>
        </w:rPr>
        <w:t>”</w:t>
      </w:r>
      <w:r w:rsidR="002D0AD5" w:rsidRPr="002D0AD5">
        <w:rPr>
          <w:lang w:val="it-IT"/>
        </w:rPr>
        <w:t>Real estate is a big sector of the economy, and it’s a very interesting operations</w:t>
      </w:r>
    </w:p>
    <w:p w14:paraId="1411D39C" w14:textId="77777777" w:rsidR="002D0AD5" w:rsidRPr="002D0AD5" w:rsidRDefault="002D0AD5" w:rsidP="002D0AD5">
      <w:r w:rsidRPr="002D0AD5">
        <w:t>research problem. It is not exactly like the portfolio selection problem.</w:t>
      </w:r>
    </w:p>
    <w:p w14:paraId="0AEFC32B" w14:textId="77777777" w:rsidR="002D0AD5" w:rsidRPr="002D0AD5" w:rsidRDefault="002D0AD5" w:rsidP="002D0AD5">
      <w:r w:rsidRPr="002D0AD5">
        <w:t>You really have to start from scratch, use whatever methodology the problem</w:t>
      </w:r>
    </w:p>
    <w:p w14:paraId="2B1F04A4" w14:textId="77777777" w:rsidR="002D0AD5" w:rsidRPr="002D0AD5" w:rsidRDefault="002D0AD5" w:rsidP="002D0AD5">
      <w:r w:rsidRPr="002D0AD5">
        <w:t>calls for… What I am saying is you folks ought to develop your own real</w:t>
      </w:r>
    </w:p>
    <w:p w14:paraId="6001CE02" w14:textId="77777777" w:rsidR="002D0AD5" w:rsidRPr="002D0AD5" w:rsidRDefault="002D0AD5" w:rsidP="002D0AD5">
      <w:r w:rsidRPr="002D0AD5">
        <w:t>estate theory which addresses itself very much to the illiquidities of the problem,</w:t>
      </w:r>
    </w:p>
    <w:p w14:paraId="79097BD1" w14:textId="7523572E" w:rsidR="0001600F" w:rsidRPr="006C6049" w:rsidRDefault="002D0AD5" w:rsidP="002D0AD5">
      <w:pPr>
        <w:rPr>
          <w:lang w:val="it-IT"/>
        </w:rPr>
      </w:pPr>
      <w:r w:rsidRPr="002D0AD5">
        <w:t>and you want a theory that is practical.</w:t>
      </w:r>
      <w:r>
        <w:t xml:space="preserve">” </w:t>
      </w:r>
      <w:r w:rsidRPr="006C6049">
        <w:rPr>
          <w:lang w:val="it-IT"/>
        </w:rPr>
        <w:t>Markowitz pag. 18 libro</w:t>
      </w:r>
    </w:p>
    <w:p w14:paraId="4C6F850C" w14:textId="434D5D8E" w:rsidR="00693535" w:rsidRDefault="00004AB9" w:rsidP="00E94B8C">
      <w:pPr>
        <w:rPr>
          <w:lang w:val="it-IT"/>
        </w:rPr>
      </w:pPr>
      <w:hyperlink r:id="rId47" w:history="1">
        <w:r w:rsidR="00693535" w:rsidRPr="00693535">
          <w:rPr>
            <w:rStyle w:val="Hyperlink"/>
            <w:lang w:val="it-IT"/>
          </w:rPr>
          <w:t>https://assets.kpmg/content/dam/kpmg/cn/pdf/en/2020/04/real-estate-tokenization.pdf</w:t>
        </w:r>
      </w:hyperlink>
      <w:r w:rsidR="00693535" w:rsidRPr="00693535">
        <w:rPr>
          <w:lang w:val="it-IT"/>
        </w:rPr>
        <w:t xml:space="preserve"> Pag. 13 spiega </w:t>
      </w:r>
      <w:r w:rsidR="0001600F">
        <w:rPr>
          <w:lang w:val="it-IT"/>
        </w:rPr>
        <w:t>perché i REITs sono peggio della Tokenization</w:t>
      </w:r>
      <w:r w:rsidR="00BB3318">
        <w:rPr>
          <w:lang w:val="it-IT"/>
        </w:rPr>
        <w:t xml:space="preserve"> </w:t>
      </w:r>
      <w:r w:rsidR="00BB3318" w:rsidRPr="00BB3318">
        <w:rPr>
          <w:lang w:val="it-IT"/>
        </w:rPr>
        <w:sym w:font="Wingdings" w:char="F0E0"/>
      </w:r>
      <w:r w:rsidR="00BB3318">
        <w:rPr>
          <w:lang w:val="it-IT"/>
        </w:rPr>
        <w:t xml:space="preserve"> fare un capitolo su REIT e fondi immobiliari? Nel caso può essere utile pagina 13/18/19 di GOTHA. </w:t>
      </w:r>
      <w:r w:rsidR="001C10B3">
        <w:rPr>
          <w:lang w:val="it-IT"/>
        </w:rPr>
        <w:t xml:space="preserve">Spiegare che i problema dei fondi di investimento, oltre a non essere easily tradable on the secondary market, è che hanno costi amministrativi troppo alti, hence tokenizzazione elimina questi costi. Per i REIT vale lo stesso. </w:t>
      </w:r>
      <w:hyperlink r:id="rId48" w:history="1">
        <w:r w:rsidR="004366FD" w:rsidRPr="00D20DCF">
          <w:rPr>
            <w:rStyle w:val="Hyperlink"/>
            <w:lang w:val="it-IT"/>
          </w:rPr>
          <w:t>https://0-www-emerald-com.opac.unicatt.it/insight/content/doi/10.1108/JPIF-10-2021-0087/full/pdf</w:t>
        </w:r>
      </w:hyperlink>
      <w:r w:rsidR="004366FD">
        <w:rPr>
          <w:lang w:val="it-IT"/>
        </w:rPr>
        <w:t xml:space="preserve"> </w:t>
      </w:r>
    </w:p>
    <w:p w14:paraId="65B1AE7D" w14:textId="488E5FF6" w:rsidR="000B2336" w:rsidRDefault="000B2336" w:rsidP="00E94B8C">
      <w:pPr>
        <w:rPr>
          <w:rStyle w:val="Hyperlink"/>
          <w:lang w:val="it-IT"/>
        </w:rPr>
      </w:pPr>
      <w:r>
        <w:rPr>
          <w:lang w:val="it-IT"/>
        </w:rPr>
        <w:t>pag. 163</w:t>
      </w:r>
      <w:r w:rsidRPr="000B2336">
        <w:rPr>
          <w:lang w:val="it-IT"/>
        </w:rPr>
        <w:sym w:font="Wingdings" w:char="F0E0"/>
      </w:r>
      <w:r>
        <w:rPr>
          <w:lang w:val="it-IT"/>
        </w:rPr>
        <w:t xml:space="preserve"> integrare con </w:t>
      </w:r>
      <w:hyperlink r:id="rId49" w:history="1">
        <w:r w:rsidRPr="00B359C8">
          <w:rPr>
            <w:rStyle w:val="Hyperlink"/>
            <w:lang w:val="it-IT"/>
          </w:rPr>
          <w:t>https://mitcre.mit.edu/wp-content/uploads/2019/11/Tokenized-Security-Commercial-Real-Estate2.pdf</w:t>
        </w:r>
      </w:hyperlink>
    </w:p>
    <w:p w14:paraId="19042EF8" w14:textId="2325E448" w:rsidR="00665FFB" w:rsidRDefault="00004AB9" w:rsidP="00E94B8C">
      <w:pPr>
        <w:rPr>
          <w:lang w:val="it-IT"/>
        </w:rPr>
      </w:pPr>
      <w:hyperlink r:id="rId50" w:history="1">
        <w:r w:rsidR="00665FFB" w:rsidRPr="007A095B">
          <w:rPr>
            <w:rStyle w:val="Hyperlink"/>
            <w:lang w:val="it-IT"/>
          </w:rPr>
          <w:t>https://www.sifma.org/wp-content/uploads/2020/11/Securitytokens-Paper.pdf</w:t>
        </w:r>
      </w:hyperlink>
      <w:r w:rsidR="00665FFB">
        <w:rPr>
          <w:lang w:val="it-IT"/>
        </w:rPr>
        <w:t xml:space="preserve"> COME FUNZIONANO I TOKENS</w:t>
      </w:r>
    </w:p>
    <w:p w14:paraId="72B87D29" w14:textId="5CB7E7C1" w:rsidR="000B2336" w:rsidRPr="00C857C3" w:rsidRDefault="00C857C3" w:rsidP="00E94B8C">
      <w:r w:rsidRPr="00C857C3">
        <w:t>e anche C:\Users\e67495\OneDrive - BNP Paribas\Documents\f\STOs</w:t>
      </w:r>
      <w:r>
        <w:t>\</w:t>
      </w:r>
      <w:r w:rsidRPr="00C857C3">
        <w:t>hbr-case-fluidity-tokenization-of-real-estate-assets-219057-pdf-eng</w:t>
      </w:r>
    </w:p>
    <w:p w14:paraId="08CDF69B" w14:textId="4FEFE117" w:rsidR="005D2168" w:rsidRDefault="00E51BE0" w:rsidP="00E94B8C">
      <w:pPr>
        <w:rPr>
          <w:lang w:val="it-IT"/>
        </w:rPr>
      </w:pPr>
      <w:r w:rsidRPr="005D2168">
        <w:rPr>
          <w:lang w:val="it-IT"/>
        </w:rPr>
        <w:t>Per BP guardare GOTHA.pdf</w:t>
      </w:r>
      <w:r w:rsidR="005D2168" w:rsidRPr="005D2168">
        <w:rPr>
          <w:lang w:val="it-IT"/>
        </w:rPr>
        <w:t xml:space="preserve"> e </w:t>
      </w:r>
      <w:r w:rsidR="005D2168">
        <w:rPr>
          <w:lang w:val="it-IT"/>
        </w:rPr>
        <w:t>guardare la parte “real estate fintech” per individuare competitor</w:t>
      </w:r>
    </w:p>
    <w:p w14:paraId="409B1E8D" w14:textId="51E2B8A3" w:rsidR="00424B36" w:rsidRDefault="00424B36" w:rsidP="00E94B8C">
      <w:r w:rsidRPr="00424B36">
        <w:t>IPSX per best practice in GOTHA</w:t>
      </w:r>
    </w:p>
    <w:p w14:paraId="01D214B8" w14:textId="583AB709" w:rsidR="00B82E75" w:rsidRDefault="00B82E75" w:rsidP="00E94B8C">
      <w:pPr>
        <w:rPr>
          <w:lang w:val="it-IT"/>
        </w:rPr>
      </w:pPr>
      <w:r w:rsidRPr="00B82E75">
        <w:rPr>
          <w:lang w:val="it-IT"/>
        </w:rPr>
        <w:t>Fare esempi leggibili per formule. S</w:t>
      </w:r>
      <w:r>
        <w:rPr>
          <w:lang w:val="it-IT"/>
        </w:rPr>
        <w:t xml:space="preserve">piegare formule. Inserire relazione finanzna e real estate. </w:t>
      </w:r>
    </w:p>
    <w:p w14:paraId="5F8CB380" w14:textId="120D7256" w:rsidR="00972071" w:rsidRDefault="00972071" w:rsidP="00E94B8C">
      <w:pPr>
        <w:rPr>
          <w:lang w:val="it-IT"/>
        </w:rPr>
      </w:pPr>
      <w:r>
        <w:rPr>
          <w:lang w:val="it-IT"/>
        </w:rPr>
        <w:t xml:space="preserve">Tassazione su real estate, relazione ed effetti. </w:t>
      </w:r>
    </w:p>
    <w:p w14:paraId="28E804EA" w14:textId="5F0B0016" w:rsidR="00972071" w:rsidRDefault="00972071" w:rsidP="00E94B8C">
      <w:pPr>
        <w:rPr>
          <w:lang w:val="it-IT"/>
        </w:rPr>
      </w:pPr>
      <w:r>
        <w:rPr>
          <w:lang w:val="it-IT"/>
        </w:rPr>
        <w:t xml:space="preserve">Airbnb real estate. </w:t>
      </w:r>
    </w:p>
    <w:p w14:paraId="440F4560" w14:textId="0CBB210B" w:rsidR="00415072" w:rsidRDefault="00415072" w:rsidP="00E94B8C">
      <w:pPr>
        <w:rPr>
          <w:lang w:val="it-IT"/>
        </w:rPr>
      </w:pPr>
      <w:r>
        <w:rPr>
          <w:lang w:val="it-IT"/>
        </w:rPr>
        <w:t>Fare esempio un investitore si trova davati a x scelte per fare l’investimento, mostrare come la mia</w:t>
      </w:r>
      <w:r w:rsidR="00C54274">
        <w:rPr>
          <w:lang w:val="it-IT"/>
        </w:rPr>
        <w:t xml:space="preserve"> soluzione sia la migliore. </w:t>
      </w:r>
    </w:p>
    <w:p w14:paraId="5D4A3B3A" w14:textId="47800909" w:rsidR="00415072" w:rsidRDefault="00415072" w:rsidP="00E94B8C">
      <w:pPr>
        <w:rPr>
          <w:lang w:val="it-IT"/>
        </w:rPr>
      </w:pPr>
      <w:r>
        <w:rPr>
          <w:lang w:val="it-IT"/>
        </w:rPr>
        <w:t xml:space="preserve">Mercati bond non era centralizzato. </w:t>
      </w:r>
    </w:p>
    <w:sectPr w:rsidR="00415072" w:rsidSect="001601BC">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7C61EC2" w14:textId="77777777" w:rsidR="00004AB9" w:rsidRDefault="00004AB9" w:rsidP="00A70573">
      <w:pPr>
        <w:spacing w:after="0" w:line="240" w:lineRule="auto"/>
      </w:pPr>
      <w:r>
        <w:separator/>
      </w:r>
    </w:p>
  </w:endnote>
  <w:endnote w:type="continuationSeparator" w:id="0">
    <w:p w14:paraId="681FA4EB" w14:textId="77777777" w:rsidR="00004AB9" w:rsidRDefault="00004AB9" w:rsidP="00A705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0CB0BA" w14:textId="77777777" w:rsidR="00004AB9" w:rsidRDefault="00004AB9" w:rsidP="00A70573">
      <w:pPr>
        <w:spacing w:after="0" w:line="240" w:lineRule="auto"/>
      </w:pPr>
      <w:r>
        <w:separator/>
      </w:r>
    </w:p>
  </w:footnote>
  <w:footnote w:type="continuationSeparator" w:id="0">
    <w:p w14:paraId="784729B4" w14:textId="77777777" w:rsidR="00004AB9" w:rsidRDefault="00004AB9" w:rsidP="00A70573">
      <w:pPr>
        <w:spacing w:after="0" w:line="240" w:lineRule="auto"/>
      </w:pPr>
      <w:r>
        <w:continuationSeparator/>
      </w:r>
    </w:p>
  </w:footnote>
  <w:footnote w:id="1">
    <w:p w14:paraId="3F9CF73B" w14:textId="7C02ED10" w:rsidR="004366FD" w:rsidRPr="006C6049" w:rsidRDefault="004366FD" w:rsidP="006C6049">
      <w:pPr>
        <w:pStyle w:val="FootnoteText"/>
      </w:pPr>
      <w:r>
        <w:rPr>
          <w:rStyle w:val="FootnoteReference"/>
        </w:rPr>
        <w:footnoteRef/>
      </w:r>
      <w:r>
        <w:t xml:space="preserve"> </w:t>
      </w:r>
      <w:r w:rsidRPr="006C6049">
        <w:t>Patrick Lecomte</w:t>
      </w:r>
      <w:r>
        <w:t>, New Frontiers in Real Estate Finance - The Rise of Micro Markets</w:t>
      </w:r>
    </w:p>
  </w:footnote>
  <w:footnote w:id="2">
    <w:p w14:paraId="55F0FC49" w14:textId="52869C03" w:rsidR="004366FD" w:rsidRPr="006C6049" w:rsidRDefault="004366FD">
      <w:pPr>
        <w:pStyle w:val="FootnoteText"/>
      </w:pPr>
      <w:r>
        <w:rPr>
          <w:rStyle w:val="FootnoteReference"/>
        </w:rPr>
        <w:footnoteRef/>
      </w:r>
      <w:r w:rsidRPr="006C6049">
        <w:t xml:space="preserve"> https://www.treccani.it/vocabolario/immobile/</w:t>
      </w:r>
    </w:p>
  </w:footnote>
  <w:footnote w:id="3">
    <w:p w14:paraId="25BAECB7" w14:textId="14B61D33" w:rsidR="004366FD" w:rsidRPr="00E13AE8" w:rsidRDefault="004366FD">
      <w:pPr>
        <w:pStyle w:val="FootnoteText"/>
      </w:pPr>
      <w:r>
        <w:rPr>
          <w:rStyle w:val="FootnoteReference"/>
        </w:rPr>
        <w:footnoteRef/>
      </w:r>
      <w:r>
        <w:t xml:space="preserve"> </w:t>
      </w:r>
      <w:r w:rsidRPr="00E13AE8">
        <w:t>Pirounakis, Nicholas G.. Real Estate Economics : A Point-To-Point Handbook, Taylor &amp; Francis Group, 2013.</w:t>
      </w:r>
    </w:p>
  </w:footnote>
  <w:footnote w:id="4">
    <w:p w14:paraId="0CBD247A" w14:textId="5ADB420D" w:rsidR="004366FD" w:rsidRPr="000253AF" w:rsidRDefault="004366FD">
      <w:pPr>
        <w:pStyle w:val="FootnoteText"/>
      </w:pPr>
      <w:r>
        <w:rPr>
          <w:rStyle w:val="FootnoteReference"/>
        </w:rPr>
        <w:footnoteRef/>
      </w:r>
      <w:r>
        <w:t xml:space="preserve"> </w:t>
      </w:r>
      <w:r w:rsidRPr="000253AF">
        <w:t>Mercer. Real Estate as an A</w:t>
      </w:r>
      <w:r>
        <w:t>sset Class, 2019</w:t>
      </w:r>
    </w:p>
  </w:footnote>
  <w:footnote w:id="5">
    <w:p w14:paraId="604106EA" w14:textId="1C5AFF9F" w:rsidR="004366FD" w:rsidRPr="009A7CA3" w:rsidRDefault="004366FD" w:rsidP="009A7CA3">
      <w:pPr>
        <w:pStyle w:val="FootnoteText"/>
      </w:pPr>
      <w:r>
        <w:rPr>
          <w:rStyle w:val="FootnoteReference"/>
        </w:rPr>
        <w:footnoteRef/>
      </w:r>
      <w:r>
        <w:t xml:space="preserve"> </w:t>
      </w:r>
      <w:r w:rsidRPr="00453A55">
        <w:t>National Accounts of OECD Countries</w:t>
      </w:r>
      <w:r>
        <w:t>, GDP Output Approach at current prices</w:t>
      </w:r>
    </w:p>
  </w:footnote>
  <w:footnote w:id="6">
    <w:p w14:paraId="577318D7" w14:textId="78353A83" w:rsidR="004366FD" w:rsidRPr="000D4BE5" w:rsidRDefault="004366FD">
      <w:pPr>
        <w:pStyle w:val="FootnoteText"/>
      </w:pPr>
      <w:r>
        <w:rPr>
          <w:rStyle w:val="FootnoteReference"/>
        </w:rPr>
        <w:footnoteRef/>
      </w:r>
      <w:r>
        <w:t xml:space="preserve"> </w:t>
      </w:r>
      <w:r w:rsidRPr="000D4BE5">
        <w:t>G. Donald Jud</w:t>
      </w:r>
      <w:r>
        <w:t xml:space="preserve">, </w:t>
      </w:r>
      <w:r w:rsidRPr="000D4BE5">
        <w:t>Daniel T. Winkler</w:t>
      </w:r>
      <w:r>
        <w:t xml:space="preserve">. </w:t>
      </w:r>
      <w:r w:rsidRPr="002E0EA3">
        <w:t>The Q Theory of Housing Investment</w:t>
      </w:r>
      <w:r>
        <w:t xml:space="preserve">, </w:t>
      </w:r>
      <w:r w:rsidRPr="002E0EA3">
        <w:t>2003</w:t>
      </w:r>
    </w:p>
  </w:footnote>
  <w:footnote w:id="7">
    <w:p w14:paraId="18B2669E" w14:textId="6EE03BE6" w:rsidR="004366FD" w:rsidRPr="006046CD" w:rsidRDefault="004366FD">
      <w:pPr>
        <w:pStyle w:val="FootnoteText"/>
      </w:pPr>
      <w:r>
        <w:rPr>
          <w:rStyle w:val="FootnoteReference"/>
        </w:rPr>
        <w:footnoteRef/>
      </w:r>
      <w:r>
        <w:t xml:space="preserve"> Jeffrey D. Fisher, </w:t>
      </w:r>
      <w:r w:rsidRPr="006046CD">
        <w:t>C. F. Sirmans</w:t>
      </w:r>
      <w:r>
        <w:t xml:space="preserve">. </w:t>
      </w:r>
      <w:r w:rsidRPr="006046CD">
        <w:t>The Role of Commercial Real Estate in a Multi-Asset Portfolio</w:t>
      </w:r>
      <w:r>
        <w:t>, 1994</w:t>
      </w:r>
    </w:p>
  </w:footnote>
  <w:footnote w:id="8">
    <w:p w14:paraId="1884F2D1" w14:textId="77777777" w:rsidR="004366FD" w:rsidRDefault="004366FD" w:rsidP="00D60A39">
      <w:pPr>
        <w:pStyle w:val="FootnoteText"/>
      </w:pPr>
      <w:r>
        <w:rPr>
          <w:rStyle w:val="FootnoteReference"/>
        </w:rPr>
        <w:footnoteRef/>
      </w:r>
      <w:r>
        <w:t xml:space="preserve"> US Federal Reserve Board, Z.1, Financial Accounts of the United States, Table B.100 Balance Sheet</w:t>
      </w:r>
    </w:p>
    <w:p w14:paraId="2F764A1F" w14:textId="2DFAF727" w:rsidR="004366FD" w:rsidRPr="00D60A39" w:rsidRDefault="004366FD" w:rsidP="00D60A39">
      <w:pPr>
        <w:pStyle w:val="FootnoteText"/>
      </w:pPr>
      <w:r>
        <w:t xml:space="preserve">of Households and Nonprofit Organizations - </w:t>
      </w:r>
      <w:r w:rsidRPr="00D60A39">
        <w:t>Households and Nonprofit Organizations; Real Estate at Market Value</w:t>
      </w:r>
    </w:p>
  </w:footnote>
  <w:footnote w:id="9">
    <w:p w14:paraId="09632F34" w14:textId="77777777" w:rsidR="004366FD" w:rsidRDefault="004366FD" w:rsidP="00D60A39">
      <w:pPr>
        <w:pStyle w:val="FootnoteText"/>
      </w:pPr>
      <w:r>
        <w:rPr>
          <w:rStyle w:val="FootnoteReference"/>
        </w:rPr>
        <w:footnoteRef/>
      </w:r>
      <w:r>
        <w:t xml:space="preserve"> US Federal Reserve Board, Z.1, Financial Accounts of the United States, Table B.100 Balance Sheet</w:t>
      </w:r>
    </w:p>
    <w:p w14:paraId="67E88E4E" w14:textId="630C9A51" w:rsidR="004366FD" w:rsidRPr="00D60A39" w:rsidRDefault="004366FD" w:rsidP="00D60A39">
      <w:pPr>
        <w:pStyle w:val="FootnoteText"/>
      </w:pPr>
      <w:r>
        <w:t>of Households and Nonprofit Organizations - Directly Held Equity Shares at Market V</w:t>
      </w:r>
      <w:r w:rsidRPr="00AD3651">
        <w:t>alue</w:t>
      </w:r>
    </w:p>
  </w:footnote>
  <w:footnote w:id="10">
    <w:p w14:paraId="0EA3385A" w14:textId="06042CE9" w:rsidR="004366FD" w:rsidRPr="0082563B" w:rsidRDefault="004366FD" w:rsidP="0082563B">
      <w:pPr>
        <w:pStyle w:val="FootnoteText"/>
      </w:pPr>
      <w:r>
        <w:rPr>
          <w:rStyle w:val="FootnoteReference"/>
        </w:rPr>
        <w:footnoteRef/>
      </w:r>
      <w:r>
        <w:t xml:space="preserve"> EPRA RESEARCH - Are public and private real estate returns and risks the same? - 2014</w:t>
      </w:r>
    </w:p>
  </w:footnote>
  <w:footnote w:id="11">
    <w:p w14:paraId="397B9293" w14:textId="25E8C221" w:rsidR="004366FD" w:rsidRPr="0082563B" w:rsidRDefault="004366FD" w:rsidP="0082563B">
      <w:pPr>
        <w:pStyle w:val="FootnoteText"/>
      </w:pPr>
      <w:r>
        <w:rPr>
          <w:rStyle w:val="FootnoteReference"/>
        </w:rPr>
        <w:footnoteRef/>
      </w:r>
      <w:r>
        <w:t xml:space="preserve"> Martin Hoesli &amp; Elias Oikarinen (2021) Does listed real estate behave like direct real estate?</w:t>
      </w:r>
    </w:p>
  </w:footnote>
  <w:footnote w:id="12">
    <w:p w14:paraId="5D27E128" w14:textId="1866C873" w:rsidR="004366FD" w:rsidRPr="007F468F" w:rsidRDefault="004366FD">
      <w:pPr>
        <w:pStyle w:val="FootnoteText"/>
      </w:pPr>
      <w:r>
        <w:rPr>
          <w:rStyle w:val="FootnoteReference"/>
        </w:rPr>
        <w:footnoteRef/>
      </w:r>
      <w:r>
        <w:t xml:space="preserve"> </w:t>
      </w:r>
      <w:r w:rsidRPr="007F468F">
        <w:t>Richard Gold (1995) Why the Efficient Frontier for Real Estate Is “Fuzzy”, Journal of Real Estate Portfolio Management, 1:1, 59-66</w:t>
      </w:r>
    </w:p>
  </w:footnote>
  <w:footnote w:id="13">
    <w:p w14:paraId="36300D5D" w14:textId="66A3A321" w:rsidR="004366FD" w:rsidRPr="00510439" w:rsidRDefault="004366FD">
      <w:pPr>
        <w:pStyle w:val="FootnoteText"/>
      </w:pPr>
      <w:r>
        <w:rPr>
          <w:rStyle w:val="FootnoteReference"/>
        </w:rPr>
        <w:footnoteRef/>
      </w:r>
      <w:r>
        <w:t xml:space="preserve"> </w:t>
      </w:r>
      <w:r w:rsidRPr="00510439">
        <w:t xml:space="preserve">Eugene F. Fama. Efficient Capital Markets: A Review of </w:t>
      </w:r>
      <w:r>
        <w:t>Theory and Empirical Work, Journal of Finance 25, 383-420. 1970</w:t>
      </w:r>
    </w:p>
  </w:footnote>
  <w:footnote w:id="14">
    <w:p w14:paraId="26DEE9D5" w14:textId="1B0D84F9" w:rsidR="004366FD" w:rsidRPr="00510439" w:rsidRDefault="004366FD">
      <w:pPr>
        <w:pStyle w:val="FootnoteText"/>
      </w:pPr>
      <w:r>
        <w:rPr>
          <w:rStyle w:val="FootnoteReference"/>
        </w:rPr>
        <w:footnoteRef/>
      </w:r>
      <w:r w:rsidRPr="00510439">
        <w:t xml:space="preserve"> Grossman S.J. e Stiglitz J. Information and </w:t>
      </w:r>
      <w:r>
        <w:t>Competitive Price Systems, The American Economic Review 66, 246-253. 1980</w:t>
      </w:r>
    </w:p>
  </w:footnote>
  <w:footnote w:id="15">
    <w:p w14:paraId="09D8539F" w14:textId="6E5A89BF" w:rsidR="004366FD" w:rsidRPr="006E49CB" w:rsidRDefault="004366FD" w:rsidP="006E49CB">
      <w:pPr>
        <w:pStyle w:val="FootnoteText"/>
      </w:pPr>
      <w:r>
        <w:rPr>
          <w:rStyle w:val="FootnoteReference"/>
        </w:rPr>
        <w:footnoteRef/>
      </w:r>
      <w:r>
        <w:t xml:space="preserve"> </w:t>
      </w:r>
      <w:r w:rsidRPr="006E49CB">
        <w:t>Shanaka Herath</w:t>
      </w:r>
      <w:r>
        <w:t xml:space="preserve"> e </w:t>
      </w:r>
      <w:r w:rsidRPr="006E49CB">
        <w:t>Gunther Maier</w:t>
      </w:r>
      <w:r>
        <w:t>. Informational efficiency of the real estate market: a meta-analysis. 2015</w:t>
      </w:r>
    </w:p>
  </w:footnote>
  <w:footnote w:id="16">
    <w:p w14:paraId="0E397556" w14:textId="4C23524C" w:rsidR="004366FD" w:rsidRPr="00267C72" w:rsidRDefault="004366FD">
      <w:pPr>
        <w:pStyle w:val="FootnoteText"/>
      </w:pPr>
      <w:r>
        <w:rPr>
          <w:rStyle w:val="FootnoteReference"/>
        </w:rPr>
        <w:footnoteRef/>
      </w:r>
      <w:r>
        <w:t xml:space="preserve"> </w:t>
      </w:r>
      <w:r w:rsidRPr="00267C72">
        <w:t>Baum, A. and Hartzell, D (2012): Global Property Investment – Strategies, Structures, Decisions, Wiley Blackwell</w:t>
      </w:r>
    </w:p>
  </w:footnote>
  <w:footnote w:id="17">
    <w:p w14:paraId="40367290" w14:textId="0C68A4BA" w:rsidR="004366FD" w:rsidRPr="00267C72" w:rsidRDefault="004366FD" w:rsidP="00267C72">
      <w:pPr>
        <w:pStyle w:val="FootnoteText"/>
      </w:pPr>
      <w:r>
        <w:rPr>
          <w:rStyle w:val="FootnoteReference"/>
        </w:rPr>
        <w:footnoteRef/>
      </w:r>
      <w:r>
        <w:t xml:space="preserve"> </w:t>
      </w:r>
      <w:r w:rsidRPr="00267C72">
        <w:t>Cornell University’s Baker Program in Real Estate – Hodes Weill &amp;</w:t>
      </w:r>
      <w:r>
        <w:t xml:space="preserve"> Associates, Institutional Real Estate Allocations Monitor, 2021</w:t>
      </w:r>
    </w:p>
  </w:footnote>
  <w:footnote w:id="18">
    <w:p w14:paraId="5EDFCC66" w14:textId="70CD71C5" w:rsidR="004366FD" w:rsidRPr="00D518AD" w:rsidRDefault="004366FD">
      <w:pPr>
        <w:pStyle w:val="FootnoteText"/>
      </w:pPr>
      <w:r>
        <w:rPr>
          <w:rStyle w:val="FootnoteReference"/>
        </w:rPr>
        <w:footnoteRef/>
      </w:r>
      <w:r>
        <w:t xml:space="preserve"> </w:t>
      </w:r>
      <w:r w:rsidRPr="00D518AD">
        <w:t>Coase, R. H. “The Problem of Social Cost.” The Journal of Law &amp; Economics, vol. 3, [University of Chicago Press, Booth School of Business, University of Chicago, University of Chicago Law School], 1960, pp. 1–44, http://www.jstor.org/stable/724810.</w:t>
      </w:r>
    </w:p>
  </w:footnote>
  <w:footnote w:id="19">
    <w:p w14:paraId="5677A6C2" w14:textId="01D83B7E" w:rsidR="004366FD" w:rsidRPr="001A6857" w:rsidRDefault="004366FD">
      <w:pPr>
        <w:pStyle w:val="FootnoteText"/>
      </w:pPr>
      <w:r>
        <w:rPr>
          <w:rStyle w:val="FootnoteReference"/>
        </w:rPr>
        <w:footnoteRef/>
      </w:r>
      <w:r>
        <w:t xml:space="preserve"> </w:t>
      </w:r>
      <w:r w:rsidRPr="001A6857">
        <w:t xml:space="preserve">Merlo, Antonio M. and Ortalo-Magne, Francois, Bargaining Over Residential Real Estate: Evidence from England, Third Version (May 11, 2004). </w:t>
      </w:r>
    </w:p>
  </w:footnote>
  <w:footnote w:id="20">
    <w:p w14:paraId="5A53AEE2" w14:textId="7728F5C0" w:rsidR="004366FD" w:rsidRPr="001A6857" w:rsidRDefault="004366FD">
      <w:pPr>
        <w:pStyle w:val="FootnoteText"/>
      </w:pPr>
      <w:r>
        <w:rPr>
          <w:rStyle w:val="FootnoteReference"/>
        </w:rPr>
        <w:footnoteRef/>
      </w:r>
      <w:r>
        <w:t xml:space="preserve"> </w:t>
      </w:r>
      <w:r w:rsidRPr="001A6857">
        <w:t>Raymond Brastow, Thomas Springer and Bennie Waller</w:t>
      </w:r>
      <w:r>
        <w:t xml:space="preserve">, </w:t>
      </w:r>
      <w:r w:rsidRPr="001A6857">
        <w:t>Efficiency and Incentives in Residential Brokerage</w:t>
      </w:r>
      <w:r>
        <w:t xml:space="preserve">, </w:t>
      </w:r>
      <w:r w:rsidRPr="001A6857">
        <w:t>The Journal of Real Estate Finance and Economics, 2012, vol. 45, issue 4, 1061 pages</w:t>
      </w:r>
    </w:p>
  </w:footnote>
  <w:footnote w:id="21">
    <w:p w14:paraId="3A14FE80" w14:textId="09CE8A0A" w:rsidR="004366FD" w:rsidRPr="008300FB" w:rsidRDefault="004366FD" w:rsidP="008300FB">
      <w:pPr>
        <w:pStyle w:val="FootnoteText"/>
      </w:pPr>
      <w:r>
        <w:rPr>
          <w:rStyle w:val="FootnoteReference"/>
        </w:rPr>
        <w:footnoteRef/>
      </w:r>
      <w:r>
        <w:t xml:space="preserve"> Cooter, Robert and Ulen, Thomas, "Law and Economics, 6th edition" (2016). Berkeley Law Books</w:t>
      </w:r>
    </w:p>
  </w:footnote>
  <w:footnote w:id="22">
    <w:p w14:paraId="56BF2041" w14:textId="4270C7C5" w:rsidR="004366FD" w:rsidRPr="00A83EDA" w:rsidRDefault="004366FD" w:rsidP="00A83EDA">
      <w:pPr>
        <w:pStyle w:val="FootnoteText"/>
      </w:pPr>
      <w:r>
        <w:rPr>
          <w:rStyle w:val="FootnoteReference"/>
        </w:rPr>
        <w:footnoteRef/>
      </w:r>
      <w:r>
        <w:t xml:space="preserve"> Crowston, K. &amp; Wigand, R. Real estate war in cyberspace: An emerging electronic market? International Journal of Electronic </w:t>
      </w:r>
      <w:r w:rsidRPr="00E55E9D">
        <w:t>Markets, 9(1–2), 1–8</w:t>
      </w:r>
    </w:p>
  </w:footnote>
  <w:footnote w:id="23">
    <w:p w14:paraId="711B95F1" w14:textId="1EF3E172" w:rsidR="004366FD" w:rsidRPr="000A173D" w:rsidRDefault="004366FD">
      <w:pPr>
        <w:pStyle w:val="FootnoteText"/>
      </w:pPr>
      <w:r>
        <w:rPr>
          <w:rStyle w:val="FootnoteReference"/>
        </w:rPr>
        <w:footnoteRef/>
      </w:r>
      <w:r w:rsidRPr="00E55E9D">
        <w:t xml:space="preserve"> Bian, Xun, et al. </w:t>
      </w:r>
      <w:r w:rsidRPr="000A173D">
        <w:t>“The Role of Transaction Costs in Impeding Market Exchange in Real Estate.” Journal of Housing Research, vol. 25, no. 2, American Real E</w:t>
      </w:r>
      <w:r>
        <w:t>state Society, 2016, pp. 115–36</w:t>
      </w:r>
    </w:p>
  </w:footnote>
  <w:footnote w:id="24">
    <w:p w14:paraId="56706781" w14:textId="3AE405A4" w:rsidR="004366FD" w:rsidRPr="000A173D" w:rsidRDefault="004366FD">
      <w:pPr>
        <w:pStyle w:val="FootnoteText"/>
      </w:pPr>
      <w:r>
        <w:rPr>
          <w:rStyle w:val="FootnoteReference"/>
        </w:rPr>
        <w:footnoteRef/>
      </w:r>
      <w:r>
        <w:t xml:space="preserve"> </w:t>
      </w:r>
      <w:r w:rsidRPr="000A173D">
        <w:t>Springer, Thomas M. and Rutherford, Ronald C. and Yavas, Abdullah, Conflicts between Principals and Agents: Evidence from Resi</w:t>
      </w:r>
      <w:r>
        <w:t>dential Brokerage</w:t>
      </w:r>
    </w:p>
  </w:footnote>
  <w:footnote w:id="25">
    <w:p w14:paraId="0BE6FC04" w14:textId="253AC4C6" w:rsidR="004366FD" w:rsidRPr="002933BF" w:rsidRDefault="004366FD">
      <w:pPr>
        <w:pStyle w:val="FootnoteText"/>
      </w:pPr>
      <w:r>
        <w:rPr>
          <w:rStyle w:val="FootnoteReference"/>
        </w:rPr>
        <w:footnoteRef/>
      </w:r>
      <w:r>
        <w:t xml:space="preserve"> </w:t>
      </w:r>
      <w:r w:rsidRPr="002933BF">
        <w:t>Registro imprese attive – ISTAT (2019)</w:t>
      </w:r>
    </w:p>
  </w:footnote>
  <w:footnote w:id="26">
    <w:p w14:paraId="0982882B" w14:textId="63BA0B83" w:rsidR="004366FD" w:rsidRPr="006238D9" w:rsidRDefault="004366FD">
      <w:pPr>
        <w:pStyle w:val="FootnoteText"/>
      </w:pPr>
      <w:r>
        <w:rPr>
          <w:rStyle w:val="FootnoteReference"/>
        </w:rPr>
        <w:footnoteRef/>
      </w:r>
      <w:r>
        <w:t xml:space="preserve"> </w:t>
      </w:r>
      <w:r w:rsidRPr="006238D9">
        <w:t>United States Census Bureau - SUSB annual</w:t>
      </w:r>
    </w:p>
  </w:footnote>
  <w:footnote w:id="27">
    <w:p w14:paraId="24ECAC94" w14:textId="5136D5A5" w:rsidR="004366FD" w:rsidRPr="002933BF" w:rsidRDefault="004366FD">
      <w:pPr>
        <w:pStyle w:val="FootnoteText"/>
      </w:pPr>
      <w:r>
        <w:rPr>
          <w:rStyle w:val="FootnoteReference"/>
        </w:rPr>
        <w:footnoteRef/>
      </w:r>
      <w:r>
        <w:t xml:space="preserve"> </w:t>
      </w:r>
      <w:r w:rsidRPr="002933BF">
        <w:t>The Homevoter Hypothesis: How Home Values Influence Local Government Taxation, School Finance, and Land-Use Policies, by W. Fischel</w:t>
      </w:r>
    </w:p>
  </w:footnote>
  <w:footnote w:id="28">
    <w:p w14:paraId="50565DCB" w14:textId="7F37964F" w:rsidR="004366FD" w:rsidRPr="00C31689" w:rsidRDefault="004366FD">
      <w:pPr>
        <w:pStyle w:val="FootnoteText"/>
      </w:pPr>
      <w:r>
        <w:rPr>
          <w:rStyle w:val="FootnoteReference"/>
        </w:rPr>
        <w:footnoteRef/>
      </w:r>
      <w:r w:rsidRPr="00C31689">
        <w:rPr>
          <w:lang w:val="fr-FR"/>
        </w:rPr>
        <w:t xml:space="preserve"> Ortalo-Magné, François, and Andrea Prat. </w:t>
      </w:r>
      <w:r w:rsidRPr="00C31689">
        <w:t>“On the Political Economy of Urban Growth: Homeownership versus Affordability.” American Economic Journal: Microeconomics, vol. 6, no. 1, American Economic Association, 2014, pp. 154–81</w:t>
      </w:r>
    </w:p>
  </w:footnote>
  <w:footnote w:id="29">
    <w:p w14:paraId="0D2D6EA5" w14:textId="14714C24" w:rsidR="004366FD" w:rsidRPr="00D56AA9" w:rsidRDefault="004366FD">
      <w:pPr>
        <w:pStyle w:val="FootnoteText"/>
      </w:pPr>
      <w:r>
        <w:rPr>
          <w:rStyle w:val="FootnoteReference"/>
        </w:rPr>
        <w:footnoteRef/>
      </w:r>
      <w:r>
        <w:t xml:space="preserve"> </w:t>
      </w:r>
      <w:r w:rsidRPr="00D56AA9">
        <w:t>Zhenguo Lin &amp; Kerry D. Vandell, 2006. "Illiquidity and Pricing Biases in the Real Estate Market," Working Paper 8577, USC Lusk Center for Real Estate.</w:t>
      </w:r>
    </w:p>
  </w:footnote>
  <w:footnote w:id="30">
    <w:p w14:paraId="52C0AC9B" w14:textId="51BE8541" w:rsidR="004366FD" w:rsidRPr="00673158" w:rsidRDefault="004366FD">
      <w:pPr>
        <w:pStyle w:val="FootnoteText"/>
      </w:pPr>
      <w:r>
        <w:rPr>
          <w:rStyle w:val="FootnoteReference"/>
        </w:rPr>
        <w:footnoteRef/>
      </w:r>
      <w:r>
        <w:t xml:space="preserve"> </w:t>
      </w:r>
      <w:r w:rsidRPr="00673158">
        <w:t>Realtor.com, Housing Inventory: Median Days on Market in the United States</w:t>
      </w:r>
    </w:p>
  </w:footnote>
  <w:footnote w:id="31">
    <w:p w14:paraId="54353083" w14:textId="2DBD9ED0" w:rsidR="004366FD" w:rsidRPr="006F52D1" w:rsidRDefault="004366FD">
      <w:pPr>
        <w:pStyle w:val="FootnoteText"/>
      </w:pPr>
      <w:r>
        <w:rPr>
          <w:rStyle w:val="FootnoteReference"/>
        </w:rPr>
        <w:footnoteRef/>
      </w:r>
      <w:r>
        <w:t xml:space="preserve"> </w:t>
      </w:r>
      <w:r w:rsidRPr="006F52D1">
        <w:t>Fender I., and Mitchell J. (2005) Structured finance Comp</w:t>
      </w:r>
      <w:r>
        <w:t xml:space="preserve">lexity, risk and the use of ratings, BIS Quarterly Review, </w:t>
      </w:r>
      <w:r w:rsidRPr="006F52D1">
        <w:t>June, pp. 67–79.</w:t>
      </w:r>
    </w:p>
  </w:footnote>
  <w:footnote w:id="32">
    <w:p w14:paraId="3FCC2C72" w14:textId="7E06CBF3" w:rsidR="004366FD" w:rsidRPr="001E6BA2" w:rsidRDefault="004366FD" w:rsidP="001E6BA2">
      <w:pPr>
        <w:pStyle w:val="FootnoteText"/>
      </w:pPr>
      <w:r>
        <w:rPr>
          <w:rStyle w:val="FootnoteReference"/>
        </w:rPr>
        <w:footnoteRef/>
      </w:r>
      <w:r>
        <w:t xml:space="preserve"> Miles M., Eppli M., and Kummerow M. (1998) The Graaskamp legacy, Real Estate Finance,  15:1, pp. 84–91.</w:t>
      </w:r>
    </w:p>
  </w:footnote>
  <w:footnote w:id="33">
    <w:p w14:paraId="5F05EA63" w14:textId="3AC83244" w:rsidR="004366FD" w:rsidRPr="005A64A2" w:rsidRDefault="004366FD">
      <w:pPr>
        <w:pStyle w:val="FootnoteText"/>
      </w:pPr>
      <w:r>
        <w:rPr>
          <w:rStyle w:val="FootnoteReference"/>
        </w:rPr>
        <w:footnoteRef/>
      </w:r>
      <w:r>
        <w:t xml:space="preserve"> </w:t>
      </w:r>
      <w:r w:rsidRPr="005A64A2">
        <w:t>Vedi nota 1.</w:t>
      </w:r>
    </w:p>
  </w:footnote>
  <w:footnote w:id="34">
    <w:p w14:paraId="7C1F4CA6" w14:textId="42534D7D" w:rsidR="004366FD" w:rsidRPr="0037395F" w:rsidRDefault="004366FD" w:rsidP="0037395F">
      <w:pPr>
        <w:pStyle w:val="FootnoteText"/>
      </w:pPr>
      <w:r>
        <w:rPr>
          <w:rStyle w:val="FootnoteReference"/>
        </w:rPr>
        <w:footnoteRef/>
      </w:r>
      <w:r>
        <w:t xml:space="preserve"> Young, M. S., and Graff, R. A. (1996) Systematic behavior in real estate investment risk:  Performance persistence in NCREIF returns, Journal of Real Estate Research, 12:3, pp. 369–381.</w:t>
      </w:r>
    </w:p>
  </w:footnote>
  <w:footnote w:id="35">
    <w:p w14:paraId="3C172155" w14:textId="1813FA00" w:rsidR="004366FD" w:rsidRPr="0037395F" w:rsidRDefault="004366FD">
      <w:pPr>
        <w:pStyle w:val="FootnoteText"/>
      </w:pPr>
      <w:r>
        <w:rPr>
          <w:rStyle w:val="FootnoteReference"/>
        </w:rPr>
        <w:footnoteRef/>
      </w:r>
      <w:r>
        <w:t xml:space="preserve"> </w:t>
      </w:r>
      <w:r w:rsidRPr="0037395F">
        <w:t>Clapp J., Goldberg M., and Myers D. (1994) Crisis in methodology: Paradigms vs. pract</w:t>
      </w:r>
      <w:r>
        <w:t xml:space="preserve">ice in real estate research, in </w:t>
      </w:r>
      <w:r w:rsidRPr="0037395F">
        <w:t>Appraisal, Market Analysis, and Public Policy in Real Estate: Essays in Honor of Jam</w:t>
      </w:r>
      <w:r>
        <w:t xml:space="preserve">es Graaskamp (DeLisle J. and Sa </w:t>
      </w:r>
      <w:r w:rsidRPr="0037395F">
        <w:t>Aadu J., eds), Boston: Kluwer Academic Publishers, pp. 107–132.</w:t>
      </w:r>
    </w:p>
  </w:footnote>
  <w:footnote w:id="36">
    <w:p w14:paraId="10681370" w14:textId="670377F2" w:rsidR="004366FD" w:rsidRPr="0037395F" w:rsidRDefault="004366FD" w:rsidP="0037395F">
      <w:pPr>
        <w:pStyle w:val="FootnoteText"/>
      </w:pPr>
      <w:r>
        <w:rPr>
          <w:rStyle w:val="FootnoteReference"/>
        </w:rPr>
        <w:footnoteRef/>
      </w:r>
      <w:r>
        <w:t xml:space="preserve"> Hartzell D., Hekman J., and Miles M. (1986) Diversifcation categories in investment real estate, Journal of the American Real Estate and Urban Economics Association, 14:2, pp. 230–254</w:t>
      </w:r>
    </w:p>
  </w:footnote>
  <w:footnote w:id="37">
    <w:p w14:paraId="23B7882E" w14:textId="1BC1B578" w:rsidR="004366FD" w:rsidRPr="0037395F" w:rsidRDefault="004366FD">
      <w:pPr>
        <w:pStyle w:val="FootnoteText"/>
      </w:pPr>
      <w:r>
        <w:rPr>
          <w:rStyle w:val="FootnoteReference"/>
        </w:rPr>
        <w:footnoteRef/>
      </w:r>
      <w:r>
        <w:t xml:space="preserve"> </w:t>
      </w:r>
      <w:r w:rsidRPr="0037395F">
        <w:t>Brown G., and Matysiak G. (2000) Real Estate Investment, London: Financial Times/Prentice Hall, 708 p.</w:t>
      </w:r>
    </w:p>
  </w:footnote>
  <w:footnote w:id="38">
    <w:p w14:paraId="615F17E7" w14:textId="352AD443" w:rsidR="004366FD" w:rsidRPr="005A64A2" w:rsidRDefault="004366FD" w:rsidP="005A64A2">
      <w:pPr>
        <w:pStyle w:val="FootnoteText"/>
      </w:pPr>
      <w:r>
        <w:rPr>
          <w:rStyle w:val="FootnoteReference"/>
        </w:rPr>
        <w:footnoteRef/>
      </w:r>
      <w:r>
        <w:t xml:space="preserve"> Weimer A., and Hoyt H. (1966) Real Estate, 5th edition, New York: The Ronald Press Company</w:t>
      </w:r>
    </w:p>
  </w:footnote>
  <w:footnote w:id="39">
    <w:p w14:paraId="24FC8F1E" w14:textId="63CFAFEC" w:rsidR="00BD291C" w:rsidRPr="00BD291C" w:rsidRDefault="00BD291C">
      <w:pPr>
        <w:pStyle w:val="FootnoteText"/>
      </w:pPr>
      <w:r>
        <w:rPr>
          <w:rStyle w:val="FootnoteReference"/>
        </w:rPr>
        <w:footnoteRef/>
      </w:r>
      <w:r>
        <w:t xml:space="preserve"> </w:t>
      </w:r>
      <w:r w:rsidRPr="00BD291C">
        <w:t>Leslie Lamport, Robert Shostak, and Marshall Pease. 1982. The Byzantine Generals Problem. ACM Trans. Program. Lang. Syst. 4, 3 (July 1982), 382–401.</w:t>
      </w:r>
    </w:p>
  </w:footnote>
  <w:footnote w:id="40">
    <w:p w14:paraId="1986FACA" w14:textId="57A48B7B" w:rsidR="003339ED" w:rsidRPr="003339ED" w:rsidRDefault="003339ED">
      <w:pPr>
        <w:pStyle w:val="FootnoteText"/>
      </w:pPr>
      <w:r>
        <w:rPr>
          <w:rStyle w:val="FootnoteReference"/>
        </w:rPr>
        <w:footnoteRef/>
      </w:r>
      <w:r w:rsidRPr="003339ED">
        <w:t xml:space="preserve"> Rauchs, Michel and Glidden, Andrew and Gordon, Brian and Pieters, Gina C. and R</w:t>
      </w:r>
      <w:r>
        <w:t xml:space="preserve">ecanatini, Martino and Rostand, </w:t>
      </w:r>
      <w:r w:rsidRPr="003339ED">
        <w:t>François and Vagneur, Kathryn and Zhang, Bryan Zheng, Distributed Ledger T</w:t>
      </w:r>
      <w:r>
        <w:t xml:space="preserve">echnology Systems: A Conceptual </w:t>
      </w:r>
      <w:r w:rsidRPr="003339ED">
        <w:t>Framework (August 13, 2018).</w:t>
      </w:r>
    </w:p>
  </w:footnote>
  <w:footnote w:id="41">
    <w:p w14:paraId="57A31B21" w14:textId="5B110D01" w:rsidR="00914D18" w:rsidRPr="00914D18" w:rsidRDefault="00914D18">
      <w:pPr>
        <w:pStyle w:val="FootnoteText"/>
      </w:pPr>
      <w:r>
        <w:rPr>
          <w:rStyle w:val="FootnoteReference"/>
        </w:rPr>
        <w:footnoteRef/>
      </w:r>
      <w:r w:rsidRPr="00914D18">
        <w:rPr>
          <w:lang w:val="it-IT"/>
        </w:rPr>
        <w:t xml:space="preserve"> Miguel Castro and Barbara Liskov. </w:t>
      </w:r>
      <w:r w:rsidRPr="00914D18">
        <w:t>2002. Practical byzantine fault tolerance and</w:t>
      </w:r>
      <w:r>
        <w:t xml:space="preserve"> proactive recovery. ACM Trans. </w:t>
      </w:r>
      <w:r w:rsidRPr="00914D18">
        <w:t>Comput. Syst. 20, 4 (November 2002), 398–461</w:t>
      </w:r>
    </w:p>
  </w:footnote>
  <w:footnote w:id="42">
    <w:p w14:paraId="5881C10D" w14:textId="48FFD1B9" w:rsidR="00914D18" w:rsidRPr="00914D18" w:rsidRDefault="00914D18" w:rsidP="00914D18">
      <w:pPr>
        <w:pStyle w:val="FootnoteText"/>
      </w:pPr>
      <w:r>
        <w:rPr>
          <w:rStyle w:val="FootnoteReference"/>
        </w:rPr>
        <w:footnoteRef/>
      </w:r>
      <w:r>
        <w:t xml:space="preserve"> Haber, S. &amp; Stornetta, W. S. (1991) How to time-stamp a digital document. Journal of Cryptology. 3 (2): 99-111.</w:t>
      </w:r>
    </w:p>
  </w:footnote>
  <w:footnote w:id="43">
    <w:p w14:paraId="00F21BCD" w14:textId="670337F3" w:rsidR="00914D18" w:rsidRPr="00914D18" w:rsidRDefault="00914D18">
      <w:pPr>
        <w:pStyle w:val="FootnoteText"/>
      </w:pPr>
      <w:r>
        <w:rPr>
          <w:rStyle w:val="FootnoteReference"/>
        </w:rPr>
        <w:footnoteRef/>
      </w:r>
      <w:r>
        <w:t xml:space="preserve"> </w:t>
      </w:r>
      <w:r w:rsidRPr="00914D18">
        <w:t>Bayer, D., Haber, S. &amp; Stornetta, W. S. (1992) Improving the efficiency and reliabili</w:t>
      </w:r>
      <w:r>
        <w:t xml:space="preserve">ty of digital timestamping. In: </w:t>
      </w:r>
      <w:r w:rsidRPr="00914D18">
        <w:t>Capocelli R., De Santis A., Vaccaro U. (eds) Sequences II. Springer: New York, NY.</w:t>
      </w:r>
    </w:p>
  </w:footnote>
  <w:footnote w:id="44">
    <w:p w14:paraId="0A17A1AB" w14:textId="1B58ABEA" w:rsidR="003846AE" w:rsidRPr="003846AE" w:rsidRDefault="003846AE">
      <w:pPr>
        <w:pStyle w:val="FootnoteText"/>
      </w:pPr>
      <w:r>
        <w:rPr>
          <w:rStyle w:val="FootnoteReference"/>
        </w:rPr>
        <w:footnoteRef/>
      </w:r>
      <w:r>
        <w:t xml:space="preserve"> </w:t>
      </w:r>
      <w:r w:rsidRPr="003846AE">
        <w:t xml:space="preserve">Rauchs, Michel and Glidden, Andrew and Gordon, Brian and Pieters, Gina C. and Recanatini, Martino and Rostand, François and Vagneur, Kathryn and Zhang, Bryan Zheng, Distributed Ledger Technology Systems: A Conceptual Framework (August 13, 2018). </w:t>
      </w:r>
    </w:p>
  </w:footnote>
  <w:footnote w:id="45">
    <w:p w14:paraId="3F6F07F1" w14:textId="629C3967" w:rsidR="003846AE" w:rsidRPr="003846AE" w:rsidRDefault="003846AE">
      <w:pPr>
        <w:pStyle w:val="FootnoteText"/>
      </w:pPr>
      <w:r>
        <w:rPr>
          <w:rStyle w:val="FootnoteReference"/>
        </w:rPr>
        <w:footnoteRef/>
      </w:r>
      <w:r>
        <w:t xml:space="preserve"> </w:t>
      </w:r>
      <w:r w:rsidRPr="003846AE">
        <w:t>World Bank Group (2017) Distributed Ledger Technology (DLT) and Blockchain. FinTech Note No. 1.</w:t>
      </w:r>
    </w:p>
  </w:footnote>
  <w:footnote w:id="46">
    <w:p w14:paraId="0BE71A30" w14:textId="7CE73011" w:rsidR="003846AE" w:rsidRPr="003846AE" w:rsidRDefault="003846AE" w:rsidP="003846AE">
      <w:pPr>
        <w:pStyle w:val="FootnoteText"/>
      </w:pPr>
      <w:r>
        <w:rPr>
          <w:rStyle w:val="FootnoteReference"/>
        </w:rPr>
        <w:footnoteRef/>
      </w:r>
      <w:r>
        <w:t xml:space="preserve"> Pinna, A. &amp; Ruttenberg, W. (2016) Distributed Ledger Technologies in Securities Post-Trading Revolution or Evolution?. ECB Occasional Paper No. 172.</w:t>
      </w:r>
    </w:p>
  </w:footnote>
  <w:footnote w:id="47">
    <w:p w14:paraId="5901A031" w14:textId="2C1A42E7" w:rsidR="003846AE" w:rsidRPr="003846AE" w:rsidRDefault="003846AE" w:rsidP="003846AE">
      <w:pPr>
        <w:pStyle w:val="FootnoteText"/>
      </w:pPr>
      <w:r>
        <w:rPr>
          <w:rStyle w:val="FootnoteReference"/>
        </w:rPr>
        <w:footnoteRef/>
      </w:r>
      <w:r>
        <w:t xml:space="preserve"> Bank of England (2017) The economics of distributed ledger technology for securities settlement. Staff Working Paper n.670</w:t>
      </w:r>
    </w:p>
  </w:footnote>
  <w:footnote w:id="48">
    <w:p w14:paraId="3D8AE2D3" w14:textId="69EA4302" w:rsidR="004366FD" w:rsidRPr="003E0419" w:rsidRDefault="004366FD" w:rsidP="003E0419">
      <w:pPr>
        <w:pStyle w:val="FootnoteText"/>
      </w:pPr>
      <w:r>
        <w:rPr>
          <w:rStyle w:val="FootnoteReference"/>
        </w:rPr>
        <w:footnoteRef/>
      </w:r>
      <w:r>
        <w:t xml:space="preserve"> Financial Stability Board (2019) Decentralised Financial Technologi</w:t>
      </w:r>
      <w:r w:rsidR="00914D18">
        <w:t xml:space="preserve">es, Report on financial </w:t>
      </w:r>
      <w:r>
        <w:t>stability, regulatory and governance implications.</w:t>
      </w:r>
    </w:p>
  </w:footnote>
  <w:footnote w:id="49">
    <w:p w14:paraId="2BEBAF6C" w14:textId="16CFCE58" w:rsidR="004366FD" w:rsidRPr="003E0419" w:rsidRDefault="004366FD" w:rsidP="003E0419">
      <w:pPr>
        <w:pStyle w:val="FootnoteText"/>
      </w:pPr>
      <w:r>
        <w:rPr>
          <w:rStyle w:val="FootnoteReference"/>
        </w:rPr>
        <w:footnoteRef/>
      </w:r>
      <w:r>
        <w:t xml:space="preserve"> Pang P., Tang H.F., Lam J., Chan J., Hobler N., Kan K.K., Jeong H., and Lau R. (2020) Real Estate Tokenisation: Hong Kong, Singapore, Report by Liquefy, Sidley Austin, KPMG, and Colliers International.</w:t>
      </w:r>
    </w:p>
  </w:footnote>
  <w:footnote w:id="50">
    <w:p w14:paraId="1079DA0B" w14:textId="404925A2" w:rsidR="004366FD" w:rsidRPr="000608A6" w:rsidRDefault="004366FD" w:rsidP="000608A6">
      <w:pPr>
        <w:pStyle w:val="FootnoteText"/>
      </w:pPr>
      <w:r>
        <w:rPr>
          <w:rStyle w:val="FootnoteReference"/>
        </w:rPr>
        <w:footnoteRef/>
      </w:r>
      <w:r>
        <w:t xml:space="preserve"> Mik E. (2019) Chapter 9: Blockchains: A technology for decentralized marketplaces,  in The Cambridge Handbook of Smart Contracts, Blockchain Technology and Digital  Platforms (DiMatteo L., Cannarsa M. and Poncibo C., eds), Cambridge: Cambridge University Press, pp. 160–182.</w:t>
      </w:r>
    </w:p>
  </w:footnote>
  <w:footnote w:id="51">
    <w:p w14:paraId="15E8AFBF" w14:textId="1144068A" w:rsidR="004366FD" w:rsidRPr="0004167B" w:rsidRDefault="004366FD" w:rsidP="0004167B">
      <w:pPr>
        <w:pStyle w:val="FootnoteText"/>
      </w:pPr>
      <w:r>
        <w:rPr>
          <w:rStyle w:val="FootnoteReference"/>
        </w:rPr>
        <w:footnoteRef/>
      </w:r>
      <w:r>
        <w:t xml:space="preserve"> Tokenization—The Future of Real Estate Investment? Andrew Baum, The Journal of Portfolio Management Real Estate 2021</w:t>
      </w:r>
    </w:p>
  </w:footnote>
  <w:footnote w:id="52">
    <w:p w14:paraId="2D264EB3" w14:textId="4AEEBF8A" w:rsidR="004366FD" w:rsidRPr="00AD6FB5" w:rsidRDefault="004366FD" w:rsidP="00AD6FB5">
      <w:pPr>
        <w:pStyle w:val="FootnoteText"/>
      </w:pPr>
      <w:r>
        <w:rPr>
          <w:rStyle w:val="FootnoteReference"/>
        </w:rPr>
        <w:footnoteRef/>
      </w:r>
      <w:r>
        <w:t xml:space="preserve"> Hileman G., and Rauchs M. (2017) Global blockchain benchmarking study, Cambridge Centre for Alternative Finance, University of Cambridge Judge Business School.</w:t>
      </w:r>
    </w:p>
  </w:footnote>
  <w:footnote w:id="53">
    <w:p w14:paraId="2F5E8FE1" w14:textId="1BE146E3" w:rsidR="004366FD" w:rsidRPr="006E748A" w:rsidRDefault="004366FD" w:rsidP="006E748A">
      <w:pPr>
        <w:pStyle w:val="FootnoteText"/>
        <w:rPr>
          <w:lang w:val="it-IT"/>
        </w:rPr>
      </w:pPr>
      <w:r>
        <w:rPr>
          <w:rStyle w:val="FootnoteReference"/>
        </w:rPr>
        <w:footnoteRef/>
      </w:r>
      <w:r w:rsidRPr="006E748A">
        <w:rPr>
          <w:lang w:val="it-IT"/>
        </w:rPr>
        <w:t xml:space="preserve"> Azimut lancia il primo Security Token al mondo nell’asset management e accelera sul</w:t>
      </w:r>
      <w:r>
        <w:rPr>
          <w:lang w:val="it-IT"/>
        </w:rPr>
        <w:t xml:space="preserve"> </w:t>
      </w:r>
      <w:r w:rsidRPr="006E748A">
        <w:rPr>
          <w:lang w:val="it-IT"/>
        </w:rPr>
        <w:t>progetto di Banca Sintetica nella Digital Asset Economy</w:t>
      </w:r>
      <w:r>
        <w:rPr>
          <w:lang w:val="it-IT"/>
        </w:rPr>
        <w:t xml:space="preserve">, comunicato stampa, Gruppo Azimut, </w:t>
      </w:r>
      <w:r w:rsidRPr="006E748A">
        <w:rPr>
          <w:lang w:val="it-IT"/>
        </w:rPr>
        <w:t>Milano</w:t>
      </w:r>
      <w:r>
        <w:rPr>
          <w:lang w:val="it-IT"/>
        </w:rPr>
        <w:t xml:space="preserve"> </w:t>
      </w:r>
      <w:r w:rsidRPr="006E748A">
        <w:rPr>
          <w:lang w:val="it-IT"/>
        </w:rPr>
        <w:t>23 marzo 2021</w:t>
      </w:r>
    </w:p>
  </w:footnote>
  <w:footnote w:id="54">
    <w:p w14:paraId="1708351B" w14:textId="161F2CE6" w:rsidR="004366FD" w:rsidRPr="00974A79" w:rsidRDefault="004366FD">
      <w:pPr>
        <w:pStyle w:val="FootnoteText"/>
        <w:rPr>
          <w:lang w:val="it-IT"/>
        </w:rPr>
      </w:pPr>
      <w:r>
        <w:rPr>
          <w:rStyle w:val="FootnoteReference"/>
        </w:rPr>
        <w:footnoteRef/>
      </w:r>
      <w:r w:rsidRPr="001D2F14">
        <w:rPr>
          <w:lang w:val="it-IT"/>
        </w:rPr>
        <w:t xml:space="preserve"> </w:t>
      </w:r>
      <w:r>
        <w:rPr>
          <w:lang w:val="it-IT"/>
        </w:rPr>
        <w:t>Art. 832 Codice Civile</w:t>
      </w:r>
    </w:p>
  </w:footnote>
  <w:footnote w:id="55">
    <w:p w14:paraId="506E12D5" w14:textId="17A71112" w:rsidR="004366FD" w:rsidRPr="00AB6E42" w:rsidRDefault="004366FD">
      <w:pPr>
        <w:pStyle w:val="FootnoteText"/>
        <w:rPr>
          <w:lang w:val="it-IT"/>
        </w:rPr>
      </w:pPr>
      <w:r>
        <w:rPr>
          <w:rStyle w:val="FootnoteReference"/>
        </w:rPr>
        <w:footnoteRef/>
      </w:r>
      <w:r w:rsidRPr="00AB6E42">
        <w:rPr>
          <w:lang w:val="it-IT"/>
        </w:rPr>
        <w:t xml:space="preserve"> Cassazione civile Sez. VI-2 ordinanza n. 1650 del 28 gennaio 2015</w:t>
      </w:r>
    </w:p>
  </w:footnote>
  <w:footnote w:id="56">
    <w:p w14:paraId="5A0C8D32" w14:textId="0042735D" w:rsidR="004366FD" w:rsidRPr="00974A79" w:rsidRDefault="004366FD">
      <w:pPr>
        <w:pStyle w:val="FootnoteText"/>
        <w:rPr>
          <w:lang w:val="it-IT"/>
        </w:rPr>
      </w:pPr>
      <w:r>
        <w:rPr>
          <w:rStyle w:val="FootnoteReference"/>
        </w:rPr>
        <w:footnoteRef/>
      </w:r>
      <w:r w:rsidRPr="001D2F14">
        <w:rPr>
          <w:lang w:val="it-IT"/>
        </w:rPr>
        <w:t xml:space="preserve"> </w:t>
      </w:r>
      <w:r>
        <w:rPr>
          <w:lang w:val="it-IT"/>
        </w:rPr>
        <w:t>Art. 1103, comma 1, Codice Civile</w:t>
      </w:r>
    </w:p>
  </w:footnote>
  <w:footnote w:id="57">
    <w:p w14:paraId="7986DDB2" w14:textId="5C4C0AC2" w:rsidR="004366FD" w:rsidRPr="00974A79" w:rsidRDefault="004366FD">
      <w:pPr>
        <w:pStyle w:val="FootnoteText"/>
        <w:rPr>
          <w:lang w:val="it-IT"/>
        </w:rPr>
      </w:pPr>
      <w:r>
        <w:rPr>
          <w:rStyle w:val="FootnoteReference"/>
        </w:rPr>
        <w:footnoteRef/>
      </w:r>
      <w:r w:rsidRPr="001D2F14">
        <w:rPr>
          <w:lang w:val="it-IT"/>
        </w:rPr>
        <w:t xml:space="preserve"> </w:t>
      </w:r>
      <w:r>
        <w:rPr>
          <w:lang w:val="it-IT"/>
        </w:rPr>
        <w:t>Art. 1101, comma 2, Codice Civile</w:t>
      </w:r>
    </w:p>
  </w:footnote>
  <w:footnote w:id="58">
    <w:p w14:paraId="7F0C7879" w14:textId="358E7D6B" w:rsidR="004366FD" w:rsidRPr="00E62F1A" w:rsidRDefault="004366FD">
      <w:pPr>
        <w:pStyle w:val="FootnoteText"/>
      </w:pPr>
      <w:r>
        <w:rPr>
          <w:rStyle w:val="FootnoteReference"/>
        </w:rPr>
        <w:footnoteRef/>
      </w:r>
      <w:r>
        <w:t xml:space="preserve"> </w:t>
      </w:r>
      <w:r w:rsidRPr="00E62F1A">
        <w:t>Art. 2082 e 2247 Codice Civile</w:t>
      </w:r>
    </w:p>
  </w:footnote>
  <w:footnote w:id="59">
    <w:p w14:paraId="399918F1" w14:textId="56A2964B" w:rsidR="004366FD" w:rsidRPr="00E62F1A" w:rsidRDefault="004366FD">
      <w:pPr>
        <w:pStyle w:val="FootnoteText"/>
      </w:pPr>
      <w:r>
        <w:rPr>
          <w:rStyle w:val="FootnoteReference"/>
        </w:rPr>
        <w:footnoteRef/>
      </w:r>
      <w:r>
        <w:t xml:space="preserve"> </w:t>
      </w:r>
      <w:r w:rsidRPr="001D2F14">
        <w:t>UK Legislation, Trustee Act 1925</w:t>
      </w:r>
    </w:p>
  </w:footnote>
  <w:footnote w:id="60">
    <w:p w14:paraId="48C9E128" w14:textId="2EC4E5B3" w:rsidR="004366FD" w:rsidRPr="004D0A86" w:rsidRDefault="004366FD">
      <w:pPr>
        <w:pStyle w:val="FootnoteText"/>
      </w:pPr>
      <w:r>
        <w:rPr>
          <w:rStyle w:val="FootnoteReference"/>
        </w:rPr>
        <w:footnoteRef/>
      </w:r>
      <w:r>
        <w:t xml:space="preserve"> </w:t>
      </w:r>
      <w:r w:rsidRPr="004D0A86">
        <w:t>CoinMarketCap, “Home,” https://coinmarketcap.com/ (</w:t>
      </w:r>
      <w:r>
        <w:t>aprile 2022</w:t>
      </w:r>
      <w:r w:rsidRPr="004D0A86">
        <w:t>).</w:t>
      </w:r>
    </w:p>
  </w:footnote>
  <w:footnote w:id="61">
    <w:p w14:paraId="59D1C882" w14:textId="54B02548" w:rsidR="004366FD" w:rsidRPr="005456FF" w:rsidRDefault="004366FD" w:rsidP="005456FF">
      <w:pPr>
        <w:pStyle w:val="FootnoteText"/>
      </w:pPr>
      <w:r>
        <w:rPr>
          <w:rStyle w:val="FootnoteReference"/>
        </w:rPr>
        <w:footnoteRef/>
      </w:r>
      <w:r>
        <w:t xml:space="preserve"> In the Matter of: Coinflip, Inc., d/b/a Derivabit, and Francisco Riordan, CFTC Docket No. 15-29</w:t>
      </w:r>
    </w:p>
  </w:footnote>
  <w:footnote w:id="62">
    <w:p w14:paraId="2B876D3B" w14:textId="337B24EE" w:rsidR="004366FD" w:rsidRPr="003B149D" w:rsidRDefault="004366FD">
      <w:pPr>
        <w:pStyle w:val="FootnoteText"/>
      </w:pPr>
      <w:r>
        <w:rPr>
          <w:rStyle w:val="FootnoteReference"/>
        </w:rPr>
        <w:footnoteRef/>
      </w:r>
      <w:r>
        <w:t xml:space="preserve"> </w:t>
      </w:r>
      <w:r w:rsidRPr="003B149D">
        <w:t>Requirements for Certain Transactions Involving Convertible Virtual Currency or Digital Assets</w:t>
      </w:r>
      <w:r>
        <w:t xml:space="preserve">, </w:t>
      </w:r>
      <w:r w:rsidRPr="003B149D">
        <w:t xml:space="preserve">Financial Crimes Enforcement Network (“FinCEN”), </w:t>
      </w:r>
      <w:r>
        <w:t>23/12/2020</w:t>
      </w:r>
    </w:p>
  </w:footnote>
  <w:footnote w:id="63">
    <w:p w14:paraId="62646466" w14:textId="694E05A8" w:rsidR="004366FD" w:rsidRPr="008E0BF5" w:rsidRDefault="004366FD">
      <w:pPr>
        <w:pStyle w:val="FootnoteText"/>
        <w:rPr>
          <w:lang w:val="it-IT"/>
        </w:rPr>
      </w:pPr>
      <w:r>
        <w:rPr>
          <w:rStyle w:val="FootnoteReference"/>
        </w:rPr>
        <w:footnoteRef/>
      </w:r>
      <w:r w:rsidRPr="008E0BF5">
        <w:rPr>
          <w:lang w:val="it-IT"/>
        </w:rPr>
        <w:t xml:space="preserve"> Le offerte iniziali e gli scambi di cripto-attività</w:t>
      </w:r>
      <w:r>
        <w:rPr>
          <w:lang w:val="it-IT"/>
        </w:rPr>
        <w:t xml:space="preserve">, </w:t>
      </w:r>
      <w:r w:rsidRPr="008E0BF5">
        <w:rPr>
          <w:lang w:val="it-IT"/>
        </w:rPr>
        <w:t>Documento per la Discussione</w:t>
      </w:r>
      <w:r>
        <w:rPr>
          <w:lang w:val="it-IT"/>
        </w:rPr>
        <w:t>, CONSOB (2019)</w:t>
      </w:r>
    </w:p>
  </w:footnote>
  <w:footnote w:id="64">
    <w:p w14:paraId="025F3E42" w14:textId="017A2725" w:rsidR="004366FD" w:rsidRPr="00643910" w:rsidRDefault="004366FD">
      <w:pPr>
        <w:pStyle w:val="FootnoteText"/>
      </w:pPr>
      <w:r>
        <w:rPr>
          <w:rStyle w:val="FootnoteReference"/>
        </w:rPr>
        <w:footnoteRef/>
      </w:r>
      <w:r w:rsidRPr="00643910">
        <w:t xml:space="preserve"> Ibid.</w:t>
      </w:r>
    </w:p>
  </w:footnote>
  <w:footnote w:id="65">
    <w:p w14:paraId="18020E7B" w14:textId="6B46B796" w:rsidR="004366FD" w:rsidRPr="00592BF3" w:rsidRDefault="004366FD">
      <w:pPr>
        <w:pStyle w:val="FootnoteText"/>
      </w:pPr>
      <w:r>
        <w:rPr>
          <w:rStyle w:val="FootnoteReference"/>
        </w:rPr>
        <w:footnoteRef/>
      </w:r>
      <w:r>
        <w:t xml:space="preserve"> </w:t>
      </w:r>
      <w:r w:rsidRPr="00592BF3">
        <w:t>European Securities and Markets Authority</w:t>
      </w:r>
      <w:r>
        <w:t xml:space="preserve">, </w:t>
      </w:r>
      <w:r w:rsidRPr="00592BF3">
        <w:t xml:space="preserve">Advice </w:t>
      </w:r>
      <w:r>
        <w:t>o</w:t>
      </w:r>
      <w:r w:rsidRPr="00592BF3">
        <w:t xml:space="preserve">n Initial Coin Offerings </w:t>
      </w:r>
      <w:r>
        <w:t>a</w:t>
      </w:r>
      <w:r w:rsidRPr="00592BF3">
        <w:t>nd Crypto-Assets</w:t>
      </w:r>
      <w:r>
        <w:t xml:space="preserve">, </w:t>
      </w:r>
      <w:r w:rsidRPr="00592BF3">
        <w:t>ESMA50-157-1391</w:t>
      </w:r>
      <w:r>
        <w:t xml:space="preserve"> (2019)</w:t>
      </w:r>
    </w:p>
  </w:footnote>
  <w:footnote w:id="66">
    <w:p w14:paraId="77FA19CF" w14:textId="4A7247A1" w:rsidR="004366FD" w:rsidRPr="006015A0" w:rsidRDefault="004366FD">
      <w:pPr>
        <w:pStyle w:val="FootnoteText"/>
        <w:rPr>
          <w:lang w:val="it-IT"/>
        </w:rPr>
      </w:pPr>
      <w:r>
        <w:rPr>
          <w:rStyle w:val="FootnoteReference"/>
        </w:rPr>
        <w:footnoteRef/>
      </w:r>
      <w:r w:rsidRPr="005D721B">
        <w:rPr>
          <w:lang w:val="it-IT"/>
        </w:rPr>
        <w:t xml:space="preserve"> F. Carnelutti, Documento – Teoria </w:t>
      </w:r>
      <w:r>
        <w:rPr>
          <w:lang w:val="it-IT"/>
        </w:rPr>
        <w:t xml:space="preserve">moderna, in Noviss. </w:t>
      </w:r>
      <w:r w:rsidRPr="006015A0">
        <w:rPr>
          <w:lang w:val="it-IT"/>
        </w:rPr>
        <w:t xml:space="preserve">Dig. It., Torino, 1960, pp. 85 e ss. </w:t>
      </w:r>
    </w:p>
  </w:footnote>
  <w:footnote w:id="67">
    <w:p w14:paraId="388DC970" w14:textId="1153E466" w:rsidR="004366FD" w:rsidRPr="0090207E" w:rsidRDefault="004366FD">
      <w:pPr>
        <w:pStyle w:val="FootnoteText"/>
        <w:rPr>
          <w:lang w:val="it-IT"/>
        </w:rPr>
      </w:pPr>
      <w:r>
        <w:rPr>
          <w:rStyle w:val="FootnoteReference"/>
        </w:rPr>
        <w:footnoteRef/>
      </w:r>
      <w:r w:rsidRPr="0090207E">
        <w:rPr>
          <w:lang w:val="it-IT"/>
        </w:rPr>
        <w:t xml:space="preserve">  </w:t>
      </w:r>
      <w:r>
        <w:rPr>
          <w:lang w:val="it-IT"/>
        </w:rPr>
        <w:t>N. Irti</w:t>
      </w:r>
      <w:r w:rsidRPr="0090207E">
        <w:rPr>
          <w:lang w:val="it-IT"/>
        </w:rPr>
        <w:t>, Sul concetto giuridico di documento, in Riv. trim. dir proc. civ. 1969,. 484 ss</w:t>
      </w:r>
    </w:p>
  </w:footnote>
  <w:footnote w:id="68">
    <w:p w14:paraId="0F508397" w14:textId="714C785A" w:rsidR="004366FD" w:rsidRPr="001B4BF1" w:rsidRDefault="004366FD">
      <w:pPr>
        <w:pStyle w:val="FootnoteText"/>
        <w:rPr>
          <w:lang w:val="it-IT"/>
        </w:rPr>
      </w:pPr>
      <w:r>
        <w:rPr>
          <w:rStyle w:val="FootnoteReference"/>
        </w:rPr>
        <w:footnoteRef/>
      </w:r>
      <w:r w:rsidRPr="001B4BF1">
        <w:rPr>
          <w:lang w:val="it-IT"/>
        </w:rPr>
        <w:t xml:space="preserve"> D. Di Sabato, Il documento contrattuale</w:t>
      </w:r>
      <w:r>
        <w:rPr>
          <w:lang w:val="it-IT"/>
        </w:rPr>
        <w:t>, Giuffrè 1998</w:t>
      </w:r>
    </w:p>
  </w:footnote>
  <w:footnote w:id="69">
    <w:p w14:paraId="73DB9844" w14:textId="28E4AAEE" w:rsidR="004366FD" w:rsidRPr="00DB4829" w:rsidRDefault="004366FD" w:rsidP="00DB4829">
      <w:pPr>
        <w:pStyle w:val="FootnoteText"/>
        <w:rPr>
          <w:lang w:val="it-IT"/>
        </w:rPr>
      </w:pPr>
      <w:r>
        <w:rPr>
          <w:rStyle w:val="FootnoteReference"/>
        </w:rPr>
        <w:footnoteRef/>
      </w:r>
      <w:r w:rsidRPr="00DB4829">
        <w:rPr>
          <w:lang w:val="it-IT"/>
        </w:rPr>
        <w:t xml:space="preserve"> Gaetano Petrelli</w:t>
      </w:r>
      <w:r>
        <w:rPr>
          <w:lang w:val="it-IT"/>
        </w:rPr>
        <w:t xml:space="preserve">, Documento Informatico, </w:t>
      </w:r>
      <w:r w:rsidRPr="00DB4829">
        <w:rPr>
          <w:lang w:val="it-IT"/>
        </w:rPr>
        <w:t>Contr</w:t>
      </w:r>
      <w:r>
        <w:rPr>
          <w:lang w:val="it-IT"/>
        </w:rPr>
        <w:t xml:space="preserve">atto In Forma </w:t>
      </w:r>
      <w:r w:rsidRPr="00DB4829">
        <w:rPr>
          <w:lang w:val="it-IT"/>
        </w:rPr>
        <w:t>Elettronica E Atto Notarile</w:t>
      </w:r>
    </w:p>
  </w:footnote>
  <w:footnote w:id="70">
    <w:p w14:paraId="4BD5F72F" w14:textId="34ACBDD9" w:rsidR="004366FD" w:rsidRPr="00FE2E31" w:rsidRDefault="004366FD">
      <w:pPr>
        <w:pStyle w:val="FootnoteText"/>
        <w:rPr>
          <w:lang w:val="it-IT"/>
        </w:rPr>
      </w:pPr>
      <w:r>
        <w:rPr>
          <w:rStyle w:val="FootnoteReference"/>
        </w:rPr>
        <w:footnoteRef/>
      </w:r>
      <w:r w:rsidRPr="00643910">
        <w:rPr>
          <w:lang w:val="it-IT"/>
        </w:rPr>
        <w:t xml:space="preserve"> F. Carnelutti, Documento – Teoria moderna, in Noviss. </w:t>
      </w:r>
      <w:r w:rsidRPr="00FE2E31">
        <w:rPr>
          <w:lang w:val="it-IT"/>
        </w:rPr>
        <w:t>Dig. It., Torino, 1960</w:t>
      </w:r>
    </w:p>
  </w:footnote>
  <w:footnote w:id="71">
    <w:p w14:paraId="3EE10EBA" w14:textId="754E02EA" w:rsidR="004366FD" w:rsidRPr="00DB68B1" w:rsidRDefault="004366FD" w:rsidP="00DB68B1">
      <w:pPr>
        <w:pStyle w:val="FootnoteText"/>
        <w:rPr>
          <w:lang w:val="it-IT"/>
        </w:rPr>
      </w:pPr>
      <w:r>
        <w:rPr>
          <w:rStyle w:val="FootnoteReference"/>
        </w:rPr>
        <w:footnoteRef/>
      </w:r>
      <w:r w:rsidRPr="00DB68B1">
        <w:rPr>
          <w:lang w:val="it-IT"/>
        </w:rPr>
        <w:t xml:space="preserve"> </w:t>
      </w:r>
      <w:r>
        <w:rPr>
          <w:lang w:val="it-IT"/>
        </w:rPr>
        <w:t xml:space="preserve">Art. 25-bis, comma 1, </w:t>
      </w:r>
      <w:r w:rsidRPr="00DB68B1">
        <w:rPr>
          <w:lang w:val="it-IT"/>
        </w:rPr>
        <w:t>Regolamento sulla raccolta di capitali tramite portali on-line</w:t>
      </w:r>
      <w:r>
        <w:rPr>
          <w:lang w:val="it-IT"/>
        </w:rPr>
        <w:t xml:space="preserve">, </w:t>
      </w:r>
      <w:r w:rsidRPr="00DB68B1">
        <w:rPr>
          <w:lang w:val="it-IT"/>
        </w:rPr>
        <w:t>n delibera n. 18592 del 26 giugno 2013</w:t>
      </w:r>
      <w:r>
        <w:rPr>
          <w:lang w:val="it-IT"/>
        </w:rPr>
        <w:t>, CONSOB</w:t>
      </w:r>
    </w:p>
  </w:footnote>
  <w:footnote w:id="72">
    <w:p w14:paraId="466A2587" w14:textId="0A0642BD" w:rsidR="004366FD" w:rsidRPr="006015A0" w:rsidRDefault="004366FD">
      <w:pPr>
        <w:pStyle w:val="FootnoteText"/>
      </w:pPr>
      <w:r>
        <w:rPr>
          <w:rStyle w:val="FootnoteReference"/>
        </w:rPr>
        <w:footnoteRef/>
      </w:r>
      <w:r w:rsidRPr="006015A0">
        <w:t xml:space="preserve"> Dilendorf Law Firm, retrieved  on 29.03.22: https://dilendorf.com/blockchain-crypto/sto-launch.html#:~:text=Security%20tokens%20sold%20during%20STO,fund%20tokens)%2C%20equity%20(equity</w:t>
      </w:r>
    </w:p>
  </w:footnote>
  <w:footnote w:id="73">
    <w:p w14:paraId="0D0B590D" w14:textId="2A5D9D74" w:rsidR="004366FD" w:rsidRPr="005D5D73" w:rsidRDefault="004366FD" w:rsidP="005D5D73">
      <w:pPr>
        <w:pStyle w:val="FootnoteText"/>
      </w:pPr>
      <w:r>
        <w:rPr>
          <w:rStyle w:val="FootnoteReference"/>
        </w:rPr>
        <w:footnoteRef/>
      </w:r>
      <w:r>
        <w:t xml:space="preserve"> U.S. Supreme Court, SEC v. Howey Co., 328 U.S. 293 (1946)</w:t>
      </w:r>
    </w:p>
  </w:footnote>
  <w:footnote w:id="74">
    <w:p w14:paraId="477BD67A" w14:textId="2F7D45AF" w:rsidR="004366FD" w:rsidRPr="00E50DE2" w:rsidRDefault="004366FD">
      <w:pPr>
        <w:pStyle w:val="FootnoteText"/>
      </w:pPr>
      <w:r>
        <w:rPr>
          <w:rStyle w:val="FootnoteReference"/>
        </w:rPr>
        <w:footnoteRef/>
      </w:r>
      <w:r>
        <w:t xml:space="preserve"> </w:t>
      </w:r>
      <w:r w:rsidRPr="00E50DE2">
        <w:t xml:space="preserve">U.S. Code </w:t>
      </w:r>
      <w:r>
        <w:t xml:space="preserve">- Title </w:t>
      </w:r>
      <w:r w:rsidRPr="00E50DE2">
        <w:t>15</w:t>
      </w:r>
      <w:r>
        <w:t>, Chapter 2A, Subchapter I,</w:t>
      </w:r>
      <w:r w:rsidRPr="00E50DE2">
        <w:t xml:space="preserve"> </w:t>
      </w:r>
      <w:r>
        <w:t>§§ 77e-77f</w:t>
      </w:r>
    </w:p>
  </w:footnote>
  <w:footnote w:id="75">
    <w:p w14:paraId="128D4BBA" w14:textId="3F17AD23" w:rsidR="004366FD" w:rsidRPr="00665FFB" w:rsidRDefault="004366FD">
      <w:pPr>
        <w:pStyle w:val="FootnoteText"/>
      </w:pPr>
      <w:r>
        <w:rPr>
          <w:rStyle w:val="FootnoteReference"/>
        </w:rPr>
        <w:footnoteRef/>
      </w:r>
      <w:r>
        <w:t xml:space="preserve"> </w:t>
      </w:r>
      <w:r w:rsidRPr="00665FFB">
        <w:t>U.S. Code - Title 15, Chapter 2A, Subchapter I, §§ 77h-1, 78u</w:t>
      </w:r>
    </w:p>
  </w:footnote>
  <w:footnote w:id="76">
    <w:p w14:paraId="45488C77" w14:textId="266AE21E" w:rsidR="004366FD" w:rsidRPr="00E50DE2" w:rsidRDefault="004366FD">
      <w:pPr>
        <w:pStyle w:val="FootnoteText"/>
      </w:pPr>
      <w:r>
        <w:rPr>
          <w:rStyle w:val="FootnoteReference"/>
        </w:rPr>
        <w:footnoteRef/>
      </w:r>
      <w:r>
        <w:t xml:space="preserve"> </w:t>
      </w:r>
      <w:r w:rsidRPr="00E50DE2">
        <w:t>U.S. Code - Title 15, Chapter 2A, Subchapter I, §§ 77k-77l</w:t>
      </w:r>
    </w:p>
  </w:footnote>
  <w:footnote w:id="77">
    <w:p w14:paraId="1561510D" w14:textId="6E3D9BB5" w:rsidR="004366FD" w:rsidRPr="00E50DE2" w:rsidRDefault="004366FD">
      <w:pPr>
        <w:pStyle w:val="FootnoteText"/>
      </w:pPr>
      <w:r>
        <w:rPr>
          <w:rStyle w:val="FootnoteReference"/>
        </w:rPr>
        <w:footnoteRef/>
      </w:r>
      <w:r>
        <w:t xml:space="preserve"> </w:t>
      </w:r>
      <w:r w:rsidRPr="00E50DE2">
        <w:t xml:space="preserve">U.S. Code - Title 15, Chapter 2A, Subchapter I, §§ </w:t>
      </w:r>
      <w:r>
        <w:t>78o(d)-</w:t>
      </w:r>
      <w:r w:rsidRPr="00E50DE2">
        <w:t>78j(b)</w:t>
      </w:r>
      <w:r>
        <w:t xml:space="preserve"> e Electronic Code of Federal Regulations (e-CFR) – Title 17, Chapter 2, Part 240, Subpart A, </w:t>
      </w:r>
      <w:r w:rsidRPr="00E50DE2">
        <w:t>§ 240.10b-5</w:t>
      </w:r>
    </w:p>
  </w:footnote>
  <w:footnote w:id="78">
    <w:p w14:paraId="65DE6CFF" w14:textId="38FB1165" w:rsidR="004366FD" w:rsidRPr="00665FFB" w:rsidRDefault="004366FD">
      <w:pPr>
        <w:pStyle w:val="FootnoteText"/>
      </w:pPr>
      <w:r>
        <w:rPr>
          <w:rStyle w:val="FootnoteReference"/>
        </w:rPr>
        <w:footnoteRef/>
      </w:r>
      <w:r>
        <w:t xml:space="preserve"> </w:t>
      </w:r>
      <w:r w:rsidRPr="00665FFB">
        <w:t>U.S. Code - Title 15, Chap</w:t>
      </w:r>
      <w:r>
        <w:t>ter 2A, Subchapter I, § 78f</w:t>
      </w:r>
    </w:p>
  </w:footnote>
  <w:footnote w:id="79">
    <w:p w14:paraId="42FD4F1C" w14:textId="7578750A" w:rsidR="004366FD" w:rsidRPr="00E9111B" w:rsidRDefault="004366FD">
      <w:pPr>
        <w:pStyle w:val="FootnoteText"/>
      </w:pPr>
      <w:r>
        <w:rPr>
          <w:rStyle w:val="FootnoteReference"/>
        </w:rPr>
        <w:footnoteRef/>
      </w:r>
      <w:r>
        <w:t xml:space="preserve"> </w:t>
      </w:r>
      <w:r w:rsidRPr="00E9111B">
        <w:t>SEC v. Shavers, No. 4:13-cv-416, 2014 WL 12622292</w:t>
      </w:r>
    </w:p>
  </w:footnote>
  <w:footnote w:id="80">
    <w:p w14:paraId="10D09828" w14:textId="1E6E4F01" w:rsidR="004366FD" w:rsidRPr="00E9111B" w:rsidRDefault="004366FD" w:rsidP="00E9111B">
      <w:pPr>
        <w:pStyle w:val="FootnoteText"/>
      </w:pPr>
      <w:r>
        <w:rPr>
          <w:rStyle w:val="FootnoteReference"/>
        </w:rPr>
        <w:footnoteRef/>
      </w:r>
      <w:r>
        <w:t xml:space="preserve"> Securities Regulation and Initial Coin Offerings: A Legal Primer, Congressional Research Service, </w:t>
      </w:r>
      <w:r w:rsidRPr="00E9111B">
        <w:t>Jay B. Sykes</w:t>
      </w:r>
      <w:r>
        <w:t xml:space="preserve"> - 2018</w:t>
      </w:r>
    </w:p>
  </w:footnote>
  <w:footnote w:id="81">
    <w:p w14:paraId="443DBDAA" w14:textId="482A13A8" w:rsidR="004366FD" w:rsidRPr="00C52242" w:rsidRDefault="004366FD">
      <w:pPr>
        <w:pStyle w:val="FootnoteText"/>
        <w:rPr>
          <w:lang w:val="it-IT"/>
        </w:rPr>
      </w:pPr>
      <w:r>
        <w:rPr>
          <w:rStyle w:val="FootnoteReference"/>
        </w:rPr>
        <w:footnoteRef/>
      </w:r>
      <w:r>
        <w:t xml:space="preserve"> </w:t>
      </w:r>
      <w:r w:rsidRPr="00C52242">
        <w:t xml:space="preserve">Georgakopoulos, N., &amp; Posner, R. (2017). The Logic of Securities Law. </w:t>
      </w:r>
      <w:r w:rsidRPr="00C22695">
        <w:rPr>
          <w:lang w:val="it-IT"/>
        </w:rPr>
        <w:t>Cambridge: Cambridge University Press. doi:10.1017/9781316665671</w:t>
      </w:r>
    </w:p>
  </w:footnote>
  <w:footnote w:id="82">
    <w:p w14:paraId="61CF3196" w14:textId="1263A23D" w:rsidR="004366FD" w:rsidRPr="00C52242" w:rsidRDefault="004366FD">
      <w:pPr>
        <w:pStyle w:val="FootnoteText"/>
        <w:rPr>
          <w:lang w:val="it-IT"/>
        </w:rPr>
      </w:pPr>
      <w:r>
        <w:rPr>
          <w:rStyle w:val="FootnoteReference"/>
        </w:rPr>
        <w:footnoteRef/>
      </w:r>
      <w:r w:rsidRPr="00C22695">
        <w:rPr>
          <w:lang w:val="it-IT"/>
        </w:rPr>
        <w:t xml:space="preserve"> </w:t>
      </w:r>
      <w:r>
        <w:rPr>
          <w:lang w:val="it-IT"/>
        </w:rPr>
        <w:t>Ibid.</w:t>
      </w:r>
    </w:p>
  </w:footnote>
  <w:footnote w:id="83">
    <w:p w14:paraId="5E867301" w14:textId="5095302D" w:rsidR="004366FD" w:rsidRPr="00531030" w:rsidRDefault="004366FD">
      <w:pPr>
        <w:pStyle w:val="FootnoteText"/>
        <w:rPr>
          <w:lang w:val="it-IT"/>
        </w:rPr>
      </w:pPr>
      <w:r>
        <w:rPr>
          <w:rStyle w:val="FootnoteReference"/>
        </w:rPr>
        <w:footnoteRef/>
      </w:r>
      <w:r w:rsidRPr="00531030">
        <w:rPr>
          <w:lang w:val="it-IT"/>
        </w:rPr>
        <w:t xml:space="preserve"> </w:t>
      </w:r>
      <w:r>
        <w:rPr>
          <w:lang w:val="it-IT"/>
        </w:rPr>
        <w:t>Traduzione dall’inglese di “Lower Courts” che negli USA rappresentano i tribunali le cui sentenze possono essere soggette di revisioni o appelli in “Higher Courts”</w:t>
      </w:r>
    </w:p>
  </w:footnote>
  <w:footnote w:id="84">
    <w:p w14:paraId="55FECA47" w14:textId="539CC28F" w:rsidR="004366FD" w:rsidRPr="000E2EC7" w:rsidRDefault="004366FD">
      <w:pPr>
        <w:pStyle w:val="FootnoteText"/>
      </w:pPr>
      <w:r>
        <w:rPr>
          <w:rStyle w:val="FootnoteReference"/>
        </w:rPr>
        <w:footnoteRef/>
      </w:r>
      <w:r w:rsidRPr="000E2EC7">
        <w:t xml:space="preserve"> U.S. Supreme Court</w:t>
      </w:r>
      <w:r>
        <w:t xml:space="preserve">, </w:t>
      </w:r>
      <w:r w:rsidRPr="000E2EC7">
        <w:t>United Housing Foundation, Inc. v. Forman, 421 U.S. 837 (1975)</w:t>
      </w:r>
    </w:p>
  </w:footnote>
  <w:footnote w:id="85">
    <w:p w14:paraId="4941F6F0" w14:textId="07462721" w:rsidR="004366FD" w:rsidRPr="000E2EC7" w:rsidRDefault="004366FD">
      <w:pPr>
        <w:pStyle w:val="FootnoteText"/>
        <w:rPr>
          <w:lang w:val="it-IT"/>
        </w:rPr>
      </w:pPr>
      <w:r>
        <w:rPr>
          <w:rStyle w:val="FootnoteReference"/>
        </w:rPr>
        <w:footnoteRef/>
      </w:r>
      <w:r w:rsidRPr="000E2EC7">
        <w:rPr>
          <w:lang w:val="it-IT"/>
        </w:rPr>
        <w:t xml:space="preserve"> Organizzazione nonprofit gestita da e per i suoi membri</w:t>
      </w:r>
    </w:p>
  </w:footnote>
  <w:footnote w:id="86">
    <w:p w14:paraId="4D27F147" w14:textId="62269F26" w:rsidR="004366FD" w:rsidRPr="00C22695" w:rsidRDefault="004366FD">
      <w:pPr>
        <w:pStyle w:val="FootnoteText"/>
      </w:pPr>
      <w:r>
        <w:rPr>
          <w:rStyle w:val="FootnoteReference"/>
        </w:rPr>
        <w:footnoteRef/>
      </w:r>
      <w:r>
        <w:t xml:space="preserve"> </w:t>
      </w:r>
      <w:r w:rsidRPr="00C22695">
        <w:t>La divisione regionale del United States Federal Courts system</w:t>
      </w:r>
    </w:p>
  </w:footnote>
  <w:footnote w:id="87">
    <w:p w14:paraId="2AF767B4" w14:textId="100E0076" w:rsidR="004366FD" w:rsidRPr="0081645A" w:rsidRDefault="004366FD">
      <w:pPr>
        <w:pStyle w:val="FootnoteText"/>
      </w:pPr>
      <w:r>
        <w:rPr>
          <w:rStyle w:val="FootnoteReference"/>
        </w:rPr>
        <w:footnoteRef/>
      </w:r>
      <w:r>
        <w:t xml:space="preserve"> </w:t>
      </w:r>
      <w:r w:rsidRPr="0081645A">
        <w:t>3 SEC. v. Life Partners, Inc., 87 F.3d 536, 545 (D.C. Cir. 1996)</w:t>
      </w:r>
    </w:p>
  </w:footnote>
  <w:footnote w:id="88">
    <w:p w14:paraId="4C389D7A" w14:textId="42F1FDDD" w:rsidR="004366FD" w:rsidRPr="0081645A" w:rsidRDefault="004366FD">
      <w:pPr>
        <w:pStyle w:val="FootnoteText"/>
      </w:pPr>
      <w:r>
        <w:rPr>
          <w:rStyle w:val="FootnoteReference"/>
        </w:rPr>
        <w:footnoteRef/>
      </w:r>
      <w:r>
        <w:t xml:space="preserve"> </w:t>
      </w:r>
      <w:r w:rsidRPr="0081645A">
        <w:t>SEC v. Glenn W. Turner Enters., Inc., 474 F.2d 476, 482 (9th Cir. 1973).</w:t>
      </w:r>
    </w:p>
  </w:footnote>
  <w:footnote w:id="89">
    <w:p w14:paraId="2CCC2094" w14:textId="43C94E18" w:rsidR="004366FD" w:rsidRPr="007F7928" w:rsidRDefault="004366FD">
      <w:pPr>
        <w:pStyle w:val="FootnoteText"/>
      </w:pPr>
      <w:r>
        <w:rPr>
          <w:rStyle w:val="FootnoteReference"/>
        </w:rPr>
        <w:footnoteRef/>
      </w:r>
      <w:r>
        <w:t xml:space="preserve"> </w:t>
      </w:r>
      <w:r w:rsidRPr="007F7928">
        <w:t xml:space="preserve">Electronic Code of Federal Regulations (e-CFR) – Title </w:t>
      </w:r>
      <w:r>
        <w:t>31</w:t>
      </w:r>
      <w:r w:rsidRPr="007F7928">
        <w:t xml:space="preserve">, Chapter </w:t>
      </w:r>
      <w:r>
        <w:t>X</w:t>
      </w:r>
      <w:r w:rsidRPr="007F7928">
        <w:t xml:space="preserve">, Part </w:t>
      </w:r>
      <w:r>
        <w:t>1010</w:t>
      </w:r>
      <w:r w:rsidRPr="007F7928">
        <w:t xml:space="preserve">, Subpart A, § </w:t>
      </w:r>
      <w:r>
        <w:t>1010</w:t>
      </w:r>
      <w:r w:rsidRPr="007F7928">
        <w:t>.1</w:t>
      </w:r>
      <w:r>
        <w:t>0</w:t>
      </w:r>
      <w:r w:rsidRPr="007F7928">
        <w:t>0</w:t>
      </w:r>
      <w:r>
        <w:t>(ff)</w:t>
      </w:r>
    </w:p>
  </w:footnote>
  <w:footnote w:id="90">
    <w:p w14:paraId="0D838369" w14:textId="290C447F" w:rsidR="004366FD" w:rsidRPr="001C2D0E" w:rsidRDefault="004366FD">
      <w:pPr>
        <w:pStyle w:val="FootnoteText"/>
      </w:pPr>
      <w:r>
        <w:rPr>
          <w:rStyle w:val="FootnoteReference"/>
        </w:rPr>
        <w:footnoteRef/>
      </w:r>
      <w:r>
        <w:t xml:space="preserve"> Vedere nota 51.</w:t>
      </w:r>
    </w:p>
  </w:footnote>
  <w:footnote w:id="91">
    <w:p w14:paraId="6CDD9AED" w14:textId="6B481AB0" w:rsidR="004366FD" w:rsidRPr="00F32B47" w:rsidRDefault="004366FD">
      <w:pPr>
        <w:pStyle w:val="FootnoteText"/>
      </w:pPr>
      <w:r>
        <w:rPr>
          <w:rStyle w:val="FootnoteReference"/>
        </w:rPr>
        <w:footnoteRef/>
      </w:r>
      <w:r>
        <w:t xml:space="preserve"> </w:t>
      </w:r>
      <w:r w:rsidRPr="00F32B47">
        <w:t>The Financial Crimes Enforcement Network</w:t>
      </w:r>
      <w:r>
        <w:t xml:space="preserve">, </w:t>
      </w:r>
      <w:r w:rsidRPr="00F32B47">
        <w:t>FIN-2013-G001</w:t>
      </w:r>
      <w:r>
        <w:t xml:space="preserve"> (2013)</w:t>
      </w:r>
    </w:p>
  </w:footnote>
  <w:footnote w:id="92">
    <w:p w14:paraId="5277C682" w14:textId="5C510666" w:rsidR="004366FD" w:rsidRPr="00226FDF" w:rsidRDefault="004366FD">
      <w:pPr>
        <w:pStyle w:val="FootnoteText"/>
      </w:pPr>
      <w:r>
        <w:rPr>
          <w:rStyle w:val="FootnoteReference"/>
        </w:rPr>
        <w:footnoteRef/>
      </w:r>
      <w:r>
        <w:t xml:space="preserve"> </w:t>
      </w:r>
      <w:r w:rsidRPr="00226FDF">
        <w:t>Global Legal Insights, Blockchain &amp; Cryptocurrency L</w:t>
      </w:r>
      <w:r>
        <w:t>aws and Regulations 2022 | USA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B6AF7"/>
    <w:multiLevelType w:val="hybridMultilevel"/>
    <w:tmpl w:val="9AC27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9F537D"/>
    <w:multiLevelType w:val="hybridMultilevel"/>
    <w:tmpl w:val="A424A4E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E44592"/>
    <w:multiLevelType w:val="hybridMultilevel"/>
    <w:tmpl w:val="5D82A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7E1E93"/>
    <w:multiLevelType w:val="hybridMultilevel"/>
    <w:tmpl w:val="37F2D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922B6F"/>
    <w:multiLevelType w:val="hybridMultilevel"/>
    <w:tmpl w:val="5B2E5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B67E89"/>
    <w:multiLevelType w:val="hybridMultilevel"/>
    <w:tmpl w:val="2C3C70E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BF1858"/>
    <w:multiLevelType w:val="hybridMultilevel"/>
    <w:tmpl w:val="459CFE9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C75FAA"/>
    <w:multiLevelType w:val="hybridMultilevel"/>
    <w:tmpl w:val="A2504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6519D5"/>
    <w:multiLevelType w:val="hybridMultilevel"/>
    <w:tmpl w:val="7480B8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D313D8"/>
    <w:multiLevelType w:val="hybridMultilevel"/>
    <w:tmpl w:val="DDBE62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9856E8"/>
    <w:multiLevelType w:val="hybridMultilevel"/>
    <w:tmpl w:val="B60A3D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2C18A2"/>
    <w:multiLevelType w:val="hybridMultilevel"/>
    <w:tmpl w:val="84788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861E19"/>
    <w:multiLevelType w:val="hybridMultilevel"/>
    <w:tmpl w:val="C98C93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E85545"/>
    <w:multiLevelType w:val="hybridMultilevel"/>
    <w:tmpl w:val="1DB4CA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6174A6"/>
    <w:multiLevelType w:val="hybridMultilevel"/>
    <w:tmpl w:val="B82AD6BE"/>
    <w:lvl w:ilvl="0" w:tplc="0410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43C0560"/>
    <w:multiLevelType w:val="hybridMultilevel"/>
    <w:tmpl w:val="ABA8C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481CA9"/>
    <w:multiLevelType w:val="hybridMultilevel"/>
    <w:tmpl w:val="852437B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5633BD5"/>
    <w:multiLevelType w:val="hybridMultilevel"/>
    <w:tmpl w:val="2572D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4348FE"/>
    <w:multiLevelType w:val="hybridMultilevel"/>
    <w:tmpl w:val="D88293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DF3ED9"/>
    <w:multiLevelType w:val="hybridMultilevel"/>
    <w:tmpl w:val="88521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C375B4"/>
    <w:multiLevelType w:val="hybridMultilevel"/>
    <w:tmpl w:val="AA3C3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406512"/>
    <w:multiLevelType w:val="hybridMultilevel"/>
    <w:tmpl w:val="6C846BD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B36D95"/>
    <w:multiLevelType w:val="hybridMultilevel"/>
    <w:tmpl w:val="8C168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66701F9"/>
    <w:multiLevelType w:val="hybridMultilevel"/>
    <w:tmpl w:val="BAE42F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D1B2342"/>
    <w:multiLevelType w:val="hybridMultilevel"/>
    <w:tmpl w:val="8410C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37144B"/>
    <w:multiLevelType w:val="hybridMultilevel"/>
    <w:tmpl w:val="76FE6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22D20D1"/>
    <w:multiLevelType w:val="hybridMultilevel"/>
    <w:tmpl w:val="6736D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57B6B6E"/>
    <w:multiLevelType w:val="hybridMultilevel"/>
    <w:tmpl w:val="4FD61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BB13120"/>
    <w:multiLevelType w:val="hybridMultilevel"/>
    <w:tmpl w:val="D0E20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F4E41A8"/>
    <w:multiLevelType w:val="hybridMultilevel"/>
    <w:tmpl w:val="1EDEA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4187D35"/>
    <w:multiLevelType w:val="hybridMultilevel"/>
    <w:tmpl w:val="80803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B276693"/>
    <w:multiLevelType w:val="hybridMultilevel"/>
    <w:tmpl w:val="B5DC2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B623593"/>
    <w:multiLevelType w:val="hybridMultilevel"/>
    <w:tmpl w:val="F7A2B48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BE018C1"/>
    <w:multiLevelType w:val="hybridMultilevel"/>
    <w:tmpl w:val="D88E5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EFE2EC9"/>
    <w:multiLevelType w:val="hybridMultilevel"/>
    <w:tmpl w:val="FD4CE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F2508BC"/>
    <w:multiLevelType w:val="hybridMultilevel"/>
    <w:tmpl w:val="86307DE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33"/>
  </w:num>
  <w:num w:numId="3">
    <w:abstractNumId w:val="23"/>
  </w:num>
  <w:num w:numId="4">
    <w:abstractNumId w:val="13"/>
  </w:num>
  <w:num w:numId="5">
    <w:abstractNumId w:val="21"/>
  </w:num>
  <w:num w:numId="6">
    <w:abstractNumId w:val="16"/>
  </w:num>
  <w:num w:numId="7">
    <w:abstractNumId w:val="24"/>
  </w:num>
  <w:num w:numId="8">
    <w:abstractNumId w:val="9"/>
  </w:num>
  <w:num w:numId="9">
    <w:abstractNumId w:val="12"/>
  </w:num>
  <w:num w:numId="10">
    <w:abstractNumId w:val="10"/>
  </w:num>
  <w:num w:numId="11">
    <w:abstractNumId w:val="25"/>
  </w:num>
  <w:num w:numId="12">
    <w:abstractNumId w:val="4"/>
  </w:num>
  <w:num w:numId="13">
    <w:abstractNumId w:val="17"/>
  </w:num>
  <w:num w:numId="14">
    <w:abstractNumId w:val="29"/>
  </w:num>
  <w:num w:numId="15">
    <w:abstractNumId w:val="5"/>
  </w:num>
  <w:num w:numId="16">
    <w:abstractNumId w:val="32"/>
  </w:num>
  <w:num w:numId="17">
    <w:abstractNumId w:val="28"/>
  </w:num>
  <w:num w:numId="18">
    <w:abstractNumId w:val="7"/>
  </w:num>
  <w:num w:numId="19">
    <w:abstractNumId w:val="18"/>
  </w:num>
  <w:num w:numId="20">
    <w:abstractNumId w:val="6"/>
  </w:num>
  <w:num w:numId="21">
    <w:abstractNumId w:val="2"/>
  </w:num>
  <w:num w:numId="22">
    <w:abstractNumId w:val="11"/>
  </w:num>
  <w:num w:numId="23">
    <w:abstractNumId w:val="14"/>
  </w:num>
  <w:num w:numId="24">
    <w:abstractNumId w:val="26"/>
  </w:num>
  <w:num w:numId="25">
    <w:abstractNumId w:val="20"/>
  </w:num>
  <w:num w:numId="26">
    <w:abstractNumId w:val="22"/>
  </w:num>
  <w:num w:numId="27">
    <w:abstractNumId w:val="31"/>
  </w:num>
  <w:num w:numId="28">
    <w:abstractNumId w:val="19"/>
  </w:num>
  <w:num w:numId="29">
    <w:abstractNumId w:val="34"/>
  </w:num>
  <w:num w:numId="30">
    <w:abstractNumId w:val="30"/>
  </w:num>
  <w:num w:numId="31">
    <w:abstractNumId w:val="8"/>
  </w:num>
  <w:num w:numId="32">
    <w:abstractNumId w:val="15"/>
  </w:num>
  <w:num w:numId="33">
    <w:abstractNumId w:val="3"/>
  </w:num>
  <w:num w:numId="34">
    <w:abstractNumId w:val="1"/>
  </w:num>
  <w:num w:numId="35">
    <w:abstractNumId w:val="35"/>
  </w:num>
  <w:num w:numId="36">
    <w:abstractNumId w:val="27"/>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63CA"/>
    <w:rsid w:val="00004AB9"/>
    <w:rsid w:val="000050E8"/>
    <w:rsid w:val="00006EA4"/>
    <w:rsid w:val="00007004"/>
    <w:rsid w:val="00011F9E"/>
    <w:rsid w:val="00015682"/>
    <w:rsid w:val="0001600F"/>
    <w:rsid w:val="00017A41"/>
    <w:rsid w:val="00017BB2"/>
    <w:rsid w:val="00023F20"/>
    <w:rsid w:val="00024DF9"/>
    <w:rsid w:val="000253AF"/>
    <w:rsid w:val="000372C9"/>
    <w:rsid w:val="0004167B"/>
    <w:rsid w:val="00041E8F"/>
    <w:rsid w:val="00043580"/>
    <w:rsid w:val="00047236"/>
    <w:rsid w:val="00050C47"/>
    <w:rsid w:val="000608A6"/>
    <w:rsid w:val="00064339"/>
    <w:rsid w:val="00071BFD"/>
    <w:rsid w:val="00081B99"/>
    <w:rsid w:val="00083B26"/>
    <w:rsid w:val="00086211"/>
    <w:rsid w:val="0009126C"/>
    <w:rsid w:val="00094F9B"/>
    <w:rsid w:val="000A173D"/>
    <w:rsid w:val="000A6033"/>
    <w:rsid w:val="000B2336"/>
    <w:rsid w:val="000B3239"/>
    <w:rsid w:val="000C34E7"/>
    <w:rsid w:val="000D4BE5"/>
    <w:rsid w:val="000E2EC7"/>
    <w:rsid w:val="000E378B"/>
    <w:rsid w:val="000F60CF"/>
    <w:rsid w:val="000F7CDC"/>
    <w:rsid w:val="00100B10"/>
    <w:rsid w:val="00103BBF"/>
    <w:rsid w:val="00107458"/>
    <w:rsid w:val="00111BB3"/>
    <w:rsid w:val="00112DEB"/>
    <w:rsid w:val="0012791B"/>
    <w:rsid w:val="00127FFE"/>
    <w:rsid w:val="00132293"/>
    <w:rsid w:val="00143729"/>
    <w:rsid w:val="00154018"/>
    <w:rsid w:val="001601BC"/>
    <w:rsid w:val="00162040"/>
    <w:rsid w:val="00170BEB"/>
    <w:rsid w:val="00173E7E"/>
    <w:rsid w:val="00181AE6"/>
    <w:rsid w:val="00194F04"/>
    <w:rsid w:val="001975F4"/>
    <w:rsid w:val="001A2E45"/>
    <w:rsid w:val="001A6857"/>
    <w:rsid w:val="001B4BF1"/>
    <w:rsid w:val="001B6483"/>
    <w:rsid w:val="001C10B3"/>
    <w:rsid w:val="001C2D0E"/>
    <w:rsid w:val="001C47B1"/>
    <w:rsid w:val="001D0011"/>
    <w:rsid w:val="001D03D6"/>
    <w:rsid w:val="001D2F14"/>
    <w:rsid w:val="001D4D9C"/>
    <w:rsid w:val="001E6BA2"/>
    <w:rsid w:val="001F1A0E"/>
    <w:rsid w:val="00200993"/>
    <w:rsid w:val="0020339D"/>
    <w:rsid w:val="00206473"/>
    <w:rsid w:val="00214029"/>
    <w:rsid w:val="00221D12"/>
    <w:rsid w:val="00226FDF"/>
    <w:rsid w:val="00232A5D"/>
    <w:rsid w:val="002339D1"/>
    <w:rsid w:val="00252DAE"/>
    <w:rsid w:val="00260E61"/>
    <w:rsid w:val="00267C72"/>
    <w:rsid w:val="00280945"/>
    <w:rsid w:val="00282F77"/>
    <w:rsid w:val="002933BF"/>
    <w:rsid w:val="0029512C"/>
    <w:rsid w:val="002A0EA3"/>
    <w:rsid w:val="002A4CCD"/>
    <w:rsid w:val="002B0A30"/>
    <w:rsid w:val="002D0AD5"/>
    <w:rsid w:val="002E0EA3"/>
    <w:rsid w:val="002E49BE"/>
    <w:rsid w:val="002E66E1"/>
    <w:rsid w:val="00303909"/>
    <w:rsid w:val="00305636"/>
    <w:rsid w:val="00305A9D"/>
    <w:rsid w:val="003077F6"/>
    <w:rsid w:val="00313691"/>
    <w:rsid w:val="003138B3"/>
    <w:rsid w:val="00315EC6"/>
    <w:rsid w:val="00316BAC"/>
    <w:rsid w:val="0033143C"/>
    <w:rsid w:val="003339ED"/>
    <w:rsid w:val="00335A62"/>
    <w:rsid w:val="003412E7"/>
    <w:rsid w:val="003426EC"/>
    <w:rsid w:val="00355894"/>
    <w:rsid w:val="0037092F"/>
    <w:rsid w:val="00370C97"/>
    <w:rsid w:val="00371A8D"/>
    <w:rsid w:val="00372654"/>
    <w:rsid w:val="0037395F"/>
    <w:rsid w:val="003846AE"/>
    <w:rsid w:val="00387CE7"/>
    <w:rsid w:val="00394A0E"/>
    <w:rsid w:val="003A37F9"/>
    <w:rsid w:val="003B07AF"/>
    <w:rsid w:val="003B149D"/>
    <w:rsid w:val="003D44DF"/>
    <w:rsid w:val="003D7FE2"/>
    <w:rsid w:val="003E0419"/>
    <w:rsid w:val="003E0E2D"/>
    <w:rsid w:val="003E296D"/>
    <w:rsid w:val="003E5CA1"/>
    <w:rsid w:val="003E73B3"/>
    <w:rsid w:val="003F3254"/>
    <w:rsid w:val="0040094F"/>
    <w:rsid w:val="00411E9A"/>
    <w:rsid w:val="00415072"/>
    <w:rsid w:val="00420145"/>
    <w:rsid w:val="00424B36"/>
    <w:rsid w:val="004366FD"/>
    <w:rsid w:val="00444963"/>
    <w:rsid w:val="00444DC6"/>
    <w:rsid w:val="004478D2"/>
    <w:rsid w:val="00453A55"/>
    <w:rsid w:val="00464853"/>
    <w:rsid w:val="0049318B"/>
    <w:rsid w:val="0049466D"/>
    <w:rsid w:val="00497A6F"/>
    <w:rsid w:val="004B4DD1"/>
    <w:rsid w:val="004B5594"/>
    <w:rsid w:val="004B5605"/>
    <w:rsid w:val="004D0A86"/>
    <w:rsid w:val="004F221E"/>
    <w:rsid w:val="00510439"/>
    <w:rsid w:val="00512A8C"/>
    <w:rsid w:val="00526958"/>
    <w:rsid w:val="00531030"/>
    <w:rsid w:val="005319F4"/>
    <w:rsid w:val="00531C06"/>
    <w:rsid w:val="005456FF"/>
    <w:rsid w:val="00550720"/>
    <w:rsid w:val="00552707"/>
    <w:rsid w:val="00552BB1"/>
    <w:rsid w:val="005531A5"/>
    <w:rsid w:val="00553834"/>
    <w:rsid w:val="005702A7"/>
    <w:rsid w:val="00571EF4"/>
    <w:rsid w:val="005727D3"/>
    <w:rsid w:val="005879DB"/>
    <w:rsid w:val="0059183F"/>
    <w:rsid w:val="00592BF3"/>
    <w:rsid w:val="00595492"/>
    <w:rsid w:val="00596936"/>
    <w:rsid w:val="00597DDA"/>
    <w:rsid w:val="005A64A2"/>
    <w:rsid w:val="005B24D0"/>
    <w:rsid w:val="005C3B1D"/>
    <w:rsid w:val="005C48F7"/>
    <w:rsid w:val="005D2168"/>
    <w:rsid w:val="005D4E1D"/>
    <w:rsid w:val="005D5D73"/>
    <w:rsid w:val="005D721B"/>
    <w:rsid w:val="005E3F3F"/>
    <w:rsid w:val="005E649A"/>
    <w:rsid w:val="005F1AB1"/>
    <w:rsid w:val="006015A0"/>
    <w:rsid w:val="006046CD"/>
    <w:rsid w:val="006238D9"/>
    <w:rsid w:val="00630CA0"/>
    <w:rsid w:val="00641CCF"/>
    <w:rsid w:val="00643910"/>
    <w:rsid w:val="00653D7F"/>
    <w:rsid w:val="006542E6"/>
    <w:rsid w:val="00661F2B"/>
    <w:rsid w:val="00665FFB"/>
    <w:rsid w:val="00670595"/>
    <w:rsid w:val="00671B59"/>
    <w:rsid w:val="00673158"/>
    <w:rsid w:val="0067343B"/>
    <w:rsid w:val="006771CC"/>
    <w:rsid w:val="006776FE"/>
    <w:rsid w:val="006859DF"/>
    <w:rsid w:val="006923DC"/>
    <w:rsid w:val="00693535"/>
    <w:rsid w:val="00696B8D"/>
    <w:rsid w:val="006A1193"/>
    <w:rsid w:val="006B3599"/>
    <w:rsid w:val="006B5386"/>
    <w:rsid w:val="006B583F"/>
    <w:rsid w:val="006B5996"/>
    <w:rsid w:val="006C4F43"/>
    <w:rsid w:val="006C6049"/>
    <w:rsid w:val="006D7CF0"/>
    <w:rsid w:val="006E49CB"/>
    <w:rsid w:val="006E748A"/>
    <w:rsid w:val="006F1A84"/>
    <w:rsid w:val="006F52D1"/>
    <w:rsid w:val="00715BF0"/>
    <w:rsid w:val="00735E6B"/>
    <w:rsid w:val="007517CF"/>
    <w:rsid w:val="00753BD7"/>
    <w:rsid w:val="0076067D"/>
    <w:rsid w:val="00764C29"/>
    <w:rsid w:val="00770363"/>
    <w:rsid w:val="00777E85"/>
    <w:rsid w:val="00780D58"/>
    <w:rsid w:val="00781F9B"/>
    <w:rsid w:val="00793B36"/>
    <w:rsid w:val="007B0DD3"/>
    <w:rsid w:val="007B1105"/>
    <w:rsid w:val="007B3DD5"/>
    <w:rsid w:val="007B42BC"/>
    <w:rsid w:val="007C19DC"/>
    <w:rsid w:val="007C65E2"/>
    <w:rsid w:val="007D1C6C"/>
    <w:rsid w:val="007D25F7"/>
    <w:rsid w:val="007D4B42"/>
    <w:rsid w:val="007D5C79"/>
    <w:rsid w:val="007D7A5C"/>
    <w:rsid w:val="007F1D03"/>
    <w:rsid w:val="007F2AA7"/>
    <w:rsid w:val="007F468F"/>
    <w:rsid w:val="007F6882"/>
    <w:rsid w:val="007F7928"/>
    <w:rsid w:val="00801AE2"/>
    <w:rsid w:val="008040B0"/>
    <w:rsid w:val="0081645A"/>
    <w:rsid w:val="00817F2F"/>
    <w:rsid w:val="00824C92"/>
    <w:rsid w:val="0082563B"/>
    <w:rsid w:val="00827A83"/>
    <w:rsid w:val="008300FB"/>
    <w:rsid w:val="008344D8"/>
    <w:rsid w:val="0084499E"/>
    <w:rsid w:val="00845990"/>
    <w:rsid w:val="00863CBB"/>
    <w:rsid w:val="008715E0"/>
    <w:rsid w:val="008860AC"/>
    <w:rsid w:val="00895560"/>
    <w:rsid w:val="008A27B1"/>
    <w:rsid w:val="008A79EA"/>
    <w:rsid w:val="008B6365"/>
    <w:rsid w:val="008B72E3"/>
    <w:rsid w:val="008C35C8"/>
    <w:rsid w:val="008C49D8"/>
    <w:rsid w:val="008D4478"/>
    <w:rsid w:val="008D6500"/>
    <w:rsid w:val="008E0BF5"/>
    <w:rsid w:val="008F6424"/>
    <w:rsid w:val="0090207E"/>
    <w:rsid w:val="00914D18"/>
    <w:rsid w:val="009215B8"/>
    <w:rsid w:val="009230F3"/>
    <w:rsid w:val="00934796"/>
    <w:rsid w:val="00935D0C"/>
    <w:rsid w:val="00940BE4"/>
    <w:rsid w:val="00953E64"/>
    <w:rsid w:val="00955BF8"/>
    <w:rsid w:val="009601AF"/>
    <w:rsid w:val="009605CE"/>
    <w:rsid w:val="009617B0"/>
    <w:rsid w:val="0097036E"/>
    <w:rsid w:val="00972071"/>
    <w:rsid w:val="00974A79"/>
    <w:rsid w:val="009772CA"/>
    <w:rsid w:val="00983BE6"/>
    <w:rsid w:val="00991205"/>
    <w:rsid w:val="00997801"/>
    <w:rsid w:val="009A190D"/>
    <w:rsid w:val="009A7CA3"/>
    <w:rsid w:val="009B1538"/>
    <w:rsid w:val="009B57AB"/>
    <w:rsid w:val="009B69D8"/>
    <w:rsid w:val="00A0334E"/>
    <w:rsid w:val="00A072EA"/>
    <w:rsid w:val="00A14FC3"/>
    <w:rsid w:val="00A21C54"/>
    <w:rsid w:val="00A25361"/>
    <w:rsid w:val="00A27818"/>
    <w:rsid w:val="00A4248B"/>
    <w:rsid w:val="00A4479A"/>
    <w:rsid w:val="00A641D2"/>
    <w:rsid w:val="00A70573"/>
    <w:rsid w:val="00A74FA3"/>
    <w:rsid w:val="00A83EDA"/>
    <w:rsid w:val="00AA6073"/>
    <w:rsid w:val="00AA6080"/>
    <w:rsid w:val="00AA66D3"/>
    <w:rsid w:val="00AB225F"/>
    <w:rsid w:val="00AB6E42"/>
    <w:rsid w:val="00AC4065"/>
    <w:rsid w:val="00AC74F5"/>
    <w:rsid w:val="00AD3651"/>
    <w:rsid w:val="00AD6FB5"/>
    <w:rsid w:val="00AE7C4B"/>
    <w:rsid w:val="00AF5EAA"/>
    <w:rsid w:val="00AF709F"/>
    <w:rsid w:val="00AF7B50"/>
    <w:rsid w:val="00B0265A"/>
    <w:rsid w:val="00B05F01"/>
    <w:rsid w:val="00B2234A"/>
    <w:rsid w:val="00B2629D"/>
    <w:rsid w:val="00B31650"/>
    <w:rsid w:val="00B336D4"/>
    <w:rsid w:val="00B43E38"/>
    <w:rsid w:val="00B43F8A"/>
    <w:rsid w:val="00B46BBA"/>
    <w:rsid w:val="00B47EF9"/>
    <w:rsid w:val="00B51B01"/>
    <w:rsid w:val="00B52DAB"/>
    <w:rsid w:val="00B570B5"/>
    <w:rsid w:val="00B57B02"/>
    <w:rsid w:val="00B614EB"/>
    <w:rsid w:val="00B640E7"/>
    <w:rsid w:val="00B76ED4"/>
    <w:rsid w:val="00B80503"/>
    <w:rsid w:val="00B82E75"/>
    <w:rsid w:val="00B83766"/>
    <w:rsid w:val="00B91794"/>
    <w:rsid w:val="00BB13AC"/>
    <w:rsid w:val="00BB3318"/>
    <w:rsid w:val="00BB77E4"/>
    <w:rsid w:val="00BC0DC6"/>
    <w:rsid w:val="00BC4EB5"/>
    <w:rsid w:val="00BD0034"/>
    <w:rsid w:val="00BD291C"/>
    <w:rsid w:val="00BD5548"/>
    <w:rsid w:val="00BE26DD"/>
    <w:rsid w:val="00BF1C60"/>
    <w:rsid w:val="00BF34C1"/>
    <w:rsid w:val="00C002DC"/>
    <w:rsid w:val="00C0626A"/>
    <w:rsid w:val="00C10E8F"/>
    <w:rsid w:val="00C13DB9"/>
    <w:rsid w:val="00C22695"/>
    <w:rsid w:val="00C27160"/>
    <w:rsid w:val="00C31689"/>
    <w:rsid w:val="00C32676"/>
    <w:rsid w:val="00C33848"/>
    <w:rsid w:val="00C454AC"/>
    <w:rsid w:val="00C475AA"/>
    <w:rsid w:val="00C47E4C"/>
    <w:rsid w:val="00C52242"/>
    <w:rsid w:val="00C54274"/>
    <w:rsid w:val="00C60284"/>
    <w:rsid w:val="00C71733"/>
    <w:rsid w:val="00C83691"/>
    <w:rsid w:val="00C857C3"/>
    <w:rsid w:val="00C87A51"/>
    <w:rsid w:val="00C87B38"/>
    <w:rsid w:val="00C87BF5"/>
    <w:rsid w:val="00C9258D"/>
    <w:rsid w:val="00C92D96"/>
    <w:rsid w:val="00CA3EA6"/>
    <w:rsid w:val="00CA7658"/>
    <w:rsid w:val="00CC25C2"/>
    <w:rsid w:val="00CC63CA"/>
    <w:rsid w:val="00CE0B8C"/>
    <w:rsid w:val="00CF52BE"/>
    <w:rsid w:val="00CF5367"/>
    <w:rsid w:val="00CF702A"/>
    <w:rsid w:val="00D1248A"/>
    <w:rsid w:val="00D1428D"/>
    <w:rsid w:val="00D257FD"/>
    <w:rsid w:val="00D34BEA"/>
    <w:rsid w:val="00D44CB1"/>
    <w:rsid w:val="00D518AD"/>
    <w:rsid w:val="00D5470C"/>
    <w:rsid w:val="00D561EE"/>
    <w:rsid w:val="00D56AA9"/>
    <w:rsid w:val="00D60A39"/>
    <w:rsid w:val="00D61D3C"/>
    <w:rsid w:val="00D623DD"/>
    <w:rsid w:val="00D62955"/>
    <w:rsid w:val="00D62D0E"/>
    <w:rsid w:val="00D72DE4"/>
    <w:rsid w:val="00D801D8"/>
    <w:rsid w:val="00D80F5F"/>
    <w:rsid w:val="00D8641F"/>
    <w:rsid w:val="00D91F88"/>
    <w:rsid w:val="00DA1C46"/>
    <w:rsid w:val="00DA4B6B"/>
    <w:rsid w:val="00DB06FD"/>
    <w:rsid w:val="00DB1C82"/>
    <w:rsid w:val="00DB1F00"/>
    <w:rsid w:val="00DB4829"/>
    <w:rsid w:val="00DB68B1"/>
    <w:rsid w:val="00DC5E46"/>
    <w:rsid w:val="00DC65B5"/>
    <w:rsid w:val="00DD26D7"/>
    <w:rsid w:val="00DE1F79"/>
    <w:rsid w:val="00DE5663"/>
    <w:rsid w:val="00DF3D24"/>
    <w:rsid w:val="00DF6560"/>
    <w:rsid w:val="00E0050D"/>
    <w:rsid w:val="00E13A78"/>
    <w:rsid w:val="00E13AE8"/>
    <w:rsid w:val="00E323EB"/>
    <w:rsid w:val="00E40497"/>
    <w:rsid w:val="00E41AB1"/>
    <w:rsid w:val="00E42BF2"/>
    <w:rsid w:val="00E449C2"/>
    <w:rsid w:val="00E45A27"/>
    <w:rsid w:val="00E50DE2"/>
    <w:rsid w:val="00E51BE0"/>
    <w:rsid w:val="00E55E9D"/>
    <w:rsid w:val="00E62F1A"/>
    <w:rsid w:val="00E65132"/>
    <w:rsid w:val="00E77A72"/>
    <w:rsid w:val="00E80635"/>
    <w:rsid w:val="00E81731"/>
    <w:rsid w:val="00E84CE6"/>
    <w:rsid w:val="00E8699A"/>
    <w:rsid w:val="00E87C4D"/>
    <w:rsid w:val="00E9111B"/>
    <w:rsid w:val="00E92772"/>
    <w:rsid w:val="00E93E61"/>
    <w:rsid w:val="00E94B8C"/>
    <w:rsid w:val="00EA4B92"/>
    <w:rsid w:val="00EA5FD5"/>
    <w:rsid w:val="00EC12F8"/>
    <w:rsid w:val="00ED376D"/>
    <w:rsid w:val="00ED52C9"/>
    <w:rsid w:val="00ED548A"/>
    <w:rsid w:val="00EE2DEA"/>
    <w:rsid w:val="00EF3551"/>
    <w:rsid w:val="00EF6AA0"/>
    <w:rsid w:val="00EF6DEC"/>
    <w:rsid w:val="00F119F7"/>
    <w:rsid w:val="00F2142A"/>
    <w:rsid w:val="00F22657"/>
    <w:rsid w:val="00F31B60"/>
    <w:rsid w:val="00F32B47"/>
    <w:rsid w:val="00F337EF"/>
    <w:rsid w:val="00F43032"/>
    <w:rsid w:val="00F51F4A"/>
    <w:rsid w:val="00F56F1E"/>
    <w:rsid w:val="00F65127"/>
    <w:rsid w:val="00F6593C"/>
    <w:rsid w:val="00F708E8"/>
    <w:rsid w:val="00F71BE3"/>
    <w:rsid w:val="00F74FD6"/>
    <w:rsid w:val="00F8392B"/>
    <w:rsid w:val="00F84D81"/>
    <w:rsid w:val="00F86195"/>
    <w:rsid w:val="00F924F6"/>
    <w:rsid w:val="00F96097"/>
    <w:rsid w:val="00FA68E4"/>
    <w:rsid w:val="00FA6A68"/>
    <w:rsid w:val="00FC47D7"/>
    <w:rsid w:val="00FC676E"/>
    <w:rsid w:val="00FC73D9"/>
    <w:rsid w:val="00FD4C1F"/>
    <w:rsid w:val="00FE2E31"/>
    <w:rsid w:val="00FF1035"/>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73DA25"/>
  <w15:chartTrackingRefBased/>
  <w15:docId w15:val="{EBADC498-6490-4261-963D-5E93EBDA6B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705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F355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D26D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D26D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F709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0573"/>
    <w:rPr>
      <w:rFonts w:asciiTheme="majorHAnsi" w:eastAsiaTheme="majorEastAsia" w:hAnsiTheme="majorHAnsi" w:cstheme="majorBidi"/>
      <w:color w:val="2F5496" w:themeColor="accent1" w:themeShade="BF"/>
      <w:sz w:val="32"/>
      <w:szCs w:val="32"/>
    </w:rPr>
  </w:style>
  <w:style w:type="paragraph" w:styleId="FootnoteText">
    <w:name w:val="footnote text"/>
    <w:basedOn w:val="Normal"/>
    <w:link w:val="FootnoteTextChar"/>
    <w:uiPriority w:val="99"/>
    <w:semiHidden/>
    <w:unhideWhenUsed/>
    <w:rsid w:val="00A7057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70573"/>
    <w:rPr>
      <w:sz w:val="20"/>
      <w:szCs w:val="20"/>
    </w:rPr>
  </w:style>
  <w:style w:type="character" w:styleId="FootnoteReference">
    <w:name w:val="footnote reference"/>
    <w:basedOn w:val="DefaultParagraphFont"/>
    <w:uiPriority w:val="99"/>
    <w:semiHidden/>
    <w:unhideWhenUsed/>
    <w:rsid w:val="00A70573"/>
    <w:rPr>
      <w:vertAlign w:val="superscript"/>
    </w:rPr>
  </w:style>
  <w:style w:type="paragraph" w:styleId="ListParagraph">
    <w:name w:val="List Paragraph"/>
    <w:basedOn w:val="Normal"/>
    <w:uiPriority w:val="34"/>
    <w:qFormat/>
    <w:rsid w:val="00E13AE8"/>
    <w:pPr>
      <w:ind w:left="720"/>
      <w:contextualSpacing/>
    </w:pPr>
  </w:style>
  <w:style w:type="character" w:customStyle="1" w:styleId="Heading2Char">
    <w:name w:val="Heading 2 Char"/>
    <w:basedOn w:val="DefaultParagraphFont"/>
    <w:link w:val="Heading2"/>
    <w:uiPriority w:val="9"/>
    <w:rsid w:val="00EF3551"/>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F8392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DD26D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D26D7"/>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B80503"/>
    <w:rPr>
      <w:color w:val="808080"/>
    </w:rPr>
  </w:style>
  <w:style w:type="character" w:styleId="Hyperlink">
    <w:name w:val="Hyperlink"/>
    <w:basedOn w:val="DefaultParagraphFont"/>
    <w:uiPriority w:val="99"/>
    <w:unhideWhenUsed/>
    <w:rsid w:val="006771CC"/>
    <w:rPr>
      <w:color w:val="0563C1" w:themeColor="hyperlink"/>
      <w:u w:val="single"/>
    </w:rPr>
  </w:style>
  <w:style w:type="character" w:customStyle="1" w:styleId="Heading5Char">
    <w:name w:val="Heading 5 Char"/>
    <w:basedOn w:val="DefaultParagraphFont"/>
    <w:link w:val="Heading5"/>
    <w:uiPriority w:val="9"/>
    <w:semiHidden/>
    <w:rsid w:val="00AF709F"/>
    <w:rPr>
      <w:rFonts w:asciiTheme="majorHAnsi" w:eastAsiaTheme="majorEastAsia" w:hAnsiTheme="majorHAnsi" w:cstheme="majorBidi"/>
      <w:color w:val="2F5496" w:themeColor="accent1" w:themeShade="BF"/>
    </w:rPr>
  </w:style>
  <w:style w:type="paragraph" w:styleId="Title">
    <w:name w:val="Title"/>
    <w:basedOn w:val="Normal"/>
    <w:next w:val="Normal"/>
    <w:link w:val="TitleChar"/>
    <w:uiPriority w:val="10"/>
    <w:qFormat/>
    <w:rsid w:val="006542E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42E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542E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542E6"/>
    <w:rPr>
      <w:rFonts w:eastAsiaTheme="minorEastAsia"/>
      <w:color w:val="5A5A5A" w:themeColor="text1" w:themeTint="A5"/>
      <w:spacing w:val="15"/>
    </w:rPr>
  </w:style>
  <w:style w:type="paragraph" w:styleId="TOCHeading">
    <w:name w:val="TOC Heading"/>
    <w:basedOn w:val="Heading1"/>
    <w:next w:val="Normal"/>
    <w:uiPriority w:val="39"/>
    <w:unhideWhenUsed/>
    <w:qFormat/>
    <w:rsid w:val="006542E6"/>
    <w:pPr>
      <w:outlineLvl w:val="9"/>
    </w:pPr>
  </w:style>
  <w:style w:type="paragraph" w:styleId="TOC1">
    <w:name w:val="toc 1"/>
    <w:basedOn w:val="Normal"/>
    <w:next w:val="Normal"/>
    <w:autoRedefine/>
    <w:uiPriority w:val="39"/>
    <w:unhideWhenUsed/>
    <w:rsid w:val="006542E6"/>
    <w:pPr>
      <w:spacing w:after="100"/>
    </w:pPr>
  </w:style>
  <w:style w:type="paragraph" w:styleId="TOC2">
    <w:name w:val="toc 2"/>
    <w:basedOn w:val="Normal"/>
    <w:next w:val="Normal"/>
    <w:autoRedefine/>
    <w:uiPriority w:val="39"/>
    <w:unhideWhenUsed/>
    <w:rsid w:val="006542E6"/>
    <w:pPr>
      <w:spacing w:after="100"/>
      <w:ind w:left="220"/>
    </w:pPr>
  </w:style>
  <w:style w:type="paragraph" w:styleId="TOC3">
    <w:name w:val="toc 3"/>
    <w:basedOn w:val="Normal"/>
    <w:next w:val="Normal"/>
    <w:autoRedefine/>
    <w:uiPriority w:val="39"/>
    <w:unhideWhenUsed/>
    <w:rsid w:val="006542E6"/>
    <w:pPr>
      <w:spacing w:after="100"/>
      <w:ind w:left="440"/>
    </w:pPr>
  </w:style>
  <w:style w:type="character" w:styleId="FollowedHyperlink">
    <w:name w:val="FollowedHyperlink"/>
    <w:basedOn w:val="DefaultParagraphFont"/>
    <w:uiPriority w:val="99"/>
    <w:semiHidden/>
    <w:unhideWhenUsed/>
    <w:rsid w:val="00EA5FD5"/>
    <w:rPr>
      <w:color w:val="954F72" w:themeColor="followedHyperlink"/>
      <w:u w:val="single"/>
    </w:rPr>
  </w:style>
  <w:style w:type="character" w:customStyle="1" w:styleId="UnresolvedMention">
    <w:name w:val="Unresolved Mention"/>
    <w:basedOn w:val="DefaultParagraphFont"/>
    <w:uiPriority w:val="99"/>
    <w:semiHidden/>
    <w:unhideWhenUsed/>
    <w:rsid w:val="007D1C6C"/>
    <w:rPr>
      <w:color w:val="605E5C"/>
      <w:shd w:val="clear" w:color="auto" w:fill="E1DFDD"/>
    </w:rPr>
  </w:style>
  <w:style w:type="paragraph" w:styleId="Header">
    <w:name w:val="header"/>
    <w:basedOn w:val="Normal"/>
    <w:link w:val="HeaderChar"/>
    <w:uiPriority w:val="99"/>
    <w:unhideWhenUsed/>
    <w:rsid w:val="00F22657"/>
    <w:pPr>
      <w:tabs>
        <w:tab w:val="center" w:pos="4986"/>
        <w:tab w:val="right" w:pos="9972"/>
      </w:tabs>
      <w:spacing w:after="0" w:line="240" w:lineRule="auto"/>
    </w:pPr>
  </w:style>
  <w:style w:type="character" w:customStyle="1" w:styleId="HeaderChar">
    <w:name w:val="Header Char"/>
    <w:basedOn w:val="DefaultParagraphFont"/>
    <w:link w:val="Header"/>
    <w:uiPriority w:val="99"/>
    <w:rsid w:val="00F22657"/>
  </w:style>
  <w:style w:type="paragraph" w:styleId="Footer">
    <w:name w:val="footer"/>
    <w:basedOn w:val="Normal"/>
    <w:link w:val="FooterChar"/>
    <w:uiPriority w:val="99"/>
    <w:unhideWhenUsed/>
    <w:rsid w:val="00F22657"/>
    <w:pPr>
      <w:tabs>
        <w:tab w:val="center" w:pos="4986"/>
        <w:tab w:val="right" w:pos="9972"/>
      </w:tabs>
      <w:spacing w:after="0" w:line="240" w:lineRule="auto"/>
    </w:pPr>
  </w:style>
  <w:style w:type="character" w:customStyle="1" w:styleId="FooterChar">
    <w:name w:val="Footer Char"/>
    <w:basedOn w:val="DefaultParagraphFont"/>
    <w:link w:val="Footer"/>
    <w:uiPriority w:val="99"/>
    <w:rsid w:val="00F226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136042">
      <w:bodyDiv w:val="1"/>
      <w:marLeft w:val="0"/>
      <w:marRight w:val="0"/>
      <w:marTop w:val="0"/>
      <w:marBottom w:val="0"/>
      <w:divBdr>
        <w:top w:val="none" w:sz="0" w:space="0" w:color="auto"/>
        <w:left w:val="none" w:sz="0" w:space="0" w:color="auto"/>
        <w:bottom w:val="none" w:sz="0" w:space="0" w:color="auto"/>
        <w:right w:val="none" w:sz="0" w:space="0" w:color="auto"/>
      </w:divBdr>
    </w:div>
    <w:div w:id="27462192">
      <w:bodyDiv w:val="1"/>
      <w:marLeft w:val="0"/>
      <w:marRight w:val="0"/>
      <w:marTop w:val="0"/>
      <w:marBottom w:val="0"/>
      <w:divBdr>
        <w:top w:val="none" w:sz="0" w:space="0" w:color="auto"/>
        <w:left w:val="none" w:sz="0" w:space="0" w:color="auto"/>
        <w:bottom w:val="none" w:sz="0" w:space="0" w:color="auto"/>
        <w:right w:val="none" w:sz="0" w:space="0" w:color="auto"/>
      </w:divBdr>
    </w:div>
    <w:div w:id="74667051">
      <w:bodyDiv w:val="1"/>
      <w:marLeft w:val="0"/>
      <w:marRight w:val="0"/>
      <w:marTop w:val="0"/>
      <w:marBottom w:val="0"/>
      <w:divBdr>
        <w:top w:val="none" w:sz="0" w:space="0" w:color="auto"/>
        <w:left w:val="none" w:sz="0" w:space="0" w:color="auto"/>
        <w:bottom w:val="none" w:sz="0" w:space="0" w:color="auto"/>
        <w:right w:val="none" w:sz="0" w:space="0" w:color="auto"/>
      </w:divBdr>
    </w:div>
    <w:div w:id="130293180">
      <w:bodyDiv w:val="1"/>
      <w:marLeft w:val="0"/>
      <w:marRight w:val="0"/>
      <w:marTop w:val="0"/>
      <w:marBottom w:val="0"/>
      <w:divBdr>
        <w:top w:val="none" w:sz="0" w:space="0" w:color="auto"/>
        <w:left w:val="none" w:sz="0" w:space="0" w:color="auto"/>
        <w:bottom w:val="none" w:sz="0" w:space="0" w:color="auto"/>
        <w:right w:val="none" w:sz="0" w:space="0" w:color="auto"/>
      </w:divBdr>
    </w:div>
    <w:div w:id="132605188">
      <w:bodyDiv w:val="1"/>
      <w:marLeft w:val="0"/>
      <w:marRight w:val="0"/>
      <w:marTop w:val="0"/>
      <w:marBottom w:val="0"/>
      <w:divBdr>
        <w:top w:val="none" w:sz="0" w:space="0" w:color="auto"/>
        <w:left w:val="none" w:sz="0" w:space="0" w:color="auto"/>
        <w:bottom w:val="none" w:sz="0" w:space="0" w:color="auto"/>
        <w:right w:val="none" w:sz="0" w:space="0" w:color="auto"/>
      </w:divBdr>
    </w:div>
    <w:div w:id="139270137">
      <w:bodyDiv w:val="1"/>
      <w:marLeft w:val="0"/>
      <w:marRight w:val="0"/>
      <w:marTop w:val="0"/>
      <w:marBottom w:val="0"/>
      <w:divBdr>
        <w:top w:val="none" w:sz="0" w:space="0" w:color="auto"/>
        <w:left w:val="none" w:sz="0" w:space="0" w:color="auto"/>
        <w:bottom w:val="none" w:sz="0" w:space="0" w:color="auto"/>
        <w:right w:val="none" w:sz="0" w:space="0" w:color="auto"/>
      </w:divBdr>
    </w:div>
    <w:div w:id="176963737">
      <w:bodyDiv w:val="1"/>
      <w:marLeft w:val="0"/>
      <w:marRight w:val="0"/>
      <w:marTop w:val="0"/>
      <w:marBottom w:val="0"/>
      <w:divBdr>
        <w:top w:val="none" w:sz="0" w:space="0" w:color="auto"/>
        <w:left w:val="none" w:sz="0" w:space="0" w:color="auto"/>
        <w:bottom w:val="none" w:sz="0" w:space="0" w:color="auto"/>
        <w:right w:val="none" w:sz="0" w:space="0" w:color="auto"/>
      </w:divBdr>
    </w:div>
    <w:div w:id="184178849">
      <w:bodyDiv w:val="1"/>
      <w:marLeft w:val="0"/>
      <w:marRight w:val="0"/>
      <w:marTop w:val="0"/>
      <w:marBottom w:val="0"/>
      <w:divBdr>
        <w:top w:val="none" w:sz="0" w:space="0" w:color="auto"/>
        <w:left w:val="none" w:sz="0" w:space="0" w:color="auto"/>
        <w:bottom w:val="none" w:sz="0" w:space="0" w:color="auto"/>
        <w:right w:val="none" w:sz="0" w:space="0" w:color="auto"/>
      </w:divBdr>
      <w:divsChild>
        <w:div w:id="2068187480">
          <w:marLeft w:val="0"/>
          <w:marRight w:val="0"/>
          <w:marTop w:val="0"/>
          <w:marBottom w:val="0"/>
          <w:divBdr>
            <w:top w:val="none" w:sz="0" w:space="0" w:color="auto"/>
            <w:left w:val="none" w:sz="0" w:space="0" w:color="auto"/>
            <w:bottom w:val="none" w:sz="0" w:space="0" w:color="auto"/>
            <w:right w:val="none" w:sz="0" w:space="0" w:color="auto"/>
          </w:divBdr>
          <w:divsChild>
            <w:div w:id="181930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72613">
      <w:bodyDiv w:val="1"/>
      <w:marLeft w:val="0"/>
      <w:marRight w:val="0"/>
      <w:marTop w:val="0"/>
      <w:marBottom w:val="0"/>
      <w:divBdr>
        <w:top w:val="none" w:sz="0" w:space="0" w:color="auto"/>
        <w:left w:val="none" w:sz="0" w:space="0" w:color="auto"/>
        <w:bottom w:val="none" w:sz="0" w:space="0" w:color="auto"/>
        <w:right w:val="none" w:sz="0" w:space="0" w:color="auto"/>
      </w:divBdr>
    </w:div>
    <w:div w:id="377054206">
      <w:bodyDiv w:val="1"/>
      <w:marLeft w:val="0"/>
      <w:marRight w:val="0"/>
      <w:marTop w:val="0"/>
      <w:marBottom w:val="0"/>
      <w:divBdr>
        <w:top w:val="none" w:sz="0" w:space="0" w:color="auto"/>
        <w:left w:val="none" w:sz="0" w:space="0" w:color="auto"/>
        <w:bottom w:val="none" w:sz="0" w:space="0" w:color="auto"/>
        <w:right w:val="none" w:sz="0" w:space="0" w:color="auto"/>
      </w:divBdr>
    </w:div>
    <w:div w:id="415588692">
      <w:bodyDiv w:val="1"/>
      <w:marLeft w:val="0"/>
      <w:marRight w:val="0"/>
      <w:marTop w:val="0"/>
      <w:marBottom w:val="0"/>
      <w:divBdr>
        <w:top w:val="none" w:sz="0" w:space="0" w:color="auto"/>
        <w:left w:val="none" w:sz="0" w:space="0" w:color="auto"/>
        <w:bottom w:val="none" w:sz="0" w:space="0" w:color="auto"/>
        <w:right w:val="none" w:sz="0" w:space="0" w:color="auto"/>
      </w:divBdr>
    </w:div>
    <w:div w:id="443234897">
      <w:bodyDiv w:val="1"/>
      <w:marLeft w:val="0"/>
      <w:marRight w:val="0"/>
      <w:marTop w:val="0"/>
      <w:marBottom w:val="0"/>
      <w:divBdr>
        <w:top w:val="none" w:sz="0" w:space="0" w:color="auto"/>
        <w:left w:val="none" w:sz="0" w:space="0" w:color="auto"/>
        <w:bottom w:val="none" w:sz="0" w:space="0" w:color="auto"/>
        <w:right w:val="none" w:sz="0" w:space="0" w:color="auto"/>
      </w:divBdr>
    </w:div>
    <w:div w:id="453643415">
      <w:bodyDiv w:val="1"/>
      <w:marLeft w:val="0"/>
      <w:marRight w:val="0"/>
      <w:marTop w:val="0"/>
      <w:marBottom w:val="0"/>
      <w:divBdr>
        <w:top w:val="none" w:sz="0" w:space="0" w:color="auto"/>
        <w:left w:val="none" w:sz="0" w:space="0" w:color="auto"/>
        <w:bottom w:val="none" w:sz="0" w:space="0" w:color="auto"/>
        <w:right w:val="none" w:sz="0" w:space="0" w:color="auto"/>
      </w:divBdr>
    </w:div>
    <w:div w:id="557476682">
      <w:bodyDiv w:val="1"/>
      <w:marLeft w:val="0"/>
      <w:marRight w:val="0"/>
      <w:marTop w:val="0"/>
      <w:marBottom w:val="0"/>
      <w:divBdr>
        <w:top w:val="none" w:sz="0" w:space="0" w:color="auto"/>
        <w:left w:val="none" w:sz="0" w:space="0" w:color="auto"/>
        <w:bottom w:val="none" w:sz="0" w:space="0" w:color="auto"/>
        <w:right w:val="none" w:sz="0" w:space="0" w:color="auto"/>
      </w:divBdr>
    </w:div>
    <w:div w:id="721097530">
      <w:bodyDiv w:val="1"/>
      <w:marLeft w:val="0"/>
      <w:marRight w:val="0"/>
      <w:marTop w:val="0"/>
      <w:marBottom w:val="0"/>
      <w:divBdr>
        <w:top w:val="none" w:sz="0" w:space="0" w:color="auto"/>
        <w:left w:val="none" w:sz="0" w:space="0" w:color="auto"/>
        <w:bottom w:val="none" w:sz="0" w:space="0" w:color="auto"/>
        <w:right w:val="none" w:sz="0" w:space="0" w:color="auto"/>
      </w:divBdr>
      <w:divsChild>
        <w:div w:id="1749577910">
          <w:marLeft w:val="0"/>
          <w:marRight w:val="0"/>
          <w:marTop w:val="0"/>
          <w:marBottom w:val="0"/>
          <w:divBdr>
            <w:top w:val="none" w:sz="0" w:space="0" w:color="auto"/>
            <w:left w:val="none" w:sz="0" w:space="0" w:color="auto"/>
            <w:bottom w:val="none" w:sz="0" w:space="0" w:color="auto"/>
            <w:right w:val="none" w:sz="0" w:space="0" w:color="auto"/>
          </w:divBdr>
          <w:divsChild>
            <w:div w:id="77740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695273">
      <w:bodyDiv w:val="1"/>
      <w:marLeft w:val="0"/>
      <w:marRight w:val="0"/>
      <w:marTop w:val="0"/>
      <w:marBottom w:val="0"/>
      <w:divBdr>
        <w:top w:val="none" w:sz="0" w:space="0" w:color="auto"/>
        <w:left w:val="none" w:sz="0" w:space="0" w:color="auto"/>
        <w:bottom w:val="none" w:sz="0" w:space="0" w:color="auto"/>
        <w:right w:val="none" w:sz="0" w:space="0" w:color="auto"/>
      </w:divBdr>
    </w:div>
    <w:div w:id="1065879860">
      <w:bodyDiv w:val="1"/>
      <w:marLeft w:val="0"/>
      <w:marRight w:val="0"/>
      <w:marTop w:val="0"/>
      <w:marBottom w:val="0"/>
      <w:divBdr>
        <w:top w:val="none" w:sz="0" w:space="0" w:color="auto"/>
        <w:left w:val="none" w:sz="0" w:space="0" w:color="auto"/>
        <w:bottom w:val="none" w:sz="0" w:space="0" w:color="auto"/>
        <w:right w:val="none" w:sz="0" w:space="0" w:color="auto"/>
      </w:divBdr>
    </w:div>
    <w:div w:id="1162115758">
      <w:bodyDiv w:val="1"/>
      <w:marLeft w:val="0"/>
      <w:marRight w:val="0"/>
      <w:marTop w:val="0"/>
      <w:marBottom w:val="0"/>
      <w:divBdr>
        <w:top w:val="none" w:sz="0" w:space="0" w:color="auto"/>
        <w:left w:val="none" w:sz="0" w:space="0" w:color="auto"/>
        <w:bottom w:val="none" w:sz="0" w:space="0" w:color="auto"/>
        <w:right w:val="none" w:sz="0" w:space="0" w:color="auto"/>
      </w:divBdr>
    </w:div>
    <w:div w:id="1176578958">
      <w:bodyDiv w:val="1"/>
      <w:marLeft w:val="0"/>
      <w:marRight w:val="0"/>
      <w:marTop w:val="0"/>
      <w:marBottom w:val="0"/>
      <w:divBdr>
        <w:top w:val="none" w:sz="0" w:space="0" w:color="auto"/>
        <w:left w:val="none" w:sz="0" w:space="0" w:color="auto"/>
        <w:bottom w:val="none" w:sz="0" w:space="0" w:color="auto"/>
        <w:right w:val="none" w:sz="0" w:space="0" w:color="auto"/>
      </w:divBdr>
    </w:div>
    <w:div w:id="1221986288">
      <w:bodyDiv w:val="1"/>
      <w:marLeft w:val="0"/>
      <w:marRight w:val="0"/>
      <w:marTop w:val="0"/>
      <w:marBottom w:val="0"/>
      <w:divBdr>
        <w:top w:val="none" w:sz="0" w:space="0" w:color="auto"/>
        <w:left w:val="none" w:sz="0" w:space="0" w:color="auto"/>
        <w:bottom w:val="none" w:sz="0" w:space="0" w:color="auto"/>
        <w:right w:val="none" w:sz="0" w:space="0" w:color="auto"/>
      </w:divBdr>
    </w:div>
    <w:div w:id="1335769426">
      <w:bodyDiv w:val="1"/>
      <w:marLeft w:val="0"/>
      <w:marRight w:val="0"/>
      <w:marTop w:val="0"/>
      <w:marBottom w:val="0"/>
      <w:divBdr>
        <w:top w:val="none" w:sz="0" w:space="0" w:color="auto"/>
        <w:left w:val="none" w:sz="0" w:space="0" w:color="auto"/>
        <w:bottom w:val="none" w:sz="0" w:space="0" w:color="auto"/>
        <w:right w:val="none" w:sz="0" w:space="0" w:color="auto"/>
      </w:divBdr>
      <w:divsChild>
        <w:div w:id="998339695">
          <w:marLeft w:val="-225"/>
          <w:marRight w:val="-225"/>
          <w:marTop w:val="0"/>
          <w:marBottom w:val="0"/>
          <w:divBdr>
            <w:top w:val="none" w:sz="0" w:space="0" w:color="auto"/>
            <w:left w:val="none" w:sz="0" w:space="0" w:color="auto"/>
            <w:bottom w:val="none" w:sz="0" w:space="0" w:color="auto"/>
            <w:right w:val="none" w:sz="0" w:space="0" w:color="auto"/>
          </w:divBdr>
          <w:divsChild>
            <w:div w:id="1026753468">
              <w:marLeft w:val="-225"/>
              <w:marRight w:val="-225"/>
              <w:marTop w:val="0"/>
              <w:marBottom w:val="300"/>
              <w:divBdr>
                <w:top w:val="none" w:sz="0" w:space="0" w:color="auto"/>
                <w:left w:val="none" w:sz="0" w:space="0" w:color="auto"/>
                <w:bottom w:val="single" w:sz="6" w:space="5" w:color="B2B2B2"/>
                <w:right w:val="none" w:sz="0" w:space="0" w:color="auto"/>
              </w:divBdr>
              <w:divsChild>
                <w:div w:id="1207451677">
                  <w:marLeft w:val="0"/>
                  <w:marRight w:val="0"/>
                  <w:marTop w:val="0"/>
                  <w:marBottom w:val="0"/>
                  <w:divBdr>
                    <w:top w:val="none" w:sz="0" w:space="0" w:color="auto"/>
                    <w:left w:val="none" w:sz="0" w:space="0" w:color="auto"/>
                    <w:bottom w:val="none" w:sz="0" w:space="0" w:color="auto"/>
                    <w:right w:val="none" w:sz="0" w:space="0" w:color="auto"/>
                  </w:divBdr>
                  <w:divsChild>
                    <w:div w:id="146801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1098476">
      <w:bodyDiv w:val="1"/>
      <w:marLeft w:val="0"/>
      <w:marRight w:val="0"/>
      <w:marTop w:val="0"/>
      <w:marBottom w:val="0"/>
      <w:divBdr>
        <w:top w:val="none" w:sz="0" w:space="0" w:color="auto"/>
        <w:left w:val="none" w:sz="0" w:space="0" w:color="auto"/>
        <w:bottom w:val="none" w:sz="0" w:space="0" w:color="auto"/>
        <w:right w:val="none" w:sz="0" w:space="0" w:color="auto"/>
      </w:divBdr>
    </w:div>
    <w:div w:id="1440638566">
      <w:bodyDiv w:val="1"/>
      <w:marLeft w:val="0"/>
      <w:marRight w:val="0"/>
      <w:marTop w:val="0"/>
      <w:marBottom w:val="0"/>
      <w:divBdr>
        <w:top w:val="none" w:sz="0" w:space="0" w:color="auto"/>
        <w:left w:val="none" w:sz="0" w:space="0" w:color="auto"/>
        <w:bottom w:val="none" w:sz="0" w:space="0" w:color="auto"/>
        <w:right w:val="none" w:sz="0" w:space="0" w:color="auto"/>
      </w:divBdr>
    </w:div>
    <w:div w:id="1482891114">
      <w:bodyDiv w:val="1"/>
      <w:marLeft w:val="0"/>
      <w:marRight w:val="0"/>
      <w:marTop w:val="0"/>
      <w:marBottom w:val="0"/>
      <w:divBdr>
        <w:top w:val="none" w:sz="0" w:space="0" w:color="auto"/>
        <w:left w:val="none" w:sz="0" w:space="0" w:color="auto"/>
        <w:bottom w:val="none" w:sz="0" w:space="0" w:color="auto"/>
        <w:right w:val="none" w:sz="0" w:space="0" w:color="auto"/>
      </w:divBdr>
    </w:div>
    <w:div w:id="1501847689">
      <w:bodyDiv w:val="1"/>
      <w:marLeft w:val="0"/>
      <w:marRight w:val="0"/>
      <w:marTop w:val="0"/>
      <w:marBottom w:val="0"/>
      <w:divBdr>
        <w:top w:val="none" w:sz="0" w:space="0" w:color="auto"/>
        <w:left w:val="none" w:sz="0" w:space="0" w:color="auto"/>
        <w:bottom w:val="none" w:sz="0" w:space="0" w:color="auto"/>
        <w:right w:val="none" w:sz="0" w:space="0" w:color="auto"/>
      </w:divBdr>
    </w:div>
    <w:div w:id="1536581602">
      <w:bodyDiv w:val="1"/>
      <w:marLeft w:val="0"/>
      <w:marRight w:val="0"/>
      <w:marTop w:val="0"/>
      <w:marBottom w:val="0"/>
      <w:divBdr>
        <w:top w:val="none" w:sz="0" w:space="0" w:color="auto"/>
        <w:left w:val="none" w:sz="0" w:space="0" w:color="auto"/>
        <w:bottom w:val="none" w:sz="0" w:space="0" w:color="auto"/>
        <w:right w:val="none" w:sz="0" w:space="0" w:color="auto"/>
      </w:divBdr>
    </w:div>
    <w:div w:id="1557356270">
      <w:bodyDiv w:val="1"/>
      <w:marLeft w:val="0"/>
      <w:marRight w:val="0"/>
      <w:marTop w:val="0"/>
      <w:marBottom w:val="0"/>
      <w:divBdr>
        <w:top w:val="none" w:sz="0" w:space="0" w:color="auto"/>
        <w:left w:val="none" w:sz="0" w:space="0" w:color="auto"/>
        <w:bottom w:val="none" w:sz="0" w:space="0" w:color="auto"/>
        <w:right w:val="none" w:sz="0" w:space="0" w:color="auto"/>
      </w:divBdr>
    </w:div>
    <w:div w:id="1570769282">
      <w:bodyDiv w:val="1"/>
      <w:marLeft w:val="0"/>
      <w:marRight w:val="0"/>
      <w:marTop w:val="0"/>
      <w:marBottom w:val="0"/>
      <w:divBdr>
        <w:top w:val="none" w:sz="0" w:space="0" w:color="auto"/>
        <w:left w:val="none" w:sz="0" w:space="0" w:color="auto"/>
        <w:bottom w:val="none" w:sz="0" w:space="0" w:color="auto"/>
        <w:right w:val="none" w:sz="0" w:space="0" w:color="auto"/>
      </w:divBdr>
    </w:div>
    <w:div w:id="1598900981">
      <w:bodyDiv w:val="1"/>
      <w:marLeft w:val="0"/>
      <w:marRight w:val="0"/>
      <w:marTop w:val="0"/>
      <w:marBottom w:val="0"/>
      <w:divBdr>
        <w:top w:val="none" w:sz="0" w:space="0" w:color="auto"/>
        <w:left w:val="none" w:sz="0" w:space="0" w:color="auto"/>
        <w:bottom w:val="none" w:sz="0" w:space="0" w:color="auto"/>
        <w:right w:val="none" w:sz="0" w:space="0" w:color="auto"/>
      </w:divBdr>
    </w:div>
    <w:div w:id="1614938232">
      <w:bodyDiv w:val="1"/>
      <w:marLeft w:val="0"/>
      <w:marRight w:val="0"/>
      <w:marTop w:val="0"/>
      <w:marBottom w:val="0"/>
      <w:divBdr>
        <w:top w:val="none" w:sz="0" w:space="0" w:color="auto"/>
        <w:left w:val="none" w:sz="0" w:space="0" w:color="auto"/>
        <w:bottom w:val="none" w:sz="0" w:space="0" w:color="auto"/>
        <w:right w:val="none" w:sz="0" w:space="0" w:color="auto"/>
      </w:divBdr>
    </w:div>
    <w:div w:id="1638343086">
      <w:bodyDiv w:val="1"/>
      <w:marLeft w:val="0"/>
      <w:marRight w:val="0"/>
      <w:marTop w:val="0"/>
      <w:marBottom w:val="0"/>
      <w:divBdr>
        <w:top w:val="none" w:sz="0" w:space="0" w:color="auto"/>
        <w:left w:val="none" w:sz="0" w:space="0" w:color="auto"/>
        <w:bottom w:val="none" w:sz="0" w:space="0" w:color="auto"/>
        <w:right w:val="none" w:sz="0" w:space="0" w:color="auto"/>
      </w:divBdr>
    </w:div>
    <w:div w:id="1819032860">
      <w:bodyDiv w:val="1"/>
      <w:marLeft w:val="0"/>
      <w:marRight w:val="0"/>
      <w:marTop w:val="0"/>
      <w:marBottom w:val="0"/>
      <w:divBdr>
        <w:top w:val="none" w:sz="0" w:space="0" w:color="auto"/>
        <w:left w:val="none" w:sz="0" w:space="0" w:color="auto"/>
        <w:bottom w:val="none" w:sz="0" w:space="0" w:color="auto"/>
        <w:right w:val="none" w:sz="0" w:space="0" w:color="auto"/>
      </w:divBdr>
      <w:divsChild>
        <w:div w:id="1739670618">
          <w:marLeft w:val="0"/>
          <w:marRight w:val="0"/>
          <w:marTop w:val="75"/>
          <w:marBottom w:val="0"/>
          <w:divBdr>
            <w:top w:val="none" w:sz="0" w:space="0" w:color="auto"/>
            <w:left w:val="none" w:sz="0" w:space="0" w:color="auto"/>
            <w:bottom w:val="none" w:sz="0" w:space="0" w:color="auto"/>
            <w:right w:val="none" w:sz="0" w:space="0" w:color="auto"/>
          </w:divBdr>
        </w:div>
        <w:div w:id="1189951181">
          <w:marLeft w:val="0"/>
          <w:marRight w:val="0"/>
          <w:marTop w:val="75"/>
          <w:marBottom w:val="300"/>
          <w:divBdr>
            <w:top w:val="none" w:sz="0" w:space="0" w:color="auto"/>
            <w:left w:val="none" w:sz="0" w:space="0" w:color="auto"/>
            <w:bottom w:val="none" w:sz="0" w:space="0" w:color="auto"/>
            <w:right w:val="none" w:sz="0" w:space="0" w:color="auto"/>
          </w:divBdr>
        </w:div>
      </w:divsChild>
    </w:div>
    <w:div w:id="1840651450">
      <w:bodyDiv w:val="1"/>
      <w:marLeft w:val="0"/>
      <w:marRight w:val="0"/>
      <w:marTop w:val="0"/>
      <w:marBottom w:val="0"/>
      <w:divBdr>
        <w:top w:val="none" w:sz="0" w:space="0" w:color="auto"/>
        <w:left w:val="none" w:sz="0" w:space="0" w:color="auto"/>
        <w:bottom w:val="none" w:sz="0" w:space="0" w:color="auto"/>
        <w:right w:val="none" w:sz="0" w:space="0" w:color="auto"/>
      </w:divBdr>
    </w:div>
    <w:div w:id="1946382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2.xml"/><Relationship Id="rId18" Type="http://schemas.openxmlformats.org/officeDocument/2006/relationships/image" Target="media/image7.png"/><Relationship Id="rId26" Type="http://schemas.openxmlformats.org/officeDocument/2006/relationships/hyperlink" Target="https://www.cssf.lu/wp-content/uploads/DLT_WP.pdf" TargetMode="External"/><Relationship Id="rId39" Type="http://schemas.openxmlformats.org/officeDocument/2006/relationships/hyperlink" Target="https://www.romagnatech.eu/wp-content/uploads/2019/03/20190416_Blockchain_Avv_EmanueleMansuelli.pdf"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chart" Target="charts/chart5.xml"/><Relationship Id="rId42" Type="http://schemas.openxmlformats.org/officeDocument/2006/relationships/hyperlink" Target="https://www.agendadigitale.eu/documenti/al-via-la-blockchain-revolution-ecco-tutte-le-novita-e-cosa-si-potra-fare/" TargetMode="External"/><Relationship Id="rId47" Type="http://schemas.openxmlformats.org/officeDocument/2006/relationships/hyperlink" Target="https://assets.kpmg/content/dam/kpmg/cn/pdf/en/2020/04/real-estate-tokenization.pdf" TargetMode="External"/><Relationship Id="rId50" Type="http://schemas.openxmlformats.org/officeDocument/2006/relationships/hyperlink" Target="https://www.sifma.org/wp-content/uploads/2020/11/Securitytokens-Paper.pdf"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hyperlink" Target="https://amslaurea.unibo.it/19133/1/Minello_TesiSTO.pdf" TargetMode="External"/><Relationship Id="rId33" Type="http://schemas.openxmlformats.org/officeDocument/2006/relationships/image" Target="media/image10.png"/><Relationship Id="rId38" Type="http://schemas.openxmlformats.org/officeDocument/2006/relationships/hyperlink" Target="https://www.romagnatech.eu/wp-content/uploads/2019/03/20190416_Blockchain_Avv_EmanueleMansuelli.pdf" TargetMode="External"/><Relationship Id="rId46" Type="http://schemas.openxmlformats.org/officeDocument/2006/relationships/hyperlink" Target="https://assets.kpmg/content/dam/kpmg/cn/pdf/en/2020/04/real-estate-tokenization.pdf"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www.aptech.com/blog/permutation-entropy/" TargetMode="External"/><Relationship Id="rId29" Type="http://schemas.openxmlformats.org/officeDocument/2006/relationships/hyperlink" Target="https://0-www-emerald-com.opac.unicatt.it/insight/content/doi/10.1108/JPIF-10-2021-0087/full/pdf" TargetMode="External"/><Relationship Id="rId41" Type="http://schemas.openxmlformats.org/officeDocument/2006/relationships/hyperlink" Target="https://poloarchivistico.regione.emilia-romagna.it/notizie/blockchain-e-smart-contract-entrano-nella-normativa-italian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hyperlink" Target="https://www.rivistaianus.it/numero_21_2020/03_Zambardino_81-99.pdf" TargetMode="External"/><Relationship Id="rId32" Type="http://schemas.openxmlformats.org/officeDocument/2006/relationships/hyperlink" Target="https://kth.diva-portal.org/smash/get/diva2:1576728/FULLTEXT01.pdf--%3evalutazione" TargetMode="External"/><Relationship Id="rId37" Type="http://schemas.openxmlformats.org/officeDocument/2006/relationships/hyperlink" Target="http://www.gaetanopetrelli.it/catalog/documenti/00000236/Petrelli%20-%20Documento%20informatico,%20contratto%20in%20forma%20elettronica%20e%20atto%20notarile%20-%201997.pdf" TargetMode="External"/><Relationship Id="rId40" Type="http://schemas.openxmlformats.org/officeDocument/2006/relationships/hyperlink" Target="https://www.agendadigitale.eu/documenti/blockchain-e-validazione-temporale-degli-smart-contract-quali-regole-in-italia/" TargetMode="External"/><Relationship Id="rId45" Type="http://schemas.openxmlformats.org/officeDocument/2006/relationships/hyperlink" Target="https://www.medialaws.eu/initial-coin-offering-natura-giuridica-e-prospettive-regolatorie/" TargetMode="External"/><Relationship Id="rId5" Type="http://schemas.openxmlformats.org/officeDocument/2006/relationships/webSettings" Target="webSettings.xml"/><Relationship Id="rId15" Type="http://schemas.openxmlformats.org/officeDocument/2006/relationships/chart" Target="charts/chart4.xml"/><Relationship Id="rId23" Type="http://schemas.openxmlformats.org/officeDocument/2006/relationships/hyperlink" Target="https://www.cftc.gov/media/5476/DigitalAssetsPrimer/download" TargetMode="External"/><Relationship Id="rId28" Type="http://schemas.openxmlformats.org/officeDocument/2006/relationships/hyperlink" Target="https://www.bankofengland.co.uk/-/media/boe/files/working-paper/2017/the-economics-of-distributed-ledger-technology-for-securities-settlement.pdf?la=en&amp;hash=17895E1C1FEC86D37E12E4BE63BA9D9741577FE5" TargetMode="External"/><Relationship Id="rId36" Type="http://schemas.openxmlformats.org/officeDocument/2006/relationships/hyperlink" Target="https://blog.crowdbase.it/security-token-cosa-sono-e-a-cosa-servono/" TargetMode="External"/><Relationship Id="rId49" Type="http://schemas.openxmlformats.org/officeDocument/2006/relationships/hyperlink" Target="https://mitcre.mit.edu/wp-content/uploads/2019/11/Tokenized-Security-Commercial-Real-Estate2.pdf" TargetMode="Externa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hyperlink" Target="https://www2.deloitte.com/content/dam/Deloitte/lu/Documents/technology/lu-token-assets-securities-tomorrow.pdf" TargetMode="External"/><Relationship Id="rId44" Type="http://schemas.openxmlformats.org/officeDocument/2006/relationships/hyperlink" Target="http://www.rivistaodc.eu/disciplina-initial-token-offerings-itos-token-crowdfunding"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3.xml"/><Relationship Id="rId22" Type="http://schemas.openxmlformats.org/officeDocument/2006/relationships/hyperlink" Target="https://www.jbs.cam.ac.uk/wp-content/uploads/2020/08/2018-10-26-conceptualising-dlt-systems.pdf" TargetMode="External"/><Relationship Id="rId27" Type="http://schemas.openxmlformats.org/officeDocument/2006/relationships/hyperlink" Target="https://0-link-springer-com.opac.unicatt.it/content/pdf/10.1007/s10272-017-0706-3.pdf" TargetMode="External"/><Relationship Id="rId30" Type="http://schemas.openxmlformats.org/officeDocument/2006/relationships/hyperlink" Target="https://kth.diva-portal.org/smash/get/diva2:1576728/FULLTEXT01.pdf" TargetMode="External"/><Relationship Id="rId35" Type="http://schemas.openxmlformats.org/officeDocument/2006/relationships/hyperlink" Target="https://www.consob.it/documents/46180/46181/doc_disc_20190319.pdf/12117302-78b0-4e6e-80c4-d3af7db0fdae" TargetMode="External"/><Relationship Id="rId43" Type="http://schemas.openxmlformats.org/officeDocument/2006/relationships/hyperlink" Target="https://www.agendadigitale.eu/documenti/documento-informatico-che-cose-e-quale-validita-ha-con-la-firma-digitale/" TargetMode="External"/><Relationship Id="rId48" Type="http://schemas.openxmlformats.org/officeDocument/2006/relationships/hyperlink" Target="https://0-www-emerald-com.opac.unicatt.it/insight/content/doi/10.1108/JPIF-10-2021-0087/full/pdf" TargetMode="External"/><Relationship Id="rId8" Type="http://schemas.openxmlformats.org/officeDocument/2006/relationships/image" Target="media/image1.png"/><Relationship Id="rId51"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https://bnpparibas-my.sharepoint.com/personal/ettore_minelli_realestate_bnpparibas/Documents/Documents/f/link%20utili.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e67495\OneDrive%20-%20BNP%20Paribas\Documents\f\link%20utili.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Ettore\Desktop\Tesi%20magistrale\Return%20vs%20risk\SBBI\ff.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Ettore\Desktop\Tesi%20magistrale\Real%20estate%20efficiency\Illiquidty\Median%20Days%20on%20Market%20in%20the%20United%20States.xls"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Ettore\Desktop\Tesi%20magistrale\STOs\weekly-market-cap-of-all-cryptocurrencies-combined-up-until-march-2022.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Sheet2!$F$2</c:f>
              <c:strCache>
                <c:ptCount val="1"/>
                <c:pt idx="0">
                  <c:v>Total GDP</c:v>
                </c:pt>
              </c:strCache>
            </c:strRef>
          </c:tx>
          <c:spPr>
            <a:solidFill>
              <a:schemeClr val="accent1"/>
            </a:solidFill>
            <a:ln>
              <a:noFill/>
            </a:ln>
            <a:effectLst/>
          </c:spPr>
          <c:invertIfNegative val="0"/>
          <c:dLbls>
            <c:dLbl>
              <c:idx val="0"/>
              <c:tx>
                <c:rich>
                  <a:bodyPr/>
                  <a:lstStyle/>
                  <a:p>
                    <a:r>
                      <a:rPr lang="en-US"/>
                      <a:t>1.22</a:t>
                    </a:r>
                  </a:p>
                </c:rich>
              </c:tx>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BDF4-4088-BB1D-05ABEA71580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Sheet2!$G$2</c:f>
              <c:numCache>
                <c:formatCode>General</c:formatCode>
                <c:ptCount val="1"/>
                <c:pt idx="0">
                  <c:v>1215532000000</c:v>
                </c:pt>
              </c:numCache>
            </c:numRef>
          </c:val>
          <c:extLst>
            <c:ext xmlns:c16="http://schemas.microsoft.com/office/drawing/2014/chart" uri="{C3380CC4-5D6E-409C-BE32-E72D297353CC}">
              <c16:uniqueId val="{00000000-BDF4-4088-BB1D-05ABEA715808}"/>
            </c:ext>
          </c:extLst>
        </c:ser>
        <c:ser>
          <c:idx val="1"/>
          <c:order val="1"/>
          <c:tx>
            <c:strRef>
              <c:f>Sheet2!$F$3</c:f>
              <c:strCache>
                <c:ptCount val="1"/>
                <c:pt idx="0">
                  <c:v>Construction</c:v>
                </c:pt>
              </c:strCache>
            </c:strRef>
          </c:tx>
          <c:spPr>
            <a:solidFill>
              <a:schemeClr val="accent2"/>
            </a:solidFill>
            <a:ln>
              <a:noFill/>
            </a:ln>
            <a:effectLst/>
          </c:spPr>
          <c:invertIfNegative val="0"/>
          <c:dLbls>
            <c:dLbl>
              <c:idx val="0"/>
              <c:tx>
                <c:rich>
                  <a:bodyPr/>
                  <a:lstStyle/>
                  <a:p>
                    <a:r>
                      <a:rPr lang="en-US"/>
                      <a:t>0.07</a:t>
                    </a:r>
                  </a:p>
                </c:rich>
              </c:tx>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BDF4-4088-BB1D-05ABEA71580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Sheet2!$G$3</c:f>
              <c:numCache>
                <c:formatCode>General</c:formatCode>
                <c:ptCount val="1"/>
                <c:pt idx="0">
                  <c:v>66114000000</c:v>
                </c:pt>
              </c:numCache>
            </c:numRef>
          </c:val>
          <c:extLst>
            <c:ext xmlns:c16="http://schemas.microsoft.com/office/drawing/2014/chart" uri="{C3380CC4-5D6E-409C-BE32-E72D297353CC}">
              <c16:uniqueId val="{00000001-BDF4-4088-BB1D-05ABEA715808}"/>
            </c:ext>
          </c:extLst>
        </c:ser>
        <c:ser>
          <c:idx val="2"/>
          <c:order val="2"/>
          <c:tx>
            <c:strRef>
              <c:f>Sheet2!$F$4</c:f>
              <c:strCache>
                <c:ptCount val="1"/>
                <c:pt idx="0">
                  <c:v>Real Estate Activities</c:v>
                </c:pt>
              </c:strCache>
            </c:strRef>
          </c:tx>
          <c:spPr>
            <a:solidFill>
              <a:schemeClr val="accent3"/>
            </a:solidFill>
            <a:ln>
              <a:noFill/>
            </a:ln>
            <a:effectLst/>
          </c:spPr>
          <c:invertIfNegative val="0"/>
          <c:dLbls>
            <c:dLbl>
              <c:idx val="0"/>
              <c:tx>
                <c:rich>
                  <a:bodyPr/>
                  <a:lstStyle/>
                  <a:p>
                    <a:r>
                      <a:rPr lang="en-US"/>
                      <a:t>0.21</a:t>
                    </a:r>
                  </a:p>
                </c:rich>
              </c:tx>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BDF4-4088-BB1D-05ABEA71580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Sheet2!$G$4</c:f>
              <c:numCache>
                <c:formatCode>General</c:formatCode>
                <c:ptCount val="1"/>
                <c:pt idx="0">
                  <c:v>211471000000</c:v>
                </c:pt>
              </c:numCache>
            </c:numRef>
          </c:val>
          <c:extLst>
            <c:ext xmlns:c16="http://schemas.microsoft.com/office/drawing/2014/chart" uri="{C3380CC4-5D6E-409C-BE32-E72D297353CC}">
              <c16:uniqueId val="{00000002-BDF4-4088-BB1D-05ABEA715808}"/>
            </c:ext>
          </c:extLst>
        </c:ser>
        <c:dLbls>
          <c:dLblPos val="ctr"/>
          <c:showLegendKey val="0"/>
          <c:showVal val="1"/>
          <c:showCatName val="0"/>
          <c:showSerName val="0"/>
          <c:showPercent val="0"/>
          <c:showBubbleSize val="0"/>
        </c:dLbls>
        <c:gapWidth val="150"/>
        <c:overlap val="100"/>
        <c:axId val="706408280"/>
        <c:axId val="706410248"/>
      </c:barChart>
      <c:catAx>
        <c:axId val="706408280"/>
        <c:scaling>
          <c:orientation val="minMax"/>
        </c:scaling>
        <c:delete val="1"/>
        <c:axPos val="b"/>
        <c:numFmt formatCode="General" sourceLinked="1"/>
        <c:majorTickMark val="none"/>
        <c:minorTickMark val="none"/>
        <c:tickLblPos val="nextTo"/>
        <c:crossAx val="706410248"/>
        <c:crosses val="autoZero"/>
        <c:auto val="1"/>
        <c:lblAlgn val="ctr"/>
        <c:lblOffset val="100"/>
        <c:noMultiLvlLbl val="0"/>
      </c:catAx>
      <c:valAx>
        <c:axId val="7064102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6408280"/>
        <c:crosses val="autoZero"/>
        <c:crossBetween val="between"/>
        <c:dispUnits>
          <c:builtInUnit val="trillions"/>
          <c:dispUnitsLbl>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Trillion Euros</a:t>
                  </a:r>
                </a:p>
              </c:rich>
            </c:tx>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dispUnitsLbl>
        </c:dispUnits>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1" i="0" u="none" strike="noStrike" baseline="0">
                <a:effectLst/>
              </a:rPr>
              <a:t>Households and Nonprofit Organizations; Total Assets - 2021</a:t>
            </a:r>
            <a:endParaRPr lang="en-US"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C3E7-41D5-BA29-3B9F635F10B9}"/>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C3E7-41D5-BA29-3B9F635F10B9}"/>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C3E7-41D5-BA29-3B9F635F10B9}"/>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'Assets between households'!$A$5:$A$7</c:f>
              <c:strCache>
                <c:ptCount val="3"/>
                <c:pt idx="0">
                  <c:v>Real Estate at Market Value</c:v>
                </c:pt>
                <c:pt idx="1">
                  <c:v>Directly Held Corporate Equities</c:v>
                </c:pt>
                <c:pt idx="2">
                  <c:v>Other assets</c:v>
                </c:pt>
              </c:strCache>
            </c:strRef>
          </c:cat>
          <c:val>
            <c:numRef>
              <c:f>'Assets between households'!$B$5:$B$7</c:f>
              <c:numCache>
                <c:formatCode>0%</c:formatCode>
                <c:ptCount val="3"/>
                <c:pt idx="0">
                  <c:v>0.25141673364873729</c:v>
                </c:pt>
                <c:pt idx="1">
                  <c:v>0.19273135545525322</c:v>
                </c:pt>
                <c:pt idx="2">
                  <c:v>0.55585191089600949</c:v>
                </c:pt>
              </c:numCache>
            </c:numRef>
          </c:val>
          <c:extLst>
            <c:ext xmlns:c16="http://schemas.microsoft.com/office/drawing/2014/chart" uri="{C3380CC4-5D6E-409C-BE32-E72D297353CC}">
              <c16:uniqueId val="{00000006-C3E7-41D5-BA29-3B9F635F10B9}"/>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GOTH!$B$1</c:f>
              <c:strCache>
                <c:ptCount val="1"/>
                <c:pt idx="0">
                  <c:v>S&amp;P 500</c:v>
                </c:pt>
              </c:strCache>
            </c:strRef>
          </c:tx>
          <c:spPr>
            <a:ln w="28575" cap="rnd">
              <a:solidFill>
                <a:schemeClr val="accent1"/>
              </a:solidFill>
              <a:round/>
            </a:ln>
            <a:effectLst/>
          </c:spPr>
          <c:marker>
            <c:symbol val="none"/>
          </c:marker>
          <c:cat>
            <c:numRef>
              <c:f>GOTH!$A$2:$A$604</c:f>
              <c:numCache>
                <c:formatCode>m/d/yyyy</c:formatCode>
                <c:ptCount val="603"/>
                <c:pt idx="0">
                  <c:v>44593</c:v>
                </c:pt>
                <c:pt idx="1">
                  <c:v>44562</c:v>
                </c:pt>
                <c:pt idx="2">
                  <c:v>44531</c:v>
                </c:pt>
                <c:pt idx="3">
                  <c:v>44501</c:v>
                </c:pt>
                <c:pt idx="4">
                  <c:v>44470</c:v>
                </c:pt>
                <c:pt idx="5">
                  <c:v>44440</c:v>
                </c:pt>
                <c:pt idx="6">
                  <c:v>44409</c:v>
                </c:pt>
                <c:pt idx="7">
                  <c:v>44378</c:v>
                </c:pt>
                <c:pt idx="8">
                  <c:v>44348</c:v>
                </c:pt>
                <c:pt idx="9">
                  <c:v>44317</c:v>
                </c:pt>
                <c:pt idx="10">
                  <c:v>44287</c:v>
                </c:pt>
                <c:pt idx="11">
                  <c:v>44256</c:v>
                </c:pt>
                <c:pt idx="12">
                  <c:v>44228</c:v>
                </c:pt>
                <c:pt idx="13">
                  <c:v>44197</c:v>
                </c:pt>
                <c:pt idx="14">
                  <c:v>44166</c:v>
                </c:pt>
                <c:pt idx="15">
                  <c:v>44136</c:v>
                </c:pt>
                <c:pt idx="16">
                  <c:v>44105</c:v>
                </c:pt>
                <c:pt idx="17">
                  <c:v>44075</c:v>
                </c:pt>
                <c:pt idx="18">
                  <c:v>44044</c:v>
                </c:pt>
                <c:pt idx="19">
                  <c:v>44013</c:v>
                </c:pt>
                <c:pt idx="20">
                  <c:v>43983</c:v>
                </c:pt>
                <c:pt idx="21">
                  <c:v>43952</c:v>
                </c:pt>
                <c:pt idx="22">
                  <c:v>43922</c:v>
                </c:pt>
                <c:pt idx="23">
                  <c:v>43891</c:v>
                </c:pt>
                <c:pt idx="24">
                  <c:v>43862</c:v>
                </c:pt>
                <c:pt idx="25">
                  <c:v>43831</c:v>
                </c:pt>
                <c:pt idx="26">
                  <c:v>43800</c:v>
                </c:pt>
                <c:pt idx="27">
                  <c:v>43770</c:v>
                </c:pt>
                <c:pt idx="28">
                  <c:v>43739</c:v>
                </c:pt>
                <c:pt idx="29">
                  <c:v>43709</c:v>
                </c:pt>
                <c:pt idx="30">
                  <c:v>43678</c:v>
                </c:pt>
                <c:pt idx="31">
                  <c:v>43647</c:v>
                </c:pt>
                <c:pt idx="32">
                  <c:v>43617</c:v>
                </c:pt>
                <c:pt idx="33">
                  <c:v>43586</c:v>
                </c:pt>
                <c:pt idx="34">
                  <c:v>43556</c:v>
                </c:pt>
                <c:pt idx="35">
                  <c:v>43525</c:v>
                </c:pt>
                <c:pt idx="36">
                  <c:v>43497</c:v>
                </c:pt>
                <c:pt idx="37">
                  <c:v>43466</c:v>
                </c:pt>
                <c:pt idx="38">
                  <c:v>43435</c:v>
                </c:pt>
                <c:pt idx="39">
                  <c:v>43405</c:v>
                </c:pt>
                <c:pt idx="40">
                  <c:v>43374</c:v>
                </c:pt>
                <c:pt idx="41">
                  <c:v>43344</c:v>
                </c:pt>
                <c:pt idx="42">
                  <c:v>43313</c:v>
                </c:pt>
                <c:pt idx="43">
                  <c:v>43282</c:v>
                </c:pt>
                <c:pt idx="44">
                  <c:v>43252</c:v>
                </c:pt>
                <c:pt idx="45">
                  <c:v>43221</c:v>
                </c:pt>
                <c:pt idx="46">
                  <c:v>43191</c:v>
                </c:pt>
                <c:pt idx="47">
                  <c:v>43160</c:v>
                </c:pt>
                <c:pt idx="48">
                  <c:v>43132</c:v>
                </c:pt>
                <c:pt idx="49">
                  <c:v>43101</c:v>
                </c:pt>
                <c:pt idx="50">
                  <c:v>43070</c:v>
                </c:pt>
                <c:pt idx="51">
                  <c:v>43040</c:v>
                </c:pt>
                <c:pt idx="52">
                  <c:v>43009</c:v>
                </c:pt>
                <c:pt idx="53">
                  <c:v>42979</c:v>
                </c:pt>
                <c:pt idx="54">
                  <c:v>42948</c:v>
                </c:pt>
                <c:pt idx="55">
                  <c:v>42917</c:v>
                </c:pt>
                <c:pt idx="56">
                  <c:v>42887</c:v>
                </c:pt>
                <c:pt idx="57">
                  <c:v>42856</c:v>
                </c:pt>
                <c:pt idx="58">
                  <c:v>42826</c:v>
                </c:pt>
                <c:pt idx="59">
                  <c:v>42795</c:v>
                </c:pt>
                <c:pt idx="60">
                  <c:v>42767</c:v>
                </c:pt>
                <c:pt idx="61">
                  <c:v>42736</c:v>
                </c:pt>
                <c:pt idx="62">
                  <c:v>42705</c:v>
                </c:pt>
                <c:pt idx="63">
                  <c:v>42675</c:v>
                </c:pt>
                <c:pt idx="64">
                  <c:v>42644</c:v>
                </c:pt>
                <c:pt idx="65">
                  <c:v>42614</c:v>
                </c:pt>
                <c:pt idx="66">
                  <c:v>42583</c:v>
                </c:pt>
                <c:pt idx="67">
                  <c:v>42552</c:v>
                </c:pt>
                <c:pt idx="68">
                  <c:v>42522</c:v>
                </c:pt>
                <c:pt idx="69">
                  <c:v>42491</c:v>
                </c:pt>
                <c:pt idx="70">
                  <c:v>42461</c:v>
                </c:pt>
                <c:pt idx="71">
                  <c:v>42430</c:v>
                </c:pt>
                <c:pt idx="72">
                  <c:v>42401</c:v>
                </c:pt>
                <c:pt idx="73">
                  <c:v>42370</c:v>
                </c:pt>
                <c:pt idx="74">
                  <c:v>42339</c:v>
                </c:pt>
                <c:pt idx="75">
                  <c:v>42309</c:v>
                </c:pt>
                <c:pt idx="76">
                  <c:v>42278</c:v>
                </c:pt>
                <c:pt idx="77">
                  <c:v>42248</c:v>
                </c:pt>
                <c:pt idx="78">
                  <c:v>42217</c:v>
                </c:pt>
                <c:pt idx="79">
                  <c:v>42186</c:v>
                </c:pt>
                <c:pt idx="80">
                  <c:v>42156</c:v>
                </c:pt>
                <c:pt idx="81">
                  <c:v>42125</c:v>
                </c:pt>
                <c:pt idx="82">
                  <c:v>42095</c:v>
                </c:pt>
                <c:pt idx="83">
                  <c:v>42064</c:v>
                </c:pt>
                <c:pt idx="84">
                  <c:v>42036</c:v>
                </c:pt>
                <c:pt idx="85">
                  <c:v>42005</c:v>
                </c:pt>
                <c:pt idx="86">
                  <c:v>41974</c:v>
                </c:pt>
                <c:pt idx="87">
                  <c:v>41944</c:v>
                </c:pt>
                <c:pt idx="88">
                  <c:v>41913</c:v>
                </c:pt>
                <c:pt idx="89">
                  <c:v>41883</c:v>
                </c:pt>
                <c:pt idx="90">
                  <c:v>41852</c:v>
                </c:pt>
                <c:pt idx="91">
                  <c:v>41821</c:v>
                </c:pt>
                <c:pt idx="92">
                  <c:v>41791</c:v>
                </c:pt>
                <c:pt idx="93">
                  <c:v>41760</c:v>
                </c:pt>
                <c:pt idx="94">
                  <c:v>41730</c:v>
                </c:pt>
                <c:pt idx="95">
                  <c:v>41699</c:v>
                </c:pt>
                <c:pt idx="96">
                  <c:v>41671</c:v>
                </c:pt>
                <c:pt idx="97">
                  <c:v>41640</c:v>
                </c:pt>
                <c:pt idx="98">
                  <c:v>41609</c:v>
                </c:pt>
                <c:pt idx="99">
                  <c:v>41579</c:v>
                </c:pt>
                <c:pt idx="100">
                  <c:v>41548</c:v>
                </c:pt>
                <c:pt idx="101">
                  <c:v>41518</c:v>
                </c:pt>
                <c:pt idx="102">
                  <c:v>41487</c:v>
                </c:pt>
                <c:pt idx="103">
                  <c:v>41456</c:v>
                </c:pt>
                <c:pt idx="104">
                  <c:v>41426</c:v>
                </c:pt>
                <c:pt idx="105">
                  <c:v>41395</c:v>
                </c:pt>
                <c:pt idx="106">
                  <c:v>41365</c:v>
                </c:pt>
                <c:pt idx="107">
                  <c:v>41334</c:v>
                </c:pt>
                <c:pt idx="108">
                  <c:v>41306</c:v>
                </c:pt>
                <c:pt idx="109">
                  <c:v>41275</c:v>
                </c:pt>
                <c:pt idx="110">
                  <c:v>41244</c:v>
                </c:pt>
                <c:pt idx="111">
                  <c:v>41214</c:v>
                </c:pt>
                <c:pt idx="112">
                  <c:v>41183</c:v>
                </c:pt>
                <c:pt idx="113">
                  <c:v>41153</c:v>
                </c:pt>
                <c:pt idx="114">
                  <c:v>41122</c:v>
                </c:pt>
                <c:pt idx="115">
                  <c:v>41091</c:v>
                </c:pt>
                <c:pt idx="116">
                  <c:v>41061</c:v>
                </c:pt>
                <c:pt idx="117">
                  <c:v>41030</c:v>
                </c:pt>
                <c:pt idx="118">
                  <c:v>41000</c:v>
                </c:pt>
                <c:pt idx="119">
                  <c:v>40969</c:v>
                </c:pt>
                <c:pt idx="120">
                  <c:v>40940</c:v>
                </c:pt>
                <c:pt idx="121">
                  <c:v>40909</c:v>
                </c:pt>
                <c:pt idx="122">
                  <c:v>40878</c:v>
                </c:pt>
                <c:pt idx="123">
                  <c:v>40848</c:v>
                </c:pt>
                <c:pt idx="124">
                  <c:v>40817</c:v>
                </c:pt>
                <c:pt idx="125">
                  <c:v>40787</c:v>
                </c:pt>
                <c:pt idx="126">
                  <c:v>40756</c:v>
                </c:pt>
                <c:pt idx="127">
                  <c:v>40725</c:v>
                </c:pt>
                <c:pt idx="128">
                  <c:v>40695</c:v>
                </c:pt>
                <c:pt idx="129">
                  <c:v>40664</c:v>
                </c:pt>
                <c:pt idx="130">
                  <c:v>40634</c:v>
                </c:pt>
                <c:pt idx="131">
                  <c:v>40603</c:v>
                </c:pt>
                <c:pt idx="132">
                  <c:v>40575</c:v>
                </c:pt>
                <c:pt idx="133">
                  <c:v>40544</c:v>
                </c:pt>
                <c:pt idx="134">
                  <c:v>40513</c:v>
                </c:pt>
                <c:pt idx="135">
                  <c:v>40483</c:v>
                </c:pt>
                <c:pt idx="136">
                  <c:v>40452</c:v>
                </c:pt>
                <c:pt idx="137">
                  <c:v>40422</c:v>
                </c:pt>
                <c:pt idx="138">
                  <c:v>40391</c:v>
                </c:pt>
                <c:pt idx="139">
                  <c:v>40360</c:v>
                </c:pt>
                <c:pt idx="140">
                  <c:v>40330</c:v>
                </c:pt>
                <c:pt idx="141">
                  <c:v>40299</c:v>
                </c:pt>
                <c:pt idx="142">
                  <c:v>40269</c:v>
                </c:pt>
                <c:pt idx="143">
                  <c:v>40238</c:v>
                </c:pt>
                <c:pt idx="144">
                  <c:v>40210</c:v>
                </c:pt>
                <c:pt idx="145">
                  <c:v>40179</c:v>
                </c:pt>
                <c:pt idx="146">
                  <c:v>40148</c:v>
                </c:pt>
                <c:pt idx="147">
                  <c:v>40118</c:v>
                </c:pt>
                <c:pt idx="148">
                  <c:v>40087</c:v>
                </c:pt>
                <c:pt idx="149">
                  <c:v>40057</c:v>
                </c:pt>
                <c:pt idx="150">
                  <c:v>40026</c:v>
                </c:pt>
                <c:pt idx="151">
                  <c:v>39995</c:v>
                </c:pt>
                <c:pt idx="152">
                  <c:v>39965</c:v>
                </c:pt>
                <c:pt idx="153">
                  <c:v>39934</c:v>
                </c:pt>
                <c:pt idx="154">
                  <c:v>39904</c:v>
                </c:pt>
                <c:pt idx="155">
                  <c:v>39873</c:v>
                </c:pt>
                <c:pt idx="156">
                  <c:v>39845</c:v>
                </c:pt>
                <c:pt idx="157">
                  <c:v>39814</c:v>
                </c:pt>
                <c:pt idx="158">
                  <c:v>39783</c:v>
                </c:pt>
                <c:pt idx="159">
                  <c:v>39753</c:v>
                </c:pt>
                <c:pt idx="160">
                  <c:v>39722</c:v>
                </c:pt>
                <c:pt idx="161">
                  <c:v>39692</c:v>
                </c:pt>
                <c:pt idx="162">
                  <c:v>39661</c:v>
                </c:pt>
                <c:pt idx="163">
                  <c:v>39630</c:v>
                </c:pt>
                <c:pt idx="164">
                  <c:v>39600</c:v>
                </c:pt>
                <c:pt idx="165">
                  <c:v>39569</c:v>
                </c:pt>
                <c:pt idx="166">
                  <c:v>39539</c:v>
                </c:pt>
                <c:pt idx="167">
                  <c:v>39508</c:v>
                </c:pt>
                <c:pt idx="168">
                  <c:v>39479</c:v>
                </c:pt>
                <c:pt idx="169">
                  <c:v>39448</c:v>
                </c:pt>
                <c:pt idx="170">
                  <c:v>39417</c:v>
                </c:pt>
                <c:pt idx="171">
                  <c:v>39387</c:v>
                </c:pt>
                <c:pt idx="172">
                  <c:v>39356</c:v>
                </c:pt>
                <c:pt idx="173">
                  <c:v>39326</c:v>
                </c:pt>
                <c:pt idx="174">
                  <c:v>39295</c:v>
                </c:pt>
                <c:pt idx="175">
                  <c:v>39264</c:v>
                </c:pt>
                <c:pt idx="176">
                  <c:v>39234</c:v>
                </c:pt>
                <c:pt idx="177">
                  <c:v>39203</c:v>
                </c:pt>
                <c:pt idx="178">
                  <c:v>39173</c:v>
                </c:pt>
                <c:pt idx="179">
                  <c:v>39142</c:v>
                </c:pt>
                <c:pt idx="180">
                  <c:v>39114</c:v>
                </c:pt>
                <c:pt idx="181">
                  <c:v>39083</c:v>
                </c:pt>
                <c:pt idx="182">
                  <c:v>39052</c:v>
                </c:pt>
                <c:pt idx="183">
                  <c:v>39022</c:v>
                </c:pt>
                <c:pt idx="184">
                  <c:v>38991</c:v>
                </c:pt>
                <c:pt idx="185">
                  <c:v>38961</c:v>
                </c:pt>
                <c:pt idx="186">
                  <c:v>38930</c:v>
                </c:pt>
                <c:pt idx="187">
                  <c:v>38899</c:v>
                </c:pt>
                <c:pt idx="188">
                  <c:v>38869</c:v>
                </c:pt>
                <c:pt idx="189">
                  <c:v>38838</c:v>
                </c:pt>
                <c:pt idx="190">
                  <c:v>38808</c:v>
                </c:pt>
                <c:pt idx="191">
                  <c:v>38777</c:v>
                </c:pt>
                <c:pt idx="192">
                  <c:v>38749</c:v>
                </c:pt>
                <c:pt idx="193">
                  <c:v>38718</c:v>
                </c:pt>
                <c:pt idx="194">
                  <c:v>38687</c:v>
                </c:pt>
                <c:pt idx="195">
                  <c:v>38657</c:v>
                </c:pt>
                <c:pt idx="196">
                  <c:v>38626</c:v>
                </c:pt>
                <c:pt idx="197">
                  <c:v>38596</c:v>
                </c:pt>
                <c:pt idx="198">
                  <c:v>38565</c:v>
                </c:pt>
                <c:pt idx="199">
                  <c:v>38534</c:v>
                </c:pt>
                <c:pt idx="200">
                  <c:v>38504</c:v>
                </c:pt>
                <c:pt idx="201">
                  <c:v>38473</c:v>
                </c:pt>
                <c:pt idx="202">
                  <c:v>38443</c:v>
                </c:pt>
                <c:pt idx="203">
                  <c:v>38412</c:v>
                </c:pt>
                <c:pt idx="204">
                  <c:v>38384</c:v>
                </c:pt>
                <c:pt idx="205">
                  <c:v>38353</c:v>
                </c:pt>
                <c:pt idx="206">
                  <c:v>38322</c:v>
                </c:pt>
                <c:pt idx="207">
                  <c:v>38292</c:v>
                </c:pt>
                <c:pt idx="208">
                  <c:v>38261</c:v>
                </c:pt>
                <c:pt idx="209">
                  <c:v>38231</c:v>
                </c:pt>
                <c:pt idx="210">
                  <c:v>38200</c:v>
                </c:pt>
                <c:pt idx="211">
                  <c:v>38169</c:v>
                </c:pt>
                <c:pt idx="212">
                  <c:v>38139</c:v>
                </c:pt>
                <c:pt idx="213">
                  <c:v>38108</c:v>
                </c:pt>
                <c:pt idx="214">
                  <c:v>38078</c:v>
                </c:pt>
                <c:pt idx="215">
                  <c:v>38047</c:v>
                </c:pt>
                <c:pt idx="216">
                  <c:v>38018</c:v>
                </c:pt>
                <c:pt idx="217">
                  <c:v>37987</c:v>
                </c:pt>
                <c:pt idx="218">
                  <c:v>37956</c:v>
                </c:pt>
                <c:pt idx="219">
                  <c:v>37926</c:v>
                </c:pt>
                <c:pt idx="220">
                  <c:v>37895</c:v>
                </c:pt>
                <c:pt idx="221">
                  <c:v>37865</c:v>
                </c:pt>
                <c:pt idx="222">
                  <c:v>37834</c:v>
                </c:pt>
                <c:pt idx="223">
                  <c:v>37803</c:v>
                </c:pt>
                <c:pt idx="224">
                  <c:v>37773</c:v>
                </c:pt>
                <c:pt idx="225">
                  <c:v>37742</c:v>
                </c:pt>
                <c:pt idx="226">
                  <c:v>37712</c:v>
                </c:pt>
                <c:pt idx="227">
                  <c:v>37681</c:v>
                </c:pt>
                <c:pt idx="228">
                  <c:v>37653</c:v>
                </c:pt>
                <c:pt idx="229">
                  <c:v>37622</c:v>
                </c:pt>
                <c:pt idx="230">
                  <c:v>37591</c:v>
                </c:pt>
                <c:pt idx="231">
                  <c:v>37561</c:v>
                </c:pt>
                <c:pt idx="232">
                  <c:v>37530</c:v>
                </c:pt>
                <c:pt idx="233">
                  <c:v>37500</c:v>
                </c:pt>
                <c:pt idx="234">
                  <c:v>37469</c:v>
                </c:pt>
                <c:pt idx="235">
                  <c:v>37438</c:v>
                </c:pt>
                <c:pt idx="236">
                  <c:v>37408</c:v>
                </c:pt>
                <c:pt idx="237">
                  <c:v>37377</c:v>
                </c:pt>
                <c:pt idx="238">
                  <c:v>37347</c:v>
                </c:pt>
                <c:pt idx="239">
                  <c:v>37316</c:v>
                </c:pt>
                <c:pt idx="240">
                  <c:v>37288</c:v>
                </c:pt>
                <c:pt idx="241">
                  <c:v>37257</c:v>
                </c:pt>
                <c:pt idx="242">
                  <c:v>37226</c:v>
                </c:pt>
                <c:pt idx="243">
                  <c:v>37196</c:v>
                </c:pt>
                <c:pt idx="244">
                  <c:v>37165</c:v>
                </c:pt>
                <c:pt idx="245">
                  <c:v>37135</c:v>
                </c:pt>
                <c:pt idx="246">
                  <c:v>37104</c:v>
                </c:pt>
                <c:pt idx="247">
                  <c:v>37073</c:v>
                </c:pt>
                <c:pt idx="248">
                  <c:v>37043</c:v>
                </c:pt>
                <c:pt idx="249">
                  <c:v>37012</c:v>
                </c:pt>
                <c:pt idx="250">
                  <c:v>36982</c:v>
                </c:pt>
                <c:pt idx="251">
                  <c:v>36951</c:v>
                </c:pt>
                <c:pt idx="252">
                  <c:v>36923</c:v>
                </c:pt>
                <c:pt idx="253">
                  <c:v>36892</c:v>
                </c:pt>
                <c:pt idx="254">
                  <c:v>36861</c:v>
                </c:pt>
                <c:pt idx="255">
                  <c:v>36831</c:v>
                </c:pt>
                <c:pt idx="256">
                  <c:v>36800</c:v>
                </c:pt>
                <c:pt idx="257">
                  <c:v>36770</c:v>
                </c:pt>
                <c:pt idx="258">
                  <c:v>36739</c:v>
                </c:pt>
                <c:pt idx="259">
                  <c:v>36708</c:v>
                </c:pt>
                <c:pt idx="260">
                  <c:v>36678</c:v>
                </c:pt>
                <c:pt idx="261">
                  <c:v>36647</c:v>
                </c:pt>
                <c:pt idx="262">
                  <c:v>36617</c:v>
                </c:pt>
                <c:pt idx="263">
                  <c:v>36586</c:v>
                </c:pt>
                <c:pt idx="264">
                  <c:v>36557</c:v>
                </c:pt>
                <c:pt idx="265">
                  <c:v>36526</c:v>
                </c:pt>
                <c:pt idx="266">
                  <c:v>36495</c:v>
                </c:pt>
                <c:pt idx="267">
                  <c:v>36465</c:v>
                </c:pt>
                <c:pt idx="268">
                  <c:v>36434</c:v>
                </c:pt>
                <c:pt idx="269">
                  <c:v>36404</c:v>
                </c:pt>
                <c:pt idx="270">
                  <c:v>36373</c:v>
                </c:pt>
                <c:pt idx="271">
                  <c:v>36342</c:v>
                </c:pt>
                <c:pt idx="272">
                  <c:v>36312</c:v>
                </c:pt>
                <c:pt idx="273">
                  <c:v>36281</c:v>
                </c:pt>
                <c:pt idx="274">
                  <c:v>36251</c:v>
                </c:pt>
                <c:pt idx="275">
                  <c:v>36220</c:v>
                </c:pt>
                <c:pt idx="276">
                  <c:v>36192</c:v>
                </c:pt>
                <c:pt idx="277">
                  <c:v>36161</c:v>
                </c:pt>
                <c:pt idx="278">
                  <c:v>36130</c:v>
                </c:pt>
                <c:pt idx="279">
                  <c:v>36100</c:v>
                </c:pt>
                <c:pt idx="280">
                  <c:v>36069</c:v>
                </c:pt>
                <c:pt idx="281">
                  <c:v>36039</c:v>
                </c:pt>
                <c:pt idx="282">
                  <c:v>36008</c:v>
                </c:pt>
                <c:pt idx="283">
                  <c:v>35977</c:v>
                </c:pt>
                <c:pt idx="284">
                  <c:v>35947</c:v>
                </c:pt>
                <c:pt idx="285">
                  <c:v>35916</c:v>
                </c:pt>
                <c:pt idx="286">
                  <c:v>35886</c:v>
                </c:pt>
                <c:pt idx="287">
                  <c:v>35855</c:v>
                </c:pt>
                <c:pt idx="288">
                  <c:v>35827</c:v>
                </c:pt>
                <c:pt idx="289">
                  <c:v>35796</c:v>
                </c:pt>
                <c:pt idx="290">
                  <c:v>35765</c:v>
                </c:pt>
                <c:pt idx="291">
                  <c:v>35735</c:v>
                </c:pt>
                <c:pt idx="292">
                  <c:v>35704</c:v>
                </c:pt>
                <c:pt idx="293">
                  <c:v>35674</c:v>
                </c:pt>
                <c:pt idx="294">
                  <c:v>35643</c:v>
                </c:pt>
                <c:pt idx="295">
                  <c:v>35612</c:v>
                </c:pt>
                <c:pt idx="296">
                  <c:v>35582</c:v>
                </c:pt>
                <c:pt idx="297">
                  <c:v>35551</c:v>
                </c:pt>
                <c:pt idx="298">
                  <c:v>35521</c:v>
                </c:pt>
                <c:pt idx="299">
                  <c:v>35490</c:v>
                </c:pt>
                <c:pt idx="300">
                  <c:v>35462</c:v>
                </c:pt>
                <c:pt idx="301">
                  <c:v>35431</c:v>
                </c:pt>
                <c:pt idx="302">
                  <c:v>35400</c:v>
                </c:pt>
                <c:pt idx="303">
                  <c:v>35370</c:v>
                </c:pt>
                <c:pt idx="304">
                  <c:v>35339</c:v>
                </c:pt>
                <c:pt idx="305">
                  <c:v>35309</c:v>
                </c:pt>
                <c:pt idx="306">
                  <c:v>35278</c:v>
                </c:pt>
                <c:pt idx="307">
                  <c:v>35247</c:v>
                </c:pt>
                <c:pt idx="308">
                  <c:v>35217</c:v>
                </c:pt>
                <c:pt idx="309">
                  <c:v>35186</c:v>
                </c:pt>
                <c:pt idx="310">
                  <c:v>35156</c:v>
                </c:pt>
                <c:pt idx="311">
                  <c:v>35125</c:v>
                </c:pt>
                <c:pt idx="312">
                  <c:v>35096</c:v>
                </c:pt>
                <c:pt idx="313">
                  <c:v>35065</c:v>
                </c:pt>
                <c:pt idx="314">
                  <c:v>35034</c:v>
                </c:pt>
                <c:pt idx="315">
                  <c:v>35004</c:v>
                </c:pt>
                <c:pt idx="316">
                  <c:v>34973</c:v>
                </c:pt>
                <c:pt idx="317">
                  <c:v>34943</c:v>
                </c:pt>
                <c:pt idx="318">
                  <c:v>34912</c:v>
                </c:pt>
                <c:pt idx="319">
                  <c:v>34881</c:v>
                </c:pt>
                <c:pt idx="320">
                  <c:v>34851</c:v>
                </c:pt>
                <c:pt idx="321">
                  <c:v>34820</c:v>
                </c:pt>
                <c:pt idx="322">
                  <c:v>34790</c:v>
                </c:pt>
                <c:pt idx="323">
                  <c:v>34759</c:v>
                </c:pt>
                <c:pt idx="324">
                  <c:v>34731</c:v>
                </c:pt>
                <c:pt idx="325">
                  <c:v>34700</c:v>
                </c:pt>
                <c:pt idx="326">
                  <c:v>34669</c:v>
                </c:pt>
                <c:pt idx="327">
                  <c:v>34639</c:v>
                </c:pt>
                <c:pt idx="328">
                  <c:v>34608</c:v>
                </c:pt>
                <c:pt idx="329">
                  <c:v>34578</c:v>
                </c:pt>
                <c:pt idx="330">
                  <c:v>34547</c:v>
                </c:pt>
                <c:pt idx="331">
                  <c:v>34516</c:v>
                </c:pt>
                <c:pt idx="332">
                  <c:v>34486</c:v>
                </c:pt>
                <c:pt idx="333">
                  <c:v>34455</c:v>
                </c:pt>
                <c:pt idx="334">
                  <c:v>34425</c:v>
                </c:pt>
                <c:pt idx="335">
                  <c:v>34394</c:v>
                </c:pt>
                <c:pt idx="336">
                  <c:v>34366</c:v>
                </c:pt>
                <c:pt idx="337">
                  <c:v>34335</c:v>
                </c:pt>
                <c:pt idx="338">
                  <c:v>34304</c:v>
                </c:pt>
                <c:pt idx="339">
                  <c:v>34274</c:v>
                </c:pt>
                <c:pt idx="340">
                  <c:v>34243</c:v>
                </c:pt>
                <c:pt idx="341">
                  <c:v>34213</c:v>
                </c:pt>
                <c:pt idx="342">
                  <c:v>34182</c:v>
                </c:pt>
                <c:pt idx="343">
                  <c:v>34151</c:v>
                </c:pt>
                <c:pt idx="344">
                  <c:v>34121</c:v>
                </c:pt>
                <c:pt idx="345">
                  <c:v>34090</c:v>
                </c:pt>
                <c:pt idx="346">
                  <c:v>34060</c:v>
                </c:pt>
                <c:pt idx="347">
                  <c:v>34029</c:v>
                </c:pt>
                <c:pt idx="348">
                  <c:v>34001</c:v>
                </c:pt>
                <c:pt idx="349">
                  <c:v>33970</c:v>
                </c:pt>
                <c:pt idx="350">
                  <c:v>33939</c:v>
                </c:pt>
                <c:pt idx="351">
                  <c:v>33909</c:v>
                </c:pt>
                <c:pt idx="352">
                  <c:v>33878</c:v>
                </c:pt>
                <c:pt idx="353">
                  <c:v>33848</c:v>
                </c:pt>
                <c:pt idx="354">
                  <c:v>33817</c:v>
                </c:pt>
                <c:pt idx="355">
                  <c:v>33786</c:v>
                </c:pt>
                <c:pt idx="356">
                  <c:v>33756</c:v>
                </c:pt>
                <c:pt idx="357">
                  <c:v>33725</c:v>
                </c:pt>
                <c:pt idx="358">
                  <c:v>33695</c:v>
                </c:pt>
                <c:pt idx="359">
                  <c:v>33664</c:v>
                </c:pt>
                <c:pt idx="360">
                  <c:v>33635</c:v>
                </c:pt>
                <c:pt idx="361">
                  <c:v>33604</c:v>
                </c:pt>
                <c:pt idx="362">
                  <c:v>33573</c:v>
                </c:pt>
                <c:pt idx="363">
                  <c:v>33543</c:v>
                </c:pt>
                <c:pt idx="364">
                  <c:v>33512</c:v>
                </c:pt>
                <c:pt idx="365">
                  <c:v>33482</c:v>
                </c:pt>
                <c:pt idx="366">
                  <c:v>33451</c:v>
                </c:pt>
                <c:pt idx="367">
                  <c:v>33420</c:v>
                </c:pt>
                <c:pt idx="368">
                  <c:v>33390</c:v>
                </c:pt>
                <c:pt idx="369">
                  <c:v>33359</c:v>
                </c:pt>
                <c:pt idx="370">
                  <c:v>33329</c:v>
                </c:pt>
                <c:pt idx="371">
                  <c:v>33298</c:v>
                </c:pt>
                <c:pt idx="372">
                  <c:v>33270</c:v>
                </c:pt>
                <c:pt idx="373">
                  <c:v>33239</c:v>
                </c:pt>
                <c:pt idx="374">
                  <c:v>33208</c:v>
                </c:pt>
                <c:pt idx="375">
                  <c:v>33178</c:v>
                </c:pt>
                <c:pt idx="376">
                  <c:v>33147</c:v>
                </c:pt>
                <c:pt idx="377">
                  <c:v>33117</c:v>
                </c:pt>
                <c:pt idx="378">
                  <c:v>33086</c:v>
                </c:pt>
                <c:pt idx="379">
                  <c:v>33055</c:v>
                </c:pt>
                <c:pt idx="380">
                  <c:v>33025</c:v>
                </c:pt>
                <c:pt idx="381">
                  <c:v>32994</c:v>
                </c:pt>
                <c:pt idx="382">
                  <c:v>32964</c:v>
                </c:pt>
                <c:pt idx="383">
                  <c:v>32933</c:v>
                </c:pt>
                <c:pt idx="384">
                  <c:v>32905</c:v>
                </c:pt>
                <c:pt idx="385">
                  <c:v>32874</c:v>
                </c:pt>
                <c:pt idx="386">
                  <c:v>32843</c:v>
                </c:pt>
                <c:pt idx="387">
                  <c:v>32813</c:v>
                </c:pt>
                <c:pt idx="388">
                  <c:v>32782</c:v>
                </c:pt>
                <c:pt idx="389">
                  <c:v>32752</c:v>
                </c:pt>
                <c:pt idx="390">
                  <c:v>32721</c:v>
                </c:pt>
                <c:pt idx="391">
                  <c:v>32690</c:v>
                </c:pt>
                <c:pt idx="392">
                  <c:v>32660</c:v>
                </c:pt>
                <c:pt idx="393">
                  <c:v>32629</c:v>
                </c:pt>
                <c:pt idx="394">
                  <c:v>32599</c:v>
                </c:pt>
                <c:pt idx="395">
                  <c:v>32568</c:v>
                </c:pt>
                <c:pt idx="396">
                  <c:v>32540</c:v>
                </c:pt>
                <c:pt idx="397">
                  <c:v>32509</c:v>
                </c:pt>
                <c:pt idx="398">
                  <c:v>32478</c:v>
                </c:pt>
                <c:pt idx="399">
                  <c:v>32448</c:v>
                </c:pt>
                <c:pt idx="400">
                  <c:v>32417</c:v>
                </c:pt>
                <c:pt idx="401">
                  <c:v>32387</c:v>
                </c:pt>
                <c:pt idx="402">
                  <c:v>32356</c:v>
                </c:pt>
                <c:pt idx="403">
                  <c:v>32325</c:v>
                </c:pt>
                <c:pt idx="404">
                  <c:v>32295</c:v>
                </c:pt>
                <c:pt idx="405">
                  <c:v>32264</c:v>
                </c:pt>
                <c:pt idx="406">
                  <c:v>32234</c:v>
                </c:pt>
                <c:pt idx="407">
                  <c:v>32203</c:v>
                </c:pt>
                <c:pt idx="408">
                  <c:v>32174</c:v>
                </c:pt>
                <c:pt idx="409">
                  <c:v>32143</c:v>
                </c:pt>
                <c:pt idx="410">
                  <c:v>32112</c:v>
                </c:pt>
                <c:pt idx="411">
                  <c:v>32082</c:v>
                </c:pt>
                <c:pt idx="412">
                  <c:v>32051</c:v>
                </c:pt>
                <c:pt idx="413">
                  <c:v>32021</c:v>
                </c:pt>
                <c:pt idx="414">
                  <c:v>31990</c:v>
                </c:pt>
                <c:pt idx="415">
                  <c:v>31959</c:v>
                </c:pt>
                <c:pt idx="416">
                  <c:v>31929</c:v>
                </c:pt>
                <c:pt idx="417">
                  <c:v>31898</c:v>
                </c:pt>
                <c:pt idx="418">
                  <c:v>31868</c:v>
                </c:pt>
                <c:pt idx="419">
                  <c:v>31837</c:v>
                </c:pt>
                <c:pt idx="420">
                  <c:v>31809</c:v>
                </c:pt>
                <c:pt idx="421">
                  <c:v>31778</c:v>
                </c:pt>
                <c:pt idx="422">
                  <c:v>31747</c:v>
                </c:pt>
                <c:pt idx="423">
                  <c:v>31717</c:v>
                </c:pt>
                <c:pt idx="424">
                  <c:v>31686</c:v>
                </c:pt>
                <c:pt idx="425">
                  <c:v>31656</c:v>
                </c:pt>
                <c:pt idx="426">
                  <c:v>31625</c:v>
                </c:pt>
                <c:pt idx="427">
                  <c:v>31594</c:v>
                </c:pt>
                <c:pt idx="428">
                  <c:v>31564</c:v>
                </c:pt>
                <c:pt idx="429">
                  <c:v>31533</c:v>
                </c:pt>
                <c:pt idx="430">
                  <c:v>31503</c:v>
                </c:pt>
                <c:pt idx="431">
                  <c:v>31472</c:v>
                </c:pt>
                <c:pt idx="432">
                  <c:v>31444</c:v>
                </c:pt>
                <c:pt idx="433">
                  <c:v>31413</c:v>
                </c:pt>
                <c:pt idx="434">
                  <c:v>31382</c:v>
                </c:pt>
                <c:pt idx="435">
                  <c:v>31352</c:v>
                </c:pt>
                <c:pt idx="436">
                  <c:v>31321</c:v>
                </c:pt>
                <c:pt idx="437">
                  <c:v>31291</c:v>
                </c:pt>
                <c:pt idx="438">
                  <c:v>31260</c:v>
                </c:pt>
                <c:pt idx="439">
                  <c:v>31229</c:v>
                </c:pt>
                <c:pt idx="440">
                  <c:v>31199</c:v>
                </c:pt>
                <c:pt idx="441">
                  <c:v>31168</c:v>
                </c:pt>
                <c:pt idx="442">
                  <c:v>31138</c:v>
                </c:pt>
                <c:pt idx="443">
                  <c:v>31107</c:v>
                </c:pt>
                <c:pt idx="444">
                  <c:v>31079</c:v>
                </c:pt>
                <c:pt idx="445">
                  <c:v>31048</c:v>
                </c:pt>
                <c:pt idx="446">
                  <c:v>31017</c:v>
                </c:pt>
                <c:pt idx="447">
                  <c:v>30987</c:v>
                </c:pt>
                <c:pt idx="448">
                  <c:v>30956</c:v>
                </c:pt>
                <c:pt idx="449">
                  <c:v>30926</c:v>
                </c:pt>
                <c:pt idx="450">
                  <c:v>30895</c:v>
                </c:pt>
                <c:pt idx="451">
                  <c:v>30864</c:v>
                </c:pt>
                <c:pt idx="452">
                  <c:v>30834</c:v>
                </c:pt>
                <c:pt idx="453">
                  <c:v>30803</c:v>
                </c:pt>
                <c:pt idx="454">
                  <c:v>30773</c:v>
                </c:pt>
                <c:pt idx="455">
                  <c:v>30742</c:v>
                </c:pt>
                <c:pt idx="456">
                  <c:v>30713</c:v>
                </c:pt>
                <c:pt idx="457">
                  <c:v>30682</c:v>
                </c:pt>
                <c:pt idx="458">
                  <c:v>30651</c:v>
                </c:pt>
                <c:pt idx="459">
                  <c:v>30621</c:v>
                </c:pt>
                <c:pt idx="460">
                  <c:v>30590</c:v>
                </c:pt>
                <c:pt idx="461">
                  <c:v>30560</c:v>
                </c:pt>
                <c:pt idx="462">
                  <c:v>30529</c:v>
                </c:pt>
                <c:pt idx="463">
                  <c:v>30498</c:v>
                </c:pt>
                <c:pt idx="464">
                  <c:v>30468</c:v>
                </c:pt>
                <c:pt idx="465">
                  <c:v>30437</c:v>
                </c:pt>
                <c:pt idx="466">
                  <c:v>30407</c:v>
                </c:pt>
                <c:pt idx="467">
                  <c:v>30376</c:v>
                </c:pt>
                <c:pt idx="468">
                  <c:v>30348</c:v>
                </c:pt>
                <c:pt idx="469">
                  <c:v>30317</c:v>
                </c:pt>
                <c:pt idx="470">
                  <c:v>30286</c:v>
                </c:pt>
                <c:pt idx="471">
                  <c:v>30256</c:v>
                </c:pt>
                <c:pt idx="472">
                  <c:v>30225</c:v>
                </c:pt>
                <c:pt idx="473">
                  <c:v>30195</c:v>
                </c:pt>
                <c:pt idx="474">
                  <c:v>30164</c:v>
                </c:pt>
                <c:pt idx="475">
                  <c:v>30133</c:v>
                </c:pt>
                <c:pt idx="476">
                  <c:v>30103</c:v>
                </c:pt>
                <c:pt idx="477">
                  <c:v>30072</c:v>
                </c:pt>
                <c:pt idx="478">
                  <c:v>30042</c:v>
                </c:pt>
                <c:pt idx="479">
                  <c:v>30011</c:v>
                </c:pt>
                <c:pt idx="480">
                  <c:v>29983</c:v>
                </c:pt>
                <c:pt idx="481">
                  <c:v>29952</c:v>
                </c:pt>
                <c:pt idx="482">
                  <c:v>29921</c:v>
                </c:pt>
                <c:pt idx="483">
                  <c:v>29891</c:v>
                </c:pt>
                <c:pt idx="484">
                  <c:v>29860</c:v>
                </c:pt>
                <c:pt idx="485">
                  <c:v>29830</c:v>
                </c:pt>
                <c:pt idx="486">
                  <c:v>29799</c:v>
                </c:pt>
                <c:pt idx="487">
                  <c:v>29768</c:v>
                </c:pt>
                <c:pt idx="488">
                  <c:v>29738</c:v>
                </c:pt>
                <c:pt idx="489">
                  <c:v>29707</c:v>
                </c:pt>
                <c:pt idx="490">
                  <c:v>29677</c:v>
                </c:pt>
                <c:pt idx="491">
                  <c:v>29646</c:v>
                </c:pt>
                <c:pt idx="492">
                  <c:v>29618</c:v>
                </c:pt>
                <c:pt idx="493">
                  <c:v>29587</c:v>
                </c:pt>
                <c:pt idx="494">
                  <c:v>29556</c:v>
                </c:pt>
                <c:pt idx="495">
                  <c:v>29526</c:v>
                </c:pt>
                <c:pt idx="496">
                  <c:v>29495</c:v>
                </c:pt>
                <c:pt idx="497">
                  <c:v>29465</c:v>
                </c:pt>
                <c:pt idx="498">
                  <c:v>29434</c:v>
                </c:pt>
                <c:pt idx="499">
                  <c:v>29403</c:v>
                </c:pt>
                <c:pt idx="500">
                  <c:v>29373</c:v>
                </c:pt>
                <c:pt idx="501">
                  <c:v>29342</c:v>
                </c:pt>
                <c:pt idx="502">
                  <c:v>29312</c:v>
                </c:pt>
                <c:pt idx="503">
                  <c:v>29281</c:v>
                </c:pt>
                <c:pt idx="504">
                  <c:v>29252</c:v>
                </c:pt>
                <c:pt idx="505">
                  <c:v>29221</c:v>
                </c:pt>
                <c:pt idx="506">
                  <c:v>29190</c:v>
                </c:pt>
                <c:pt idx="507">
                  <c:v>29160</c:v>
                </c:pt>
                <c:pt idx="508">
                  <c:v>29129</c:v>
                </c:pt>
                <c:pt idx="509">
                  <c:v>29099</c:v>
                </c:pt>
                <c:pt idx="510">
                  <c:v>29068</c:v>
                </c:pt>
                <c:pt idx="511">
                  <c:v>29037</c:v>
                </c:pt>
                <c:pt idx="512">
                  <c:v>29007</c:v>
                </c:pt>
                <c:pt idx="513">
                  <c:v>28976</c:v>
                </c:pt>
                <c:pt idx="514">
                  <c:v>28946</c:v>
                </c:pt>
                <c:pt idx="515">
                  <c:v>28915</c:v>
                </c:pt>
                <c:pt idx="516">
                  <c:v>28887</c:v>
                </c:pt>
                <c:pt idx="517">
                  <c:v>28856</c:v>
                </c:pt>
                <c:pt idx="518">
                  <c:v>28825</c:v>
                </c:pt>
                <c:pt idx="519">
                  <c:v>28795</c:v>
                </c:pt>
                <c:pt idx="520">
                  <c:v>28764</c:v>
                </c:pt>
                <c:pt idx="521">
                  <c:v>28734</c:v>
                </c:pt>
                <c:pt idx="522">
                  <c:v>28703</c:v>
                </c:pt>
                <c:pt idx="523">
                  <c:v>28672</c:v>
                </c:pt>
                <c:pt idx="524">
                  <c:v>28642</c:v>
                </c:pt>
                <c:pt idx="525">
                  <c:v>28611</c:v>
                </c:pt>
                <c:pt idx="526">
                  <c:v>28581</c:v>
                </c:pt>
                <c:pt idx="527">
                  <c:v>28550</c:v>
                </c:pt>
                <c:pt idx="528">
                  <c:v>28522</c:v>
                </c:pt>
                <c:pt idx="529">
                  <c:v>28491</c:v>
                </c:pt>
                <c:pt idx="530">
                  <c:v>28460</c:v>
                </c:pt>
                <c:pt idx="531">
                  <c:v>28430</c:v>
                </c:pt>
                <c:pt idx="532">
                  <c:v>28399</c:v>
                </c:pt>
                <c:pt idx="533">
                  <c:v>28369</c:v>
                </c:pt>
                <c:pt idx="534">
                  <c:v>28338</c:v>
                </c:pt>
                <c:pt idx="535">
                  <c:v>28307</c:v>
                </c:pt>
                <c:pt idx="536">
                  <c:v>28277</c:v>
                </c:pt>
                <c:pt idx="537">
                  <c:v>28246</c:v>
                </c:pt>
                <c:pt idx="538">
                  <c:v>28216</c:v>
                </c:pt>
                <c:pt idx="539">
                  <c:v>28185</c:v>
                </c:pt>
                <c:pt idx="540">
                  <c:v>28157</c:v>
                </c:pt>
                <c:pt idx="541">
                  <c:v>28126</c:v>
                </c:pt>
                <c:pt idx="542">
                  <c:v>28095</c:v>
                </c:pt>
                <c:pt idx="543">
                  <c:v>28065</c:v>
                </c:pt>
                <c:pt idx="544">
                  <c:v>28034</c:v>
                </c:pt>
                <c:pt idx="545">
                  <c:v>28004</c:v>
                </c:pt>
                <c:pt idx="546">
                  <c:v>27973</c:v>
                </c:pt>
                <c:pt idx="547">
                  <c:v>27942</c:v>
                </c:pt>
                <c:pt idx="548">
                  <c:v>27912</c:v>
                </c:pt>
                <c:pt idx="549">
                  <c:v>27881</c:v>
                </c:pt>
                <c:pt idx="550">
                  <c:v>27851</c:v>
                </c:pt>
                <c:pt idx="551">
                  <c:v>27820</c:v>
                </c:pt>
                <c:pt idx="552">
                  <c:v>27791</c:v>
                </c:pt>
                <c:pt idx="553">
                  <c:v>27760</c:v>
                </c:pt>
                <c:pt idx="554">
                  <c:v>27729</c:v>
                </c:pt>
                <c:pt idx="555">
                  <c:v>27699</c:v>
                </c:pt>
                <c:pt idx="556">
                  <c:v>27668</c:v>
                </c:pt>
                <c:pt idx="557">
                  <c:v>27638</c:v>
                </c:pt>
                <c:pt idx="558">
                  <c:v>27607</c:v>
                </c:pt>
                <c:pt idx="559">
                  <c:v>27576</c:v>
                </c:pt>
                <c:pt idx="560">
                  <c:v>27546</c:v>
                </c:pt>
                <c:pt idx="561">
                  <c:v>27515</c:v>
                </c:pt>
                <c:pt idx="562">
                  <c:v>27485</c:v>
                </c:pt>
                <c:pt idx="563">
                  <c:v>27454</c:v>
                </c:pt>
                <c:pt idx="564">
                  <c:v>27426</c:v>
                </c:pt>
                <c:pt idx="565">
                  <c:v>27395</c:v>
                </c:pt>
                <c:pt idx="566">
                  <c:v>27364</c:v>
                </c:pt>
                <c:pt idx="567">
                  <c:v>27334</c:v>
                </c:pt>
                <c:pt idx="568">
                  <c:v>27303</c:v>
                </c:pt>
                <c:pt idx="569">
                  <c:v>27273</c:v>
                </c:pt>
                <c:pt idx="570">
                  <c:v>27242</c:v>
                </c:pt>
                <c:pt idx="571">
                  <c:v>27211</c:v>
                </c:pt>
                <c:pt idx="572">
                  <c:v>27181</c:v>
                </c:pt>
                <c:pt idx="573">
                  <c:v>27150</c:v>
                </c:pt>
                <c:pt idx="574">
                  <c:v>27120</c:v>
                </c:pt>
                <c:pt idx="575">
                  <c:v>27089</c:v>
                </c:pt>
                <c:pt idx="576">
                  <c:v>27061</c:v>
                </c:pt>
                <c:pt idx="577">
                  <c:v>27030</c:v>
                </c:pt>
                <c:pt idx="578">
                  <c:v>26999</c:v>
                </c:pt>
                <c:pt idx="579">
                  <c:v>26969</c:v>
                </c:pt>
                <c:pt idx="580">
                  <c:v>26938</c:v>
                </c:pt>
                <c:pt idx="581">
                  <c:v>26908</c:v>
                </c:pt>
                <c:pt idx="582">
                  <c:v>26877</c:v>
                </c:pt>
                <c:pt idx="583">
                  <c:v>26846</c:v>
                </c:pt>
                <c:pt idx="584">
                  <c:v>26816</c:v>
                </c:pt>
                <c:pt idx="585">
                  <c:v>26785</c:v>
                </c:pt>
                <c:pt idx="586">
                  <c:v>26755</c:v>
                </c:pt>
                <c:pt idx="587">
                  <c:v>26724</c:v>
                </c:pt>
                <c:pt idx="588">
                  <c:v>26696</c:v>
                </c:pt>
                <c:pt idx="589">
                  <c:v>26665</c:v>
                </c:pt>
                <c:pt idx="590">
                  <c:v>26634</c:v>
                </c:pt>
                <c:pt idx="591">
                  <c:v>26604</c:v>
                </c:pt>
                <c:pt idx="592">
                  <c:v>26573</c:v>
                </c:pt>
                <c:pt idx="593">
                  <c:v>26543</c:v>
                </c:pt>
                <c:pt idx="594">
                  <c:v>26512</c:v>
                </c:pt>
                <c:pt idx="595">
                  <c:v>26481</c:v>
                </c:pt>
                <c:pt idx="596">
                  <c:v>26451</c:v>
                </c:pt>
                <c:pt idx="597">
                  <c:v>26420</c:v>
                </c:pt>
                <c:pt idx="598">
                  <c:v>26390</c:v>
                </c:pt>
                <c:pt idx="599">
                  <c:v>26359</c:v>
                </c:pt>
                <c:pt idx="600">
                  <c:v>26330</c:v>
                </c:pt>
                <c:pt idx="601">
                  <c:v>26299</c:v>
                </c:pt>
                <c:pt idx="602">
                  <c:v>26268</c:v>
                </c:pt>
              </c:numCache>
            </c:numRef>
          </c:cat>
          <c:val>
            <c:numRef>
              <c:f>GOTH!$B$2:$B$604</c:f>
              <c:numCache>
                <c:formatCode>General</c:formatCode>
                <c:ptCount val="603"/>
                <c:pt idx="0">
                  <c:v>40.125264575716756</c:v>
                </c:pt>
                <c:pt idx="1">
                  <c:v>42.079949971137196</c:v>
                </c:pt>
                <c:pt idx="2">
                  <c:v>43.443813738695404</c:v>
                </c:pt>
                <c:pt idx="3">
                  <c:v>45.855108716567251</c:v>
                </c:pt>
                <c:pt idx="4">
                  <c:v>43.938810852414846</c:v>
                </c:pt>
                <c:pt idx="5">
                  <c:v>44.308062343659799</c:v>
                </c:pt>
                <c:pt idx="6">
                  <c:v>41.442563017125259</c:v>
                </c:pt>
                <c:pt idx="7">
                  <c:v>43.512411006349815</c:v>
                </c:pt>
                <c:pt idx="8">
                  <c:v>42.286511448912833</c:v>
                </c:pt>
                <c:pt idx="9">
                  <c:v>41.345968828170093</c:v>
                </c:pt>
                <c:pt idx="10">
                  <c:v>40.447469694054256</c:v>
                </c:pt>
                <c:pt idx="11">
                  <c:v>40.226765441600918</c:v>
                </c:pt>
                <c:pt idx="12">
                  <c:v>38.222917067538958</c:v>
                </c:pt>
                <c:pt idx="13">
                  <c:v>36.666827015585916</c:v>
                </c:pt>
                <c:pt idx="14">
                  <c:v>35.734462189724837</c:v>
                </c:pt>
                <c:pt idx="15">
                  <c:v>36.136905907254189</c:v>
                </c:pt>
                <c:pt idx="16">
                  <c:v>34.843467385029825</c:v>
                </c:pt>
                <c:pt idx="17">
                  <c:v>31.460073119107179</c:v>
                </c:pt>
                <c:pt idx="18">
                  <c:v>32.355204925918798</c:v>
                </c:pt>
                <c:pt idx="19">
                  <c:v>33.676255532037707</c:v>
                </c:pt>
                <c:pt idx="20">
                  <c:v>31.471233403886856</c:v>
                </c:pt>
                <c:pt idx="21">
                  <c:v>29.827689051375792</c:v>
                </c:pt>
                <c:pt idx="22">
                  <c:v>29.289109101404652</c:v>
                </c:pt>
                <c:pt idx="23">
                  <c:v>28.020300173176828</c:v>
                </c:pt>
                <c:pt idx="24">
                  <c:v>24.866172791995382</c:v>
                </c:pt>
                <c:pt idx="25">
                  <c:v>28.422359053299974</c:v>
                </c:pt>
                <c:pt idx="26">
                  <c:v>31.03251876082355</c:v>
                </c:pt>
                <c:pt idx="27">
                  <c:v>31.08312487973831</c:v>
                </c:pt>
                <c:pt idx="28">
                  <c:v>30.219164902828552</c:v>
                </c:pt>
                <c:pt idx="29">
                  <c:v>29.224167789109099</c:v>
                </c:pt>
                <c:pt idx="30">
                  <c:v>28.639022512988259</c:v>
                </c:pt>
                <c:pt idx="31">
                  <c:v>28.155281893400037</c:v>
                </c:pt>
                <c:pt idx="32">
                  <c:v>28.674042716952087</c:v>
                </c:pt>
                <c:pt idx="33">
                  <c:v>28.302482201269964</c:v>
                </c:pt>
                <c:pt idx="34">
                  <c:v>26.47739080238599</c:v>
                </c:pt>
                <c:pt idx="35">
                  <c:v>28.341639407350392</c:v>
                </c:pt>
                <c:pt idx="36">
                  <c:v>27.269578603040216</c:v>
                </c:pt>
                <c:pt idx="37">
                  <c:v>26.789397729459299</c:v>
                </c:pt>
                <c:pt idx="38">
                  <c:v>26.015970752357127</c:v>
                </c:pt>
                <c:pt idx="39">
                  <c:v>24.118241293053682</c:v>
                </c:pt>
                <c:pt idx="40">
                  <c:v>26.555416586492207</c:v>
                </c:pt>
                <c:pt idx="41">
                  <c:v>26.089474696940538</c:v>
                </c:pt>
                <c:pt idx="42">
                  <c:v>28.035212622666922</c:v>
                </c:pt>
                <c:pt idx="43">
                  <c:v>27.915335770636904</c:v>
                </c:pt>
                <c:pt idx="44">
                  <c:v>27.095343467385028</c:v>
                </c:pt>
                <c:pt idx="45">
                  <c:v>26.153261497017507</c:v>
                </c:pt>
                <c:pt idx="46">
                  <c:v>26.027227246488359</c:v>
                </c:pt>
                <c:pt idx="47">
                  <c:v>25.476717336925148</c:v>
                </c:pt>
                <c:pt idx="48">
                  <c:v>25.407639022512985</c:v>
                </c:pt>
                <c:pt idx="49">
                  <c:v>26.109582451414273</c:v>
                </c:pt>
                <c:pt idx="50">
                  <c:v>27.167692899749856</c:v>
                </c:pt>
                <c:pt idx="51">
                  <c:v>25.722628439484318</c:v>
                </c:pt>
                <c:pt idx="52">
                  <c:v>25.472195497402346</c:v>
                </c:pt>
                <c:pt idx="53">
                  <c:v>24.776409467000192</c:v>
                </c:pt>
                <c:pt idx="54">
                  <c:v>24.238599191841445</c:v>
                </c:pt>
                <c:pt idx="55">
                  <c:v>23.779584375601306</c:v>
                </c:pt>
                <c:pt idx="56">
                  <c:v>23.766596113142199</c:v>
                </c:pt>
                <c:pt idx="57">
                  <c:v>23.315470463729074</c:v>
                </c:pt>
                <c:pt idx="58">
                  <c:v>23.203771406580721</c:v>
                </c:pt>
                <c:pt idx="59">
                  <c:v>22.938233596305558</c:v>
                </c:pt>
                <c:pt idx="60">
                  <c:v>22.731575909178371</c:v>
                </c:pt>
                <c:pt idx="61">
                  <c:v>22.740427169520874</c:v>
                </c:pt>
                <c:pt idx="62">
                  <c:v>21.92486049644025</c:v>
                </c:pt>
                <c:pt idx="63">
                  <c:v>21.539638252838174</c:v>
                </c:pt>
                <c:pt idx="64">
                  <c:v>21.154608427939195</c:v>
                </c:pt>
                <c:pt idx="65">
                  <c:v>20.455551279584377</c:v>
                </c:pt>
                <c:pt idx="66">
                  <c:v>20.860785068308637</c:v>
                </c:pt>
                <c:pt idx="67">
                  <c:v>20.88656917452376</c:v>
                </c:pt>
                <c:pt idx="68">
                  <c:v>20.91206465268424</c:v>
                </c:pt>
                <c:pt idx="69">
                  <c:v>20.192995959207234</c:v>
                </c:pt>
                <c:pt idx="70">
                  <c:v>20.174716182412929</c:v>
                </c:pt>
                <c:pt idx="71">
                  <c:v>19.870117375408888</c:v>
                </c:pt>
                <c:pt idx="72">
                  <c:v>19.816624975947658</c:v>
                </c:pt>
                <c:pt idx="73">
                  <c:v>18.589859534346736</c:v>
                </c:pt>
                <c:pt idx="74">
                  <c:v>18.666923224937463</c:v>
                </c:pt>
                <c:pt idx="75">
                  <c:v>19.664614200500285</c:v>
                </c:pt>
                <c:pt idx="76">
                  <c:v>20.015489705599382</c:v>
                </c:pt>
                <c:pt idx="77">
                  <c:v>20.005387723686741</c:v>
                </c:pt>
                <c:pt idx="78">
                  <c:v>18.47248412545699</c:v>
                </c:pt>
                <c:pt idx="79">
                  <c:v>18.974215893784873</c:v>
                </c:pt>
                <c:pt idx="80">
                  <c:v>20.240908216278623</c:v>
                </c:pt>
                <c:pt idx="81">
                  <c:v>19.849047527419664</c:v>
                </c:pt>
                <c:pt idx="82">
                  <c:v>20.275062536078504</c:v>
                </c:pt>
                <c:pt idx="83">
                  <c:v>20.064556474889361</c:v>
                </c:pt>
                <c:pt idx="84">
                  <c:v>19.895035597460073</c:v>
                </c:pt>
                <c:pt idx="85">
                  <c:v>20.247258033480854</c:v>
                </c:pt>
                <c:pt idx="86">
                  <c:v>19.193669424668077</c:v>
                </c:pt>
                <c:pt idx="87">
                  <c:v>19.808543390417547</c:v>
                </c:pt>
                <c:pt idx="88">
                  <c:v>19.891860688858959</c:v>
                </c:pt>
                <c:pt idx="89">
                  <c:v>19.415528189340002</c:v>
                </c:pt>
                <c:pt idx="90">
                  <c:v>18.975274196651913</c:v>
                </c:pt>
                <c:pt idx="91">
                  <c:v>19.274292861266112</c:v>
                </c:pt>
                <c:pt idx="92">
                  <c:v>18.574850875505099</c:v>
                </c:pt>
                <c:pt idx="93">
                  <c:v>18.859245718683855</c:v>
                </c:pt>
                <c:pt idx="94">
                  <c:v>18.506542235905329</c:v>
                </c:pt>
                <c:pt idx="95">
                  <c:v>18.12536078506831</c:v>
                </c:pt>
                <c:pt idx="96">
                  <c:v>18.013661727919949</c:v>
                </c:pt>
                <c:pt idx="97">
                  <c:v>17.889647873773331</c:v>
                </c:pt>
                <c:pt idx="98">
                  <c:v>17.150182797767943</c:v>
                </c:pt>
                <c:pt idx="99">
                  <c:v>17.782951702905521</c:v>
                </c:pt>
                <c:pt idx="100">
                  <c:v>17.373580912064654</c:v>
                </c:pt>
                <c:pt idx="101">
                  <c:v>16.899557436982874</c:v>
                </c:pt>
                <c:pt idx="102">
                  <c:v>16.178083509717144</c:v>
                </c:pt>
                <c:pt idx="103">
                  <c:v>15.710698479892246</c:v>
                </c:pt>
                <c:pt idx="104">
                  <c:v>16.218299018664613</c:v>
                </c:pt>
                <c:pt idx="105">
                  <c:v>15.453915720608041</c:v>
                </c:pt>
                <c:pt idx="106">
                  <c:v>15.689243794496825</c:v>
                </c:pt>
                <c:pt idx="107">
                  <c:v>15.370117375408887</c:v>
                </c:pt>
                <c:pt idx="108">
                  <c:v>15.097075235712911</c:v>
                </c:pt>
                <c:pt idx="109">
                  <c:v>14.572638060419472</c:v>
                </c:pt>
                <c:pt idx="110">
                  <c:v>14.413219164902827</c:v>
                </c:pt>
                <c:pt idx="111">
                  <c:v>13.721281508562631</c:v>
                </c:pt>
                <c:pt idx="112">
                  <c:v>13.624975947662113</c:v>
                </c:pt>
                <c:pt idx="113">
                  <c:v>13.586299788339426</c:v>
                </c:pt>
                <c:pt idx="114">
                  <c:v>13.860592649605541</c:v>
                </c:pt>
                <c:pt idx="115">
                  <c:v>13.5326149701751</c:v>
                </c:pt>
                <c:pt idx="116">
                  <c:v>13.270348277852607</c:v>
                </c:pt>
                <c:pt idx="117">
                  <c:v>13.105253030594573</c:v>
                </c:pt>
                <c:pt idx="118">
                  <c:v>12.606599961516258</c:v>
                </c:pt>
                <c:pt idx="119">
                  <c:v>13.449201462382144</c:v>
                </c:pt>
                <c:pt idx="120">
                  <c:v>13.550798537617856</c:v>
                </c:pt>
                <c:pt idx="121">
                  <c:v>13.139118722339811</c:v>
                </c:pt>
                <c:pt idx="122">
                  <c:v>12.626611506638445</c:v>
                </c:pt>
                <c:pt idx="123">
                  <c:v>12.099288050798537</c:v>
                </c:pt>
                <c:pt idx="124">
                  <c:v>11.996921300750433</c:v>
                </c:pt>
                <c:pt idx="125">
                  <c:v>12.057918029632479</c:v>
                </c:pt>
                <c:pt idx="126">
                  <c:v>10.885318452953628</c:v>
                </c:pt>
                <c:pt idx="127">
                  <c:v>11.726861650952474</c:v>
                </c:pt>
                <c:pt idx="128">
                  <c:v>12.432942081970367</c:v>
                </c:pt>
                <c:pt idx="129">
                  <c:v>12.705791802963248</c:v>
                </c:pt>
                <c:pt idx="130">
                  <c:v>12.94208197036752</c:v>
                </c:pt>
                <c:pt idx="131">
                  <c:v>13.119203386569174</c:v>
                </c:pt>
                <c:pt idx="132">
                  <c:v>12.755724456417163</c:v>
                </c:pt>
                <c:pt idx="133">
                  <c:v>12.769097556282469</c:v>
                </c:pt>
                <c:pt idx="134">
                  <c:v>12.3736771214162</c:v>
                </c:pt>
                <c:pt idx="135">
                  <c:v>12.099672888204735</c:v>
                </c:pt>
                <c:pt idx="136">
                  <c:v>11.357994997113718</c:v>
                </c:pt>
                <c:pt idx="137">
                  <c:v>11.384067731383491</c:v>
                </c:pt>
                <c:pt idx="138">
                  <c:v>10.979411198768521</c:v>
                </c:pt>
                <c:pt idx="139">
                  <c:v>10.095535886088127</c:v>
                </c:pt>
                <c:pt idx="140">
                  <c:v>10.598422166634595</c:v>
                </c:pt>
                <c:pt idx="141">
                  <c:v>9.9163940735039446</c:v>
                </c:pt>
                <c:pt idx="142">
                  <c:v>10.481142967096401</c:v>
                </c:pt>
                <c:pt idx="143">
                  <c:v>11.417067538964787</c:v>
                </c:pt>
                <c:pt idx="144">
                  <c:v>11.251010198191263</c:v>
                </c:pt>
                <c:pt idx="145">
                  <c:v>10.626226669232249</c:v>
                </c:pt>
                <c:pt idx="146">
                  <c:v>10.331633634789299</c:v>
                </c:pt>
                <c:pt idx="147">
                  <c:v>10.728304791225707</c:v>
                </c:pt>
                <c:pt idx="148">
                  <c:v>10.540985183759862</c:v>
                </c:pt>
                <c:pt idx="149">
                  <c:v>9.9691167981527808</c:v>
                </c:pt>
                <c:pt idx="150">
                  <c:v>10.170098133538579</c:v>
                </c:pt>
                <c:pt idx="151">
                  <c:v>9.8193188377910339</c:v>
                </c:pt>
                <c:pt idx="152">
                  <c:v>9.500481046757745</c:v>
                </c:pt>
                <c:pt idx="153">
                  <c:v>8.8447181065999612</c:v>
                </c:pt>
                <c:pt idx="154">
                  <c:v>8.8429863382720786</c:v>
                </c:pt>
                <c:pt idx="155">
                  <c:v>8.3972484125456983</c:v>
                </c:pt>
                <c:pt idx="156">
                  <c:v>7.6762555320377137</c:v>
                </c:pt>
                <c:pt idx="157">
                  <c:v>7.0722532230132771</c:v>
                </c:pt>
                <c:pt idx="158">
                  <c:v>7.9457379257263794</c:v>
                </c:pt>
                <c:pt idx="159">
                  <c:v>8.6901096786607646</c:v>
                </c:pt>
                <c:pt idx="160">
                  <c:v>8.6226669232249371</c:v>
                </c:pt>
                <c:pt idx="161">
                  <c:v>9.3202809313065238</c:v>
                </c:pt>
                <c:pt idx="162">
                  <c:v>11.221473927265729</c:v>
                </c:pt>
                <c:pt idx="163">
                  <c:v>12.342024244756589</c:v>
                </c:pt>
                <c:pt idx="164">
                  <c:v>12.193380796613431</c:v>
                </c:pt>
                <c:pt idx="165">
                  <c:v>12.314796998268232</c:v>
                </c:pt>
                <c:pt idx="166">
                  <c:v>13.472965172214739</c:v>
                </c:pt>
                <c:pt idx="167">
                  <c:v>13.33067154127381</c:v>
                </c:pt>
                <c:pt idx="168">
                  <c:v>12.725610929382336</c:v>
                </c:pt>
                <c:pt idx="169">
                  <c:v>12.80190494516067</c:v>
                </c:pt>
                <c:pt idx="170">
                  <c:v>13.262940157783335</c:v>
                </c:pt>
                <c:pt idx="171">
                  <c:v>14.12699634404464</c:v>
                </c:pt>
                <c:pt idx="172">
                  <c:v>14.249951895324227</c:v>
                </c:pt>
                <c:pt idx="173">
                  <c:v>14.906484510294401</c:v>
                </c:pt>
                <c:pt idx="174">
                  <c:v>14.68876274773908</c:v>
                </c:pt>
                <c:pt idx="175">
                  <c:v>14.181162208966711</c:v>
                </c:pt>
                <c:pt idx="176">
                  <c:v>14.001058302867039</c:v>
                </c:pt>
                <c:pt idx="177">
                  <c:v>14.463632865114489</c:v>
                </c:pt>
                <c:pt idx="178">
                  <c:v>14.725995766788529</c:v>
                </c:pt>
                <c:pt idx="179">
                  <c:v>14.261785645564746</c:v>
                </c:pt>
                <c:pt idx="180">
                  <c:v>13.670001924187028</c:v>
                </c:pt>
                <c:pt idx="181">
                  <c:v>13.534923994612274</c:v>
                </c:pt>
                <c:pt idx="182">
                  <c:v>13.837213777179141</c:v>
                </c:pt>
                <c:pt idx="183">
                  <c:v>13.645372330190494</c:v>
                </c:pt>
                <c:pt idx="184">
                  <c:v>13.475370406003464</c:v>
                </c:pt>
                <c:pt idx="185">
                  <c:v>13.257071387338849</c:v>
                </c:pt>
                <c:pt idx="186">
                  <c:v>12.852126226669231</c:v>
                </c:pt>
                <c:pt idx="187">
                  <c:v>12.543967673657878</c:v>
                </c:pt>
                <c:pt idx="188">
                  <c:v>12.282663074850875</c:v>
                </c:pt>
                <c:pt idx="189">
                  <c:v>12.220511833750239</c:v>
                </c:pt>
                <c:pt idx="190">
                  <c:v>12.2194535308832</c:v>
                </c:pt>
                <c:pt idx="191">
                  <c:v>12.609293823359629</c:v>
                </c:pt>
                <c:pt idx="192">
                  <c:v>12.457475466615355</c:v>
                </c:pt>
                <c:pt idx="193">
                  <c:v>12.321146815470463</c:v>
                </c:pt>
                <c:pt idx="194">
                  <c:v>12.315566673080623</c:v>
                </c:pt>
                <c:pt idx="195">
                  <c:v>12.009717144506444</c:v>
                </c:pt>
                <c:pt idx="196">
                  <c:v>12.021166057340773</c:v>
                </c:pt>
                <c:pt idx="197">
                  <c:v>11.612564941312295</c:v>
                </c:pt>
                <c:pt idx="198">
                  <c:v>11.822301327689051</c:v>
                </c:pt>
                <c:pt idx="199">
                  <c:v>11.740715797575522</c:v>
                </c:pt>
                <c:pt idx="200">
                  <c:v>11.873965749470848</c:v>
                </c:pt>
                <c:pt idx="201">
                  <c:v>11.461708678083509</c:v>
                </c:pt>
                <c:pt idx="202">
                  <c:v>11.463344237059841</c:v>
                </c:pt>
                <c:pt idx="203">
                  <c:v>11.129978833942657</c:v>
                </c:pt>
                <c:pt idx="204">
                  <c:v>11.358379834519914</c:v>
                </c:pt>
                <c:pt idx="205">
                  <c:v>11.579757552434094</c:v>
                </c:pt>
                <c:pt idx="206">
                  <c:v>11.364922070425244</c:v>
                </c:pt>
                <c:pt idx="207">
                  <c:v>11.659803732922839</c:v>
                </c:pt>
                <c:pt idx="208">
                  <c:v>11.293246103521261</c:v>
                </c:pt>
                <c:pt idx="209">
                  <c:v>10.873580912064654</c:v>
                </c:pt>
                <c:pt idx="210">
                  <c:v>10.723301904945158</c:v>
                </c:pt>
                <c:pt idx="211">
                  <c:v>10.623821435443526</c:v>
                </c:pt>
                <c:pt idx="212">
                  <c:v>10.599576678853184</c:v>
                </c:pt>
                <c:pt idx="213">
                  <c:v>10.975947662112755</c:v>
                </c:pt>
                <c:pt idx="214">
                  <c:v>10.781989609390033</c:v>
                </c:pt>
                <c:pt idx="215">
                  <c:v>10.653261497017509</c:v>
                </c:pt>
                <c:pt idx="216">
                  <c:v>10.835193380796612</c:v>
                </c:pt>
                <c:pt idx="217">
                  <c:v>11.015393496247835</c:v>
                </c:pt>
                <c:pt idx="218">
                  <c:v>10.882528381758709</c:v>
                </c:pt>
                <c:pt idx="219">
                  <c:v>10.697710217433135</c:v>
                </c:pt>
                <c:pt idx="220">
                  <c:v>10.180873580912063</c:v>
                </c:pt>
                <c:pt idx="221">
                  <c:v>10.108812776601885</c:v>
                </c:pt>
                <c:pt idx="222">
                  <c:v>9.5821627862228205</c:v>
                </c:pt>
                <c:pt idx="223">
                  <c:v>9.6979988454877812</c:v>
                </c:pt>
                <c:pt idx="224">
                  <c:v>9.5566673080623445</c:v>
                </c:pt>
                <c:pt idx="225">
                  <c:v>9.3756013084471803</c:v>
                </c:pt>
                <c:pt idx="226">
                  <c:v>9.2706369059072546</c:v>
                </c:pt>
                <c:pt idx="227">
                  <c:v>8.8216278622282065</c:v>
                </c:pt>
                <c:pt idx="228">
                  <c:v>8.160284779680584</c:v>
                </c:pt>
                <c:pt idx="229">
                  <c:v>8.0926496055416575</c:v>
                </c:pt>
                <c:pt idx="230">
                  <c:v>8.2326342120454115</c:v>
                </c:pt>
                <c:pt idx="231">
                  <c:v>8.4646911679815275</c:v>
                </c:pt>
                <c:pt idx="232">
                  <c:v>9.0081777948816608</c:v>
                </c:pt>
                <c:pt idx="233">
                  <c:v>8.5218395228016171</c:v>
                </c:pt>
                <c:pt idx="234">
                  <c:v>7.8437560130844703</c:v>
                </c:pt>
                <c:pt idx="235">
                  <c:v>8.8134500673465457</c:v>
                </c:pt>
                <c:pt idx="236">
                  <c:v>8.7706369059072546</c:v>
                </c:pt>
                <c:pt idx="237">
                  <c:v>9.5229940350202043</c:v>
                </c:pt>
                <c:pt idx="238">
                  <c:v>10.266884741196844</c:v>
                </c:pt>
                <c:pt idx="239">
                  <c:v>10.360977487011738</c:v>
                </c:pt>
                <c:pt idx="240">
                  <c:v>11.038964787377333</c:v>
                </c:pt>
                <c:pt idx="241">
                  <c:v>10.647777563979218</c:v>
                </c:pt>
                <c:pt idx="242">
                  <c:v>10.873580912064654</c:v>
                </c:pt>
                <c:pt idx="243">
                  <c:v>11.04560323263421</c:v>
                </c:pt>
                <c:pt idx="244">
                  <c:v>10.96257456224745</c:v>
                </c:pt>
                <c:pt idx="245">
                  <c:v>10.1960746584568</c:v>
                </c:pt>
                <c:pt idx="246">
                  <c:v>10.014816240138542</c:v>
                </c:pt>
                <c:pt idx="247">
                  <c:v>10.906099672888203</c:v>
                </c:pt>
                <c:pt idx="248">
                  <c:v>11.653165287665962</c:v>
                </c:pt>
                <c:pt idx="249">
                  <c:v>11.779680584952857</c:v>
                </c:pt>
                <c:pt idx="250">
                  <c:v>12.082162786222819</c:v>
                </c:pt>
                <c:pt idx="251">
                  <c:v>12.020973638637674</c:v>
                </c:pt>
                <c:pt idx="252">
                  <c:v>11.163459688281698</c:v>
                </c:pt>
                <c:pt idx="253">
                  <c:v>11.929382335963055</c:v>
                </c:pt>
                <c:pt idx="254">
                  <c:v>13.142293630940927</c:v>
                </c:pt>
                <c:pt idx="255">
                  <c:v>12.702328266307484</c:v>
                </c:pt>
                <c:pt idx="256">
                  <c:v>12.651048681931885</c:v>
                </c:pt>
                <c:pt idx="257">
                  <c:v>13.752164710409851</c:v>
                </c:pt>
                <c:pt idx="258">
                  <c:v>13.820569559361168</c:v>
                </c:pt>
                <c:pt idx="259">
                  <c:v>14.601500865884164</c:v>
                </c:pt>
                <c:pt idx="260">
                  <c:v>13.765922647681354</c:v>
                </c:pt>
                <c:pt idx="261">
                  <c:v>13.994612276313257</c:v>
                </c:pt>
                <c:pt idx="262">
                  <c:v>13.667500481046757</c:v>
                </c:pt>
                <c:pt idx="263">
                  <c:v>13.973734847027131</c:v>
                </c:pt>
                <c:pt idx="264">
                  <c:v>14.417741004425627</c:v>
                </c:pt>
                <c:pt idx="265">
                  <c:v>13.146238214354435</c:v>
                </c:pt>
                <c:pt idx="266">
                  <c:v>13.416009236097748</c:v>
                </c:pt>
                <c:pt idx="267">
                  <c:v>14.135558976332499</c:v>
                </c:pt>
                <c:pt idx="268">
                  <c:v>13.36261304598807</c:v>
                </c:pt>
                <c:pt idx="269">
                  <c:v>13.112661150663845</c:v>
                </c:pt>
                <c:pt idx="270">
                  <c:v>12.340869732538001</c:v>
                </c:pt>
                <c:pt idx="271">
                  <c:v>12.703578987877622</c:v>
                </c:pt>
                <c:pt idx="272">
                  <c:v>12.783528959014816</c:v>
                </c:pt>
                <c:pt idx="273">
                  <c:v>13.206753896478736</c:v>
                </c:pt>
                <c:pt idx="274">
                  <c:v>12.524918222051182</c:v>
                </c:pt>
                <c:pt idx="275">
                  <c:v>12.845680200115451</c:v>
                </c:pt>
                <c:pt idx="276">
                  <c:v>12.376082355204924</c:v>
                </c:pt>
                <c:pt idx="277">
                  <c:v>11.913892630363669</c:v>
                </c:pt>
                <c:pt idx="278">
                  <c:v>12.311333461612469</c:v>
                </c:pt>
                <c:pt idx="279">
                  <c:v>11.826342120454107</c:v>
                </c:pt>
                <c:pt idx="280">
                  <c:v>11.195208774292862</c:v>
                </c:pt>
                <c:pt idx="281">
                  <c:v>10.570232826630749</c:v>
                </c:pt>
                <c:pt idx="282">
                  <c:v>9.784587261881855</c:v>
                </c:pt>
                <c:pt idx="283">
                  <c:v>9.2099288050798513</c:v>
                </c:pt>
                <c:pt idx="284">
                  <c:v>10.781893400038483</c:v>
                </c:pt>
                <c:pt idx="285">
                  <c:v>10.908601116028477</c:v>
                </c:pt>
                <c:pt idx="286">
                  <c:v>10.494708485664804</c:v>
                </c:pt>
                <c:pt idx="287">
                  <c:v>10.696074658456801</c:v>
                </c:pt>
                <c:pt idx="288">
                  <c:v>10.59986530690783</c:v>
                </c:pt>
                <c:pt idx="289">
                  <c:v>10.095632095439676</c:v>
                </c:pt>
                <c:pt idx="290">
                  <c:v>9.4312103136424863</c:v>
                </c:pt>
                <c:pt idx="291">
                  <c:v>9.3364441023667482</c:v>
                </c:pt>
                <c:pt idx="292">
                  <c:v>9.1918414469886454</c:v>
                </c:pt>
                <c:pt idx="293">
                  <c:v>8.7994997113719453</c:v>
                </c:pt>
                <c:pt idx="294">
                  <c:v>9.1137194535308836</c:v>
                </c:pt>
                <c:pt idx="295">
                  <c:v>8.6537425437752553</c:v>
                </c:pt>
                <c:pt idx="296">
                  <c:v>9.1813546276698084</c:v>
                </c:pt>
                <c:pt idx="297">
                  <c:v>8.5158745430055802</c:v>
                </c:pt>
                <c:pt idx="298">
                  <c:v>8.1612468731960739</c:v>
                </c:pt>
                <c:pt idx="299">
                  <c:v>7.7096401770252063</c:v>
                </c:pt>
                <c:pt idx="300">
                  <c:v>7.2842024244756587</c:v>
                </c:pt>
                <c:pt idx="301">
                  <c:v>7.6084279391956899</c:v>
                </c:pt>
                <c:pt idx="302">
                  <c:v>7.5635943813738686</c:v>
                </c:pt>
                <c:pt idx="303">
                  <c:v>7.1266115066384454</c:v>
                </c:pt>
                <c:pt idx="304">
                  <c:v>7.2832403309601688</c:v>
                </c:pt>
                <c:pt idx="305">
                  <c:v>6.7853569366942459</c:v>
                </c:pt>
                <c:pt idx="306">
                  <c:v>6.6127573600153928</c:v>
                </c:pt>
                <c:pt idx="307">
                  <c:v>6.2727535116413309</c:v>
                </c:pt>
                <c:pt idx="308">
                  <c:v>6.156917452376371</c:v>
                </c:pt>
                <c:pt idx="309">
                  <c:v>6.4520877429286125</c:v>
                </c:pt>
                <c:pt idx="310">
                  <c:v>6.4375601308447177</c:v>
                </c:pt>
                <c:pt idx="311">
                  <c:v>6.2937271502790058</c:v>
                </c:pt>
                <c:pt idx="312">
                  <c:v>6.2103136424860494</c:v>
                </c:pt>
                <c:pt idx="313">
                  <c:v>6.1615355012507207</c:v>
                </c:pt>
                <c:pt idx="314">
                  <c:v>6.1191071772176251</c:v>
                </c:pt>
                <c:pt idx="315">
                  <c:v>5.9258225899557431</c:v>
                </c:pt>
                <c:pt idx="316">
                  <c:v>5.8242255147200304</c:v>
                </c:pt>
                <c:pt idx="317">
                  <c:v>5.5945737925726373</c:v>
                </c:pt>
                <c:pt idx="318">
                  <c:v>5.6225707138733876</c:v>
                </c:pt>
                <c:pt idx="319">
                  <c:v>5.4058110448335581</c:v>
                </c:pt>
                <c:pt idx="320">
                  <c:v>5.4075428131614389</c:v>
                </c:pt>
                <c:pt idx="321">
                  <c:v>5.2410044256301713</c:v>
                </c:pt>
                <c:pt idx="322">
                  <c:v>5.1318068116220887</c:v>
                </c:pt>
                <c:pt idx="323">
                  <c:v>4.9519915335770639</c:v>
                </c:pt>
                <c:pt idx="324">
                  <c:v>4.8172984414085045</c:v>
                </c:pt>
                <c:pt idx="325">
                  <c:v>4.6891475851452755</c:v>
                </c:pt>
                <c:pt idx="326">
                  <c:v>4.5258803155666731</c:v>
                </c:pt>
                <c:pt idx="327">
                  <c:v>4.4186068885895704</c:v>
                </c:pt>
                <c:pt idx="328">
                  <c:v>4.3649220704252452</c:v>
                </c:pt>
                <c:pt idx="329">
                  <c:v>4.544448720415625</c:v>
                </c:pt>
                <c:pt idx="330">
                  <c:v>4.4517029055224162</c:v>
                </c:pt>
                <c:pt idx="331">
                  <c:v>4.574658456802001</c:v>
                </c:pt>
                <c:pt idx="332">
                  <c:v>4.4088897440831252</c:v>
                </c:pt>
                <c:pt idx="333">
                  <c:v>4.2742928612661144</c:v>
                </c:pt>
                <c:pt idx="334">
                  <c:v>4.3919568982105064</c:v>
                </c:pt>
                <c:pt idx="335">
                  <c:v>4.3381758706946316</c:v>
                </c:pt>
                <c:pt idx="336">
                  <c:v>4.2887242639984606</c:v>
                </c:pt>
                <c:pt idx="337">
                  <c:v>4.49432364825861</c:v>
                </c:pt>
                <c:pt idx="338">
                  <c:v>4.6335385799499713</c:v>
                </c:pt>
                <c:pt idx="339">
                  <c:v>4.4876852030017318</c:v>
                </c:pt>
                <c:pt idx="340">
                  <c:v>4.4428516451799114</c:v>
                </c:pt>
                <c:pt idx="341">
                  <c:v>4.500962093515489</c:v>
                </c:pt>
                <c:pt idx="342">
                  <c:v>4.4153357706369052</c:v>
                </c:pt>
                <c:pt idx="343">
                  <c:v>4.4598807004040797</c:v>
                </c:pt>
                <c:pt idx="344">
                  <c:v>4.3114296709640172</c:v>
                </c:pt>
                <c:pt idx="345">
                  <c:v>4.3345199153357701</c:v>
                </c:pt>
                <c:pt idx="346">
                  <c:v>4.3312487973831058</c:v>
                </c:pt>
                <c:pt idx="347">
                  <c:v>4.2350394458341345</c:v>
                </c:pt>
                <c:pt idx="348">
                  <c:v>4.3454877814123529</c:v>
                </c:pt>
                <c:pt idx="349">
                  <c:v>4.2657302289782564</c:v>
                </c:pt>
                <c:pt idx="350">
                  <c:v>4.2214739272657296</c:v>
                </c:pt>
                <c:pt idx="351">
                  <c:v>4.1919376563401958</c:v>
                </c:pt>
                <c:pt idx="352">
                  <c:v>4.1499903790648451</c:v>
                </c:pt>
                <c:pt idx="353">
                  <c:v>4.0280931306522998</c:v>
                </c:pt>
                <c:pt idx="354">
                  <c:v>4.0196267077159895</c:v>
                </c:pt>
                <c:pt idx="355">
                  <c:v>3.983355782182028</c:v>
                </c:pt>
                <c:pt idx="356">
                  <c:v>4.0812969020588792</c:v>
                </c:pt>
                <c:pt idx="357">
                  <c:v>3.9266884741196839</c:v>
                </c:pt>
                <c:pt idx="358">
                  <c:v>3.9960554165864921</c:v>
                </c:pt>
                <c:pt idx="359">
                  <c:v>3.9922070425245328</c:v>
                </c:pt>
                <c:pt idx="360">
                  <c:v>3.8838753126803924</c:v>
                </c:pt>
                <c:pt idx="361">
                  <c:v>3.9705599384260148</c:v>
                </c:pt>
                <c:pt idx="362">
                  <c:v>3.932845872618818</c:v>
                </c:pt>
                <c:pt idx="363">
                  <c:v>4.0127958437560132</c:v>
                </c:pt>
                <c:pt idx="364">
                  <c:v>3.6099672888204735</c:v>
                </c:pt>
                <c:pt idx="365">
                  <c:v>3.7757360015393493</c:v>
                </c:pt>
                <c:pt idx="366">
                  <c:v>3.731575909178372</c:v>
                </c:pt>
                <c:pt idx="367">
                  <c:v>3.8044063883009427</c:v>
                </c:pt>
                <c:pt idx="368">
                  <c:v>3.731094862420627</c:v>
                </c:pt>
                <c:pt idx="369">
                  <c:v>3.5709062920915913</c:v>
                </c:pt>
                <c:pt idx="370">
                  <c:v>3.7505291514335188</c:v>
                </c:pt>
                <c:pt idx="371">
                  <c:v>3.6111218010390607</c:v>
                </c:pt>
                <c:pt idx="372">
                  <c:v>3.6099672888204735</c:v>
                </c:pt>
                <c:pt idx="373">
                  <c:v>3.5315566673080618</c:v>
                </c:pt>
                <c:pt idx="374">
                  <c:v>3.3089282278237442</c:v>
                </c:pt>
                <c:pt idx="375">
                  <c:v>3.1770252068501059</c:v>
                </c:pt>
                <c:pt idx="376">
                  <c:v>3.1000577256109292</c:v>
                </c:pt>
                <c:pt idx="377">
                  <c:v>2.924764287088705</c:v>
                </c:pt>
                <c:pt idx="378">
                  <c:v>2.944487204156244</c:v>
                </c:pt>
                <c:pt idx="379">
                  <c:v>3.1033288435635944</c:v>
                </c:pt>
                <c:pt idx="380">
                  <c:v>3.4264960554165858</c:v>
                </c:pt>
                <c:pt idx="381">
                  <c:v>3.4444872041562435</c:v>
                </c:pt>
                <c:pt idx="382">
                  <c:v>3.4753704060034636</c:v>
                </c:pt>
                <c:pt idx="383">
                  <c:v>3.182605349239946</c:v>
                </c:pt>
                <c:pt idx="384">
                  <c:v>3.2705406965557051</c:v>
                </c:pt>
                <c:pt idx="385">
                  <c:v>3.1930921685587834</c:v>
                </c:pt>
                <c:pt idx="386">
                  <c:v>3.1660573407735226</c:v>
                </c:pt>
                <c:pt idx="387">
                  <c:v>3.4000384837406195</c:v>
                </c:pt>
                <c:pt idx="388">
                  <c:v>3.3287473542428323</c:v>
                </c:pt>
                <c:pt idx="389">
                  <c:v>3.2745814893207621</c:v>
                </c:pt>
                <c:pt idx="390">
                  <c:v>3.3591495093323069</c:v>
                </c:pt>
                <c:pt idx="391">
                  <c:v>3.3812776601885699</c:v>
                </c:pt>
                <c:pt idx="392">
                  <c:v>3.3296132384067727</c:v>
                </c:pt>
                <c:pt idx="393">
                  <c:v>3.0592649605541657</c:v>
                </c:pt>
                <c:pt idx="394">
                  <c:v>3.083702135847604</c:v>
                </c:pt>
                <c:pt idx="395">
                  <c:v>2.9790263613623238</c:v>
                </c:pt>
                <c:pt idx="396">
                  <c:v>2.8369251491244949</c:v>
                </c:pt>
                <c:pt idx="397">
                  <c:v>2.7791033288435636</c:v>
                </c:pt>
                <c:pt idx="398">
                  <c:v>2.8619395805272272</c:v>
                </c:pt>
                <c:pt idx="399">
                  <c:v>2.6719261112180104</c:v>
                </c:pt>
                <c:pt idx="400">
                  <c:v>2.6332499518953241</c:v>
                </c:pt>
                <c:pt idx="401">
                  <c:v>2.6839522801616318</c:v>
                </c:pt>
                <c:pt idx="402">
                  <c:v>2.6160284779680585</c:v>
                </c:pt>
                <c:pt idx="403">
                  <c:v>2.5160669617086775</c:v>
                </c:pt>
                <c:pt idx="404">
                  <c:v>2.6170867808350966</c:v>
                </c:pt>
                <c:pt idx="405">
                  <c:v>2.6313257648643447</c:v>
                </c:pt>
                <c:pt idx="406">
                  <c:v>2.522224360207812</c:v>
                </c:pt>
                <c:pt idx="407">
                  <c:v>2.5142389840292476</c:v>
                </c:pt>
                <c:pt idx="408">
                  <c:v>2.4907639022512984</c:v>
                </c:pt>
                <c:pt idx="409">
                  <c:v>2.576678853184529</c:v>
                </c:pt>
                <c:pt idx="410">
                  <c:v>2.473253800269386</c:v>
                </c:pt>
                <c:pt idx="411">
                  <c:v>2.3771406580719643</c:v>
                </c:pt>
                <c:pt idx="412">
                  <c:v>2.2157013661727918</c:v>
                </c:pt>
                <c:pt idx="413">
                  <c:v>2.4224552626515297</c:v>
                </c:pt>
                <c:pt idx="414">
                  <c:v>3.096305560900519</c:v>
                </c:pt>
                <c:pt idx="415">
                  <c:v>3.1729844140850489</c:v>
                </c:pt>
                <c:pt idx="416">
                  <c:v>3.0658071964594962</c:v>
                </c:pt>
                <c:pt idx="417">
                  <c:v>2.924764287088705</c:v>
                </c:pt>
                <c:pt idx="418">
                  <c:v>2.7910332884356359</c:v>
                </c:pt>
                <c:pt idx="419">
                  <c:v>2.7742928612661149</c:v>
                </c:pt>
                <c:pt idx="420">
                  <c:v>2.8064267846834707</c:v>
                </c:pt>
                <c:pt idx="421">
                  <c:v>2.7342697710217432</c:v>
                </c:pt>
                <c:pt idx="422">
                  <c:v>2.6369059072541847</c:v>
                </c:pt>
                <c:pt idx="423">
                  <c:v>2.3299018664614199</c:v>
                </c:pt>
                <c:pt idx="424">
                  <c:v>2.3977294593034442</c:v>
                </c:pt>
                <c:pt idx="425">
                  <c:v>2.3473157590917832</c:v>
                </c:pt>
                <c:pt idx="426">
                  <c:v>2.2255147200307865</c:v>
                </c:pt>
                <c:pt idx="427">
                  <c:v>2.4334231287281121</c:v>
                </c:pt>
                <c:pt idx="428">
                  <c:v>2.2716952087742928</c:v>
                </c:pt>
                <c:pt idx="429">
                  <c:v>2.4133153742543776</c:v>
                </c:pt>
                <c:pt idx="430">
                  <c:v>2.3797383105637864</c:v>
                </c:pt>
                <c:pt idx="431">
                  <c:v>2.2659226476813545</c:v>
                </c:pt>
                <c:pt idx="432">
                  <c:v>2.2984414085049067</c:v>
                </c:pt>
                <c:pt idx="433">
                  <c:v>2.1831826053492396</c:v>
                </c:pt>
                <c:pt idx="434">
                  <c:v>2.0375216471040982</c:v>
                </c:pt>
                <c:pt idx="435">
                  <c:v>2.0327111795266499</c:v>
                </c:pt>
                <c:pt idx="436">
                  <c:v>1.9450644602655376</c:v>
                </c:pt>
                <c:pt idx="437">
                  <c:v>1.8262459111025591</c:v>
                </c:pt>
                <c:pt idx="438">
                  <c:v>1.7517798730036558</c:v>
                </c:pt>
                <c:pt idx="439">
                  <c:v>1.8147969982682315</c:v>
                </c:pt>
                <c:pt idx="440">
                  <c:v>1.8368289397729458</c:v>
                </c:pt>
                <c:pt idx="441">
                  <c:v>1.8457764094669999</c:v>
                </c:pt>
                <c:pt idx="442">
                  <c:v>1.823648258610737</c:v>
                </c:pt>
                <c:pt idx="443">
                  <c:v>1.7301327689051378</c:v>
                </c:pt>
                <c:pt idx="444">
                  <c:v>1.738118145083702</c:v>
                </c:pt>
                <c:pt idx="445">
                  <c:v>1.7431210313642487</c:v>
                </c:pt>
                <c:pt idx="446">
                  <c:v>1.7282085818741582</c:v>
                </c:pt>
                <c:pt idx="447">
                  <c:v>1.6090051953049835</c:v>
                </c:pt>
                <c:pt idx="448">
                  <c:v>1.5737925726380604</c:v>
                </c:pt>
                <c:pt idx="449">
                  <c:v>1.5979411198768521</c:v>
                </c:pt>
                <c:pt idx="450">
                  <c:v>1.5980373292284009</c:v>
                </c:pt>
                <c:pt idx="451">
                  <c:v>1.6036174716182412</c:v>
                </c:pt>
                <c:pt idx="452">
                  <c:v>1.4494900904367902</c:v>
                </c:pt>
                <c:pt idx="453">
                  <c:v>1.473734847027131</c:v>
                </c:pt>
                <c:pt idx="454">
                  <c:v>1.4484317875697519</c:v>
                </c:pt>
                <c:pt idx="455">
                  <c:v>1.539830671541274</c:v>
                </c:pt>
                <c:pt idx="456">
                  <c:v>1.5314604579565132</c:v>
                </c:pt>
                <c:pt idx="457">
                  <c:v>1.5110640754281315</c:v>
                </c:pt>
                <c:pt idx="458">
                  <c:v>1.5721570136617278</c:v>
                </c:pt>
                <c:pt idx="459">
                  <c:v>1.5867808350971715</c:v>
                </c:pt>
                <c:pt idx="460">
                  <c:v>1.60092360977487</c:v>
                </c:pt>
                <c:pt idx="461">
                  <c:v>1.5735039445834136</c:v>
                </c:pt>
                <c:pt idx="462">
                  <c:v>1.5977487011737539</c:v>
                </c:pt>
                <c:pt idx="463">
                  <c:v>1.581681739465076</c:v>
                </c:pt>
                <c:pt idx="464">
                  <c:v>1.5639792187800654</c:v>
                </c:pt>
                <c:pt idx="465">
                  <c:v>1.6128535693669421</c:v>
                </c:pt>
                <c:pt idx="466">
                  <c:v>1.5623436598037326</c:v>
                </c:pt>
                <c:pt idx="467">
                  <c:v>1.5819703675197228</c:v>
                </c:pt>
                <c:pt idx="468">
                  <c:v>1.4716182412930536</c:v>
                </c:pt>
                <c:pt idx="469">
                  <c:v>1.4244756590340579</c:v>
                </c:pt>
                <c:pt idx="470">
                  <c:v>1.3979218780065423</c:v>
                </c:pt>
                <c:pt idx="471">
                  <c:v>1.3530883201847217</c:v>
                </c:pt>
                <c:pt idx="472">
                  <c:v>1.3327881470078891</c:v>
                </c:pt>
                <c:pt idx="473">
                  <c:v>1.2865114489128342</c:v>
                </c:pt>
                <c:pt idx="474">
                  <c:v>1.1585530113527034</c:v>
                </c:pt>
                <c:pt idx="475">
                  <c:v>1.1497979603617472</c:v>
                </c:pt>
                <c:pt idx="476">
                  <c:v>1.0303059457379256</c:v>
                </c:pt>
                <c:pt idx="477">
                  <c:v>1.0545507023282661</c:v>
                </c:pt>
                <c:pt idx="478">
                  <c:v>1.0763902251298825</c:v>
                </c:pt>
                <c:pt idx="479">
                  <c:v>1.1202616894362132</c:v>
                </c:pt>
                <c:pt idx="480">
                  <c:v>1.0771598999422742</c:v>
                </c:pt>
                <c:pt idx="481">
                  <c:v>1.0882239753704059</c:v>
                </c:pt>
                <c:pt idx="482">
                  <c:v>1.1583605926496054</c:v>
                </c:pt>
                <c:pt idx="483">
                  <c:v>1.179045603232634</c:v>
                </c:pt>
                <c:pt idx="484">
                  <c:v>1.2156051568212429</c:v>
                </c:pt>
                <c:pt idx="485">
                  <c:v>1.1726957860304021</c:v>
                </c:pt>
                <c:pt idx="486">
                  <c:v>1.11776024629594</c:v>
                </c:pt>
                <c:pt idx="487">
                  <c:v>1.1813546276698095</c:v>
                </c:pt>
                <c:pt idx="488">
                  <c:v>1.2595728304791223</c:v>
                </c:pt>
                <c:pt idx="489">
                  <c:v>1.2623629016740427</c:v>
                </c:pt>
                <c:pt idx="490">
                  <c:v>1.2756397921878004</c:v>
                </c:pt>
                <c:pt idx="491">
                  <c:v>1.277756397921878</c:v>
                </c:pt>
                <c:pt idx="492">
                  <c:v>1.3084471810659994</c:v>
                </c:pt>
                <c:pt idx="493">
                  <c:v>1.2629401577833366</c:v>
                </c:pt>
                <c:pt idx="494">
                  <c:v>1.2463921493169134</c:v>
                </c:pt>
                <c:pt idx="495">
                  <c:v>1.3061381566288242</c:v>
                </c:pt>
                <c:pt idx="496">
                  <c:v>1.3519338079661343</c:v>
                </c:pt>
                <c:pt idx="497">
                  <c:v>1.2263806041947276</c:v>
                </c:pt>
                <c:pt idx="498">
                  <c:v>1.2070425245333847</c:v>
                </c:pt>
                <c:pt idx="499">
                  <c:v>1.1774100442563016</c:v>
                </c:pt>
                <c:pt idx="500">
                  <c:v>1.1705791802963248</c:v>
                </c:pt>
                <c:pt idx="501">
                  <c:v>1.0990956320954397</c:v>
                </c:pt>
                <c:pt idx="502">
                  <c:v>1.0702328266307484</c:v>
                </c:pt>
                <c:pt idx="503">
                  <c:v>1.0226091976140079</c:v>
                </c:pt>
                <c:pt idx="504">
                  <c:v>0.98220126996344037</c:v>
                </c:pt>
                <c:pt idx="505">
                  <c:v>1.0935154897055992</c:v>
                </c:pt>
                <c:pt idx="506">
                  <c:v>1.0983259572830479</c:v>
                </c:pt>
                <c:pt idx="507">
                  <c:v>1.0384837406195881</c:v>
                </c:pt>
                <c:pt idx="508">
                  <c:v>1.0213584760438714</c:v>
                </c:pt>
                <c:pt idx="509">
                  <c:v>0.97960361747161817</c:v>
                </c:pt>
                <c:pt idx="510">
                  <c:v>1.0517606311333461</c:v>
                </c:pt>
                <c:pt idx="511">
                  <c:v>1.0517606311333461</c:v>
                </c:pt>
                <c:pt idx="512">
                  <c:v>0.99874927842986339</c:v>
                </c:pt>
                <c:pt idx="513">
                  <c:v>0.99009043679045583</c:v>
                </c:pt>
                <c:pt idx="514">
                  <c:v>0.95324225514720029</c:v>
                </c:pt>
                <c:pt idx="515">
                  <c:v>0.97902636136232446</c:v>
                </c:pt>
                <c:pt idx="516">
                  <c:v>0.97739080238599185</c:v>
                </c:pt>
                <c:pt idx="517">
                  <c:v>0.92630363671348859</c:v>
                </c:pt>
                <c:pt idx="518">
                  <c:v>0.96142005002886277</c:v>
                </c:pt>
                <c:pt idx="519">
                  <c:v>0.92466807773715598</c:v>
                </c:pt>
                <c:pt idx="520">
                  <c:v>0.91110255916875127</c:v>
                </c:pt>
                <c:pt idx="521">
                  <c:v>0.89619010967866075</c:v>
                </c:pt>
                <c:pt idx="522">
                  <c:v>0.98653069078314415</c:v>
                </c:pt>
                <c:pt idx="523">
                  <c:v>0.99374639214931682</c:v>
                </c:pt>
                <c:pt idx="524">
                  <c:v>0.96863575139503566</c:v>
                </c:pt>
                <c:pt idx="525">
                  <c:v>0.9190879353473157</c:v>
                </c:pt>
                <c:pt idx="526">
                  <c:v>0.93553973446218963</c:v>
                </c:pt>
                <c:pt idx="527">
                  <c:v>0.93159515104868185</c:v>
                </c:pt>
                <c:pt idx="528">
                  <c:v>0.85828362516836632</c:v>
                </c:pt>
                <c:pt idx="529">
                  <c:v>0.83740619588223975</c:v>
                </c:pt>
                <c:pt idx="530">
                  <c:v>0.8586684625745622</c:v>
                </c:pt>
                <c:pt idx="531">
                  <c:v>0.91495093323070997</c:v>
                </c:pt>
                <c:pt idx="532">
                  <c:v>0.91235328073888777</c:v>
                </c:pt>
                <c:pt idx="533">
                  <c:v>0.88839715220319404</c:v>
                </c:pt>
                <c:pt idx="534">
                  <c:v>0.92870887050221274</c:v>
                </c:pt>
                <c:pt idx="535">
                  <c:v>0.93101789493938802</c:v>
                </c:pt>
                <c:pt idx="536">
                  <c:v>0.95102944006157386</c:v>
                </c:pt>
                <c:pt idx="537">
                  <c:v>0.96671156436405614</c:v>
                </c:pt>
                <c:pt idx="538">
                  <c:v>0.92476428708870506</c:v>
                </c:pt>
                <c:pt idx="539">
                  <c:v>0.94708485664806619</c:v>
                </c:pt>
                <c:pt idx="540">
                  <c:v>0.94689243794496825</c:v>
                </c:pt>
                <c:pt idx="541">
                  <c:v>0.96036174716182399</c:v>
                </c:pt>
                <c:pt idx="542">
                  <c:v>0.98162401385414655</c:v>
                </c:pt>
                <c:pt idx="543">
                  <c:v>1.0338656917452376</c:v>
                </c:pt>
                <c:pt idx="544">
                  <c:v>0.98229747931498923</c:v>
                </c:pt>
                <c:pt idx="545">
                  <c:v>0.98999422743890708</c:v>
                </c:pt>
                <c:pt idx="546">
                  <c:v>1.0125072157013661</c:v>
                </c:pt>
                <c:pt idx="547">
                  <c:v>0.99009043679045583</c:v>
                </c:pt>
                <c:pt idx="548">
                  <c:v>0.99518953242255137</c:v>
                </c:pt>
                <c:pt idx="549">
                  <c:v>1.003271117952665</c:v>
                </c:pt>
                <c:pt idx="550">
                  <c:v>0.96382528381758714</c:v>
                </c:pt>
                <c:pt idx="551">
                  <c:v>0.9778718491437367</c:v>
                </c:pt>
                <c:pt idx="552">
                  <c:v>0.98874350586877036</c:v>
                </c:pt>
                <c:pt idx="553">
                  <c:v>0.95930344429478531</c:v>
                </c:pt>
                <c:pt idx="554">
                  <c:v>0.97036751972291702</c:v>
                </c:pt>
                <c:pt idx="555">
                  <c:v>0.86771214162016541</c:v>
                </c:pt>
                <c:pt idx="556">
                  <c:v>0.87781412353280719</c:v>
                </c:pt>
                <c:pt idx="557">
                  <c:v>0.85664806619203382</c:v>
                </c:pt>
                <c:pt idx="558">
                  <c:v>0.80690783144121614</c:v>
                </c:pt>
                <c:pt idx="559">
                  <c:v>0.83586684625745611</c:v>
                </c:pt>
                <c:pt idx="560">
                  <c:v>0.85385799499711368</c:v>
                </c:pt>
                <c:pt idx="561">
                  <c:v>0.91581681739465071</c:v>
                </c:pt>
                <c:pt idx="562">
                  <c:v>0.87694823936886668</c:v>
                </c:pt>
                <c:pt idx="563">
                  <c:v>0.83990763902251286</c:v>
                </c:pt>
                <c:pt idx="564">
                  <c:v>0.80200115451221854</c:v>
                </c:pt>
                <c:pt idx="565">
                  <c:v>0.78497209928805078</c:v>
                </c:pt>
                <c:pt idx="566">
                  <c:v>0.74061958822397544</c:v>
                </c:pt>
                <c:pt idx="567">
                  <c:v>0.65961131421974206</c:v>
                </c:pt>
                <c:pt idx="568">
                  <c:v>0.67317683278814699</c:v>
                </c:pt>
                <c:pt idx="569">
                  <c:v>0.71098710794689246</c:v>
                </c:pt>
                <c:pt idx="570">
                  <c:v>0.61131421974215894</c:v>
                </c:pt>
                <c:pt idx="571">
                  <c:v>0.69415047142582265</c:v>
                </c:pt>
                <c:pt idx="572">
                  <c:v>0.76303636713488543</c:v>
                </c:pt>
                <c:pt idx="573">
                  <c:v>0.82740042332114672</c:v>
                </c:pt>
                <c:pt idx="574">
                  <c:v>0.83971522031941503</c:v>
                </c:pt>
                <c:pt idx="575">
                  <c:v>0.86886665383875306</c:v>
                </c:pt>
                <c:pt idx="576">
                  <c:v>0.9041754858572254</c:v>
                </c:pt>
                <c:pt idx="577">
                  <c:v>0.92572638060419465</c:v>
                </c:pt>
                <c:pt idx="578">
                  <c:v>0.92909370790840851</c:v>
                </c:pt>
                <c:pt idx="579">
                  <c:v>0.93852222436020771</c:v>
                </c:pt>
                <c:pt idx="580">
                  <c:v>0.92322493746392142</c:v>
                </c:pt>
                <c:pt idx="581">
                  <c:v>1.041851067923802</c:v>
                </c:pt>
                <c:pt idx="582">
                  <c:v>1.0431979988454878</c:v>
                </c:pt>
                <c:pt idx="583">
                  <c:v>1.002982489898018</c:v>
                </c:pt>
                <c:pt idx="584">
                  <c:v>1.0411776024629593</c:v>
                </c:pt>
                <c:pt idx="585">
                  <c:v>1.0030786992495671</c:v>
                </c:pt>
                <c:pt idx="586">
                  <c:v>1.0097171445064461</c:v>
                </c:pt>
                <c:pt idx="587">
                  <c:v>1.0291514335193379</c:v>
                </c:pt>
                <c:pt idx="588">
                  <c:v>1.0729266884741195</c:v>
                </c:pt>
                <c:pt idx="589">
                  <c:v>1.0744660380989033</c:v>
                </c:pt>
                <c:pt idx="590">
                  <c:v>1.1163171060227053</c:v>
                </c:pt>
                <c:pt idx="591">
                  <c:v>1.1357513950355975</c:v>
                </c:pt>
                <c:pt idx="592">
                  <c:v>1.1224745045218394</c:v>
                </c:pt>
                <c:pt idx="593">
                  <c:v>1.0735039445834134</c:v>
                </c:pt>
                <c:pt idx="594">
                  <c:v>1.0635943813738695</c:v>
                </c:pt>
                <c:pt idx="595">
                  <c:v>1.0687896863575139</c:v>
                </c:pt>
                <c:pt idx="596">
                  <c:v>1.0331922262843949</c:v>
                </c:pt>
                <c:pt idx="597">
                  <c:v>1.0307869924956705</c:v>
                </c:pt>
                <c:pt idx="598">
                  <c:v>1.0537810275158743</c:v>
                </c:pt>
                <c:pt idx="599">
                  <c:v>1.0358860881277661</c:v>
                </c:pt>
                <c:pt idx="600">
                  <c:v>1.0313642486049646</c:v>
                </c:pt>
                <c:pt idx="601">
                  <c:v>1.0253030594573791</c:v>
                </c:pt>
                <c:pt idx="602">
                  <c:v>1</c:v>
                </c:pt>
              </c:numCache>
            </c:numRef>
          </c:val>
          <c:smooth val="0"/>
          <c:extLst>
            <c:ext xmlns:c16="http://schemas.microsoft.com/office/drawing/2014/chart" uri="{C3380CC4-5D6E-409C-BE32-E72D297353CC}">
              <c16:uniqueId val="{00000000-6D0E-41D0-BED4-3A51563F7F9B}"/>
            </c:ext>
          </c:extLst>
        </c:ser>
        <c:ser>
          <c:idx val="1"/>
          <c:order val="1"/>
          <c:tx>
            <c:strRef>
              <c:f>GOTH!$C$1</c:f>
              <c:strCache>
                <c:ptCount val="1"/>
                <c:pt idx="0">
                  <c:v>NAREIT</c:v>
                </c:pt>
              </c:strCache>
            </c:strRef>
          </c:tx>
          <c:spPr>
            <a:ln w="28575" cap="rnd">
              <a:solidFill>
                <a:schemeClr val="accent2"/>
              </a:solidFill>
              <a:round/>
            </a:ln>
            <a:effectLst/>
          </c:spPr>
          <c:marker>
            <c:symbol val="none"/>
          </c:marker>
          <c:cat>
            <c:numRef>
              <c:f>GOTH!$A$2:$A$604</c:f>
              <c:numCache>
                <c:formatCode>m/d/yyyy</c:formatCode>
                <c:ptCount val="603"/>
                <c:pt idx="0">
                  <c:v>44593</c:v>
                </c:pt>
                <c:pt idx="1">
                  <c:v>44562</c:v>
                </c:pt>
                <c:pt idx="2">
                  <c:v>44531</c:v>
                </c:pt>
                <c:pt idx="3">
                  <c:v>44501</c:v>
                </c:pt>
                <c:pt idx="4">
                  <c:v>44470</c:v>
                </c:pt>
                <c:pt idx="5">
                  <c:v>44440</c:v>
                </c:pt>
                <c:pt idx="6">
                  <c:v>44409</c:v>
                </c:pt>
                <c:pt idx="7">
                  <c:v>44378</c:v>
                </c:pt>
                <c:pt idx="8">
                  <c:v>44348</c:v>
                </c:pt>
                <c:pt idx="9">
                  <c:v>44317</c:v>
                </c:pt>
                <c:pt idx="10">
                  <c:v>44287</c:v>
                </c:pt>
                <c:pt idx="11">
                  <c:v>44256</c:v>
                </c:pt>
                <c:pt idx="12">
                  <c:v>44228</c:v>
                </c:pt>
                <c:pt idx="13">
                  <c:v>44197</c:v>
                </c:pt>
                <c:pt idx="14">
                  <c:v>44166</c:v>
                </c:pt>
                <c:pt idx="15">
                  <c:v>44136</c:v>
                </c:pt>
                <c:pt idx="16">
                  <c:v>44105</c:v>
                </c:pt>
                <c:pt idx="17">
                  <c:v>44075</c:v>
                </c:pt>
                <c:pt idx="18">
                  <c:v>44044</c:v>
                </c:pt>
                <c:pt idx="19">
                  <c:v>44013</c:v>
                </c:pt>
                <c:pt idx="20">
                  <c:v>43983</c:v>
                </c:pt>
                <c:pt idx="21">
                  <c:v>43952</c:v>
                </c:pt>
                <c:pt idx="22">
                  <c:v>43922</c:v>
                </c:pt>
                <c:pt idx="23">
                  <c:v>43891</c:v>
                </c:pt>
                <c:pt idx="24">
                  <c:v>43862</c:v>
                </c:pt>
                <c:pt idx="25">
                  <c:v>43831</c:v>
                </c:pt>
                <c:pt idx="26">
                  <c:v>43800</c:v>
                </c:pt>
                <c:pt idx="27">
                  <c:v>43770</c:v>
                </c:pt>
                <c:pt idx="28">
                  <c:v>43739</c:v>
                </c:pt>
                <c:pt idx="29">
                  <c:v>43709</c:v>
                </c:pt>
                <c:pt idx="30">
                  <c:v>43678</c:v>
                </c:pt>
                <c:pt idx="31">
                  <c:v>43647</c:v>
                </c:pt>
                <c:pt idx="32">
                  <c:v>43617</c:v>
                </c:pt>
                <c:pt idx="33">
                  <c:v>43586</c:v>
                </c:pt>
                <c:pt idx="34">
                  <c:v>43556</c:v>
                </c:pt>
                <c:pt idx="35">
                  <c:v>43525</c:v>
                </c:pt>
                <c:pt idx="36">
                  <c:v>43497</c:v>
                </c:pt>
                <c:pt idx="37">
                  <c:v>43466</c:v>
                </c:pt>
                <c:pt idx="38">
                  <c:v>43435</c:v>
                </c:pt>
                <c:pt idx="39">
                  <c:v>43405</c:v>
                </c:pt>
                <c:pt idx="40">
                  <c:v>43374</c:v>
                </c:pt>
                <c:pt idx="41">
                  <c:v>43344</c:v>
                </c:pt>
                <c:pt idx="42">
                  <c:v>43313</c:v>
                </c:pt>
                <c:pt idx="43">
                  <c:v>43282</c:v>
                </c:pt>
                <c:pt idx="44">
                  <c:v>43252</c:v>
                </c:pt>
                <c:pt idx="45">
                  <c:v>43221</c:v>
                </c:pt>
                <c:pt idx="46">
                  <c:v>43191</c:v>
                </c:pt>
                <c:pt idx="47">
                  <c:v>43160</c:v>
                </c:pt>
                <c:pt idx="48">
                  <c:v>43132</c:v>
                </c:pt>
                <c:pt idx="49">
                  <c:v>43101</c:v>
                </c:pt>
                <c:pt idx="50">
                  <c:v>43070</c:v>
                </c:pt>
                <c:pt idx="51">
                  <c:v>43040</c:v>
                </c:pt>
                <c:pt idx="52">
                  <c:v>43009</c:v>
                </c:pt>
                <c:pt idx="53">
                  <c:v>42979</c:v>
                </c:pt>
                <c:pt idx="54">
                  <c:v>42948</c:v>
                </c:pt>
                <c:pt idx="55">
                  <c:v>42917</c:v>
                </c:pt>
                <c:pt idx="56">
                  <c:v>42887</c:v>
                </c:pt>
                <c:pt idx="57">
                  <c:v>42856</c:v>
                </c:pt>
                <c:pt idx="58">
                  <c:v>42826</c:v>
                </c:pt>
                <c:pt idx="59">
                  <c:v>42795</c:v>
                </c:pt>
                <c:pt idx="60">
                  <c:v>42767</c:v>
                </c:pt>
                <c:pt idx="61">
                  <c:v>42736</c:v>
                </c:pt>
                <c:pt idx="62">
                  <c:v>42705</c:v>
                </c:pt>
                <c:pt idx="63">
                  <c:v>42675</c:v>
                </c:pt>
                <c:pt idx="64">
                  <c:v>42644</c:v>
                </c:pt>
                <c:pt idx="65">
                  <c:v>42614</c:v>
                </c:pt>
                <c:pt idx="66">
                  <c:v>42583</c:v>
                </c:pt>
                <c:pt idx="67">
                  <c:v>42552</c:v>
                </c:pt>
                <c:pt idx="68">
                  <c:v>42522</c:v>
                </c:pt>
                <c:pt idx="69">
                  <c:v>42491</c:v>
                </c:pt>
                <c:pt idx="70">
                  <c:v>42461</c:v>
                </c:pt>
                <c:pt idx="71">
                  <c:v>42430</c:v>
                </c:pt>
                <c:pt idx="72">
                  <c:v>42401</c:v>
                </c:pt>
                <c:pt idx="73">
                  <c:v>42370</c:v>
                </c:pt>
                <c:pt idx="74">
                  <c:v>42339</c:v>
                </c:pt>
                <c:pt idx="75">
                  <c:v>42309</c:v>
                </c:pt>
                <c:pt idx="76">
                  <c:v>42278</c:v>
                </c:pt>
                <c:pt idx="77">
                  <c:v>42248</c:v>
                </c:pt>
                <c:pt idx="78">
                  <c:v>42217</c:v>
                </c:pt>
                <c:pt idx="79">
                  <c:v>42186</c:v>
                </c:pt>
                <c:pt idx="80">
                  <c:v>42156</c:v>
                </c:pt>
                <c:pt idx="81">
                  <c:v>42125</c:v>
                </c:pt>
                <c:pt idx="82">
                  <c:v>42095</c:v>
                </c:pt>
                <c:pt idx="83">
                  <c:v>42064</c:v>
                </c:pt>
                <c:pt idx="84">
                  <c:v>42036</c:v>
                </c:pt>
                <c:pt idx="85">
                  <c:v>42005</c:v>
                </c:pt>
                <c:pt idx="86">
                  <c:v>41974</c:v>
                </c:pt>
                <c:pt idx="87">
                  <c:v>41944</c:v>
                </c:pt>
                <c:pt idx="88">
                  <c:v>41913</c:v>
                </c:pt>
                <c:pt idx="89">
                  <c:v>41883</c:v>
                </c:pt>
                <c:pt idx="90">
                  <c:v>41852</c:v>
                </c:pt>
                <c:pt idx="91">
                  <c:v>41821</c:v>
                </c:pt>
                <c:pt idx="92">
                  <c:v>41791</c:v>
                </c:pt>
                <c:pt idx="93">
                  <c:v>41760</c:v>
                </c:pt>
                <c:pt idx="94">
                  <c:v>41730</c:v>
                </c:pt>
                <c:pt idx="95">
                  <c:v>41699</c:v>
                </c:pt>
                <c:pt idx="96">
                  <c:v>41671</c:v>
                </c:pt>
                <c:pt idx="97">
                  <c:v>41640</c:v>
                </c:pt>
                <c:pt idx="98">
                  <c:v>41609</c:v>
                </c:pt>
                <c:pt idx="99">
                  <c:v>41579</c:v>
                </c:pt>
                <c:pt idx="100">
                  <c:v>41548</c:v>
                </c:pt>
                <c:pt idx="101">
                  <c:v>41518</c:v>
                </c:pt>
                <c:pt idx="102">
                  <c:v>41487</c:v>
                </c:pt>
                <c:pt idx="103">
                  <c:v>41456</c:v>
                </c:pt>
                <c:pt idx="104">
                  <c:v>41426</c:v>
                </c:pt>
                <c:pt idx="105">
                  <c:v>41395</c:v>
                </c:pt>
                <c:pt idx="106">
                  <c:v>41365</c:v>
                </c:pt>
                <c:pt idx="107">
                  <c:v>41334</c:v>
                </c:pt>
                <c:pt idx="108">
                  <c:v>41306</c:v>
                </c:pt>
                <c:pt idx="109">
                  <c:v>41275</c:v>
                </c:pt>
                <c:pt idx="110">
                  <c:v>41244</c:v>
                </c:pt>
                <c:pt idx="111">
                  <c:v>41214</c:v>
                </c:pt>
                <c:pt idx="112">
                  <c:v>41183</c:v>
                </c:pt>
                <c:pt idx="113">
                  <c:v>41153</c:v>
                </c:pt>
                <c:pt idx="114">
                  <c:v>41122</c:v>
                </c:pt>
                <c:pt idx="115">
                  <c:v>41091</c:v>
                </c:pt>
                <c:pt idx="116">
                  <c:v>41061</c:v>
                </c:pt>
                <c:pt idx="117">
                  <c:v>41030</c:v>
                </c:pt>
                <c:pt idx="118">
                  <c:v>41000</c:v>
                </c:pt>
                <c:pt idx="119">
                  <c:v>40969</c:v>
                </c:pt>
                <c:pt idx="120">
                  <c:v>40940</c:v>
                </c:pt>
                <c:pt idx="121">
                  <c:v>40909</c:v>
                </c:pt>
                <c:pt idx="122">
                  <c:v>40878</c:v>
                </c:pt>
                <c:pt idx="123">
                  <c:v>40848</c:v>
                </c:pt>
                <c:pt idx="124">
                  <c:v>40817</c:v>
                </c:pt>
                <c:pt idx="125">
                  <c:v>40787</c:v>
                </c:pt>
                <c:pt idx="126">
                  <c:v>40756</c:v>
                </c:pt>
                <c:pt idx="127">
                  <c:v>40725</c:v>
                </c:pt>
                <c:pt idx="128">
                  <c:v>40695</c:v>
                </c:pt>
                <c:pt idx="129">
                  <c:v>40664</c:v>
                </c:pt>
                <c:pt idx="130">
                  <c:v>40634</c:v>
                </c:pt>
                <c:pt idx="131">
                  <c:v>40603</c:v>
                </c:pt>
                <c:pt idx="132">
                  <c:v>40575</c:v>
                </c:pt>
                <c:pt idx="133">
                  <c:v>40544</c:v>
                </c:pt>
                <c:pt idx="134">
                  <c:v>40513</c:v>
                </c:pt>
                <c:pt idx="135">
                  <c:v>40483</c:v>
                </c:pt>
                <c:pt idx="136">
                  <c:v>40452</c:v>
                </c:pt>
                <c:pt idx="137">
                  <c:v>40422</c:v>
                </c:pt>
                <c:pt idx="138">
                  <c:v>40391</c:v>
                </c:pt>
                <c:pt idx="139">
                  <c:v>40360</c:v>
                </c:pt>
                <c:pt idx="140">
                  <c:v>40330</c:v>
                </c:pt>
                <c:pt idx="141">
                  <c:v>40299</c:v>
                </c:pt>
                <c:pt idx="142">
                  <c:v>40269</c:v>
                </c:pt>
                <c:pt idx="143">
                  <c:v>40238</c:v>
                </c:pt>
                <c:pt idx="144">
                  <c:v>40210</c:v>
                </c:pt>
                <c:pt idx="145">
                  <c:v>40179</c:v>
                </c:pt>
                <c:pt idx="146">
                  <c:v>40148</c:v>
                </c:pt>
                <c:pt idx="147">
                  <c:v>40118</c:v>
                </c:pt>
                <c:pt idx="148">
                  <c:v>40087</c:v>
                </c:pt>
                <c:pt idx="149">
                  <c:v>40057</c:v>
                </c:pt>
                <c:pt idx="150">
                  <c:v>40026</c:v>
                </c:pt>
                <c:pt idx="151">
                  <c:v>39995</c:v>
                </c:pt>
                <c:pt idx="152">
                  <c:v>39965</c:v>
                </c:pt>
                <c:pt idx="153">
                  <c:v>39934</c:v>
                </c:pt>
                <c:pt idx="154">
                  <c:v>39904</c:v>
                </c:pt>
                <c:pt idx="155">
                  <c:v>39873</c:v>
                </c:pt>
                <c:pt idx="156">
                  <c:v>39845</c:v>
                </c:pt>
                <c:pt idx="157">
                  <c:v>39814</c:v>
                </c:pt>
                <c:pt idx="158">
                  <c:v>39783</c:v>
                </c:pt>
                <c:pt idx="159">
                  <c:v>39753</c:v>
                </c:pt>
                <c:pt idx="160">
                  <c:v>39722</c:v>
                </c:pt>
                <c:pt idx="161">
                  <c:v>39692</c:v>
                </c:pt>
                <c:pt idx="162">
                  <c:v>39661</c:v>
                </c:pt>
                <c:pt idx="163">
                  <c:v>39630</c:v>
                </c:pt>
                <c:pt idx="164">
                  <c:v>39600</c:v>
                </c:pt>
                <c:pt idx="165">
                  <c:v>39569</c:v>
                </c:pt>
                <c:pt idx="166">
                  <c:v>39539</c:v>
                </c:pt>
                <c:pt idx="167">
                  <c:v>39508</c:v>
                </c:pt>
                <c:pt idx="168">
                  <c:v>39479</c:v>
                </c:pt>
                <c:pt idx="169">
                  <c:v>39448</c:v>
                </c:pt>
                <c:pt idx="170">
                  <c:v>39417</c:v>
                </c:pt>
                <c:pt idx="171">
                  <c:v>39387</c:v>
                </c:pt>
                <c:pt idx="172">
                  <c:v>39356</c:v>
                </c:pt>
                <c:pt idx="173">
                  <c:v>39326</c:v>
                </c:pt>
                <c:pt idx="174">
                  <c:v>39295</c:v>
                </c:pt>
                <c:pt idx="175">
                  <c:v>39264</c:v>
                </c:pt>
                <c:pt idx="176">
                  <c:v>39234</c:v>
                </c:pt>
                <c:pt idx="177">
                  <c:v>39203</c:v>
                </c:pt>
                <c:pt idx="178">
                  <c:v>39173</c:v>
                </c:pt>
                <c:pt idx="179">
                  <c:v>39142</c:v>
                </c:pt>
                <c:pt idx="180">
                  <c:v>39114</c:v>
                </c:pt>
                <c:pt idx="181">
                  <c:v>39083</c:v>
                </c:pt>
                <c:pt idx="182">
                  <c:v>39052</c:v>
                </c:pt>
                <c:pt idx="183">
                  <c:v>39022</c:v>
                </c:pt>
                <c:pt idx="184">
                  <c:v>38991</c:v>
                </c:pt>
                <c:pt idx="185">
                  <c:v>38961</c:v>
                </c:pt>
                <c:pt idx="186">
                  <c:v>38930</c:v>
                </c:pt>
                <c:pt idx="187">
                  <c:v>38899</c:v>
                </c:pt>
                <c:pt idx="188">
                  <c:v>38869</c:v>
                </c:pt>
                <c:pt idx="189">
                  <c:v>38838</c:v>
                </c:pt>
                <c:pt idx="190">
                  <c:v>38808</c:v>
                </c:pt>
                <c:pt idx="191">
                  <c:v>38777</c:v>
                </c:pt>
                <c:pt idx="192">
                  <c:v>38749</c:v>
                </c:pt>
                <c:pt idx="193">
                  <c:v>38718</c:v>
                </c:pt>
                <c:pt idx="194">
                  <c:v>38687</c:v>
                </c:pt>
                <c:pt idx="195">
                  <c:v>38657</c:v>
                </c:pt>
                <c:pt idx="196">
                  <c:v>38626</c:v>
                </c:pt>
                <c:pt idx="197">
                  <c:v>38596</c:v>
                </c:pt>
                <c:pt idx="198">
                  <c:v>38565</c:v>
                </c:pt>
                <c:pt idx="199">
                  <c:v>38534</c:v>
                </c:pt>
                <c:pt idx="200">
                  <c:v>38504</c:v>
                </c:pt>
                <c:pt idx="201">
                  <c:v>38473</c:v>
                </c:pt>
                <c:pt idx="202">
                  <c:v>38443</c:v>
                </c:pt>
                <c:pt idx="203">
                  <c:v>38412</c:v>
                </c:pt>
                <c:pt idx="204">
                  <c:v>38384</c:v>
                </c:pt>
                <c:pt idx="205">
                  <c:v>38353</c:v>
                </c:pt>
                <c:pt idx="206">
                  <c:v>38322</c:v>
                </c:pt>
                <c:pt idx="207">
                  <c:v>38292</c:v>
                </c:pt>
                <c:pt idx="208">
                  <c:v>38261</c:v>
                </c:pt>
                <c:pt idx="209">
                  <c:v>38231</c:v>
                </c:pt>
                <c:pt idx="210">
                  <c:v>38200</c:v>
                </c:pt>
                <c:pt idx="211">
                  <c:v>38169</c:v>
                </c:pt>
                <c:pt idx="212">
                  <c:v>38139</c:v>
                </c:pt>
                <c:pt idx="213">
                  <c:v>38108</c:v>
                </c:pt>
                <c:pt idx="214">
                  <c:v>38078</c:v>
                </c:pt>
                <c:pt idx="215">
                  <c:v>38047</c:v>
                </c:pt>
                <c:pt idx="216">
                  <c:v>38018</c:v>
                </c:pt>
                <c:pt idx="217">
                  <c:v>37987</c:v>
                </c:pt>
                <c:pt idx="218">
                  <c:v>37956</c:v>
                </c:pt>
                <c:pt idx="219">
                  <c:v>37926</c:v>
                </c:pt>
                <c:pt idx="220">
                  <c:v>37895</c:v>
                </c:pt>
                <c:pt idx="221">
                  <c:v>37865</c:v>
                </c:pt>
                <c:pt idx="222">
                  <c:v>37834</c:v>
                </c:pt>
                <c:pt idx="223">
                  <c:v>37803</c:v>
                </c:pt>
                <c:pt idx="224">
                  <c:v>37773</c:v>
                </c:pt>
                <c:pt idx="225">
                  <c:v>37742</c:v>
                </c:pt>
                <c:pt idx="226">
                  <c:v>37712</c:v>
                </c:pt>
                <c:pt idx="227">
                  <c:v>37681</c:v>
                </c:pt>
                <c:pt idx="228">
                  <c:v>37653</c:v>
                </c:pt>
                <c:pt idx="229">
                  <c:v>37622</c:v>
                </c:pt>
                <c:pt idx="230">
                  <c:v>37591</c:v>
                </c:pt>
                <c:pt idx="231">
                  <c:v>37561</c:v>
                </c:pt>
                <c:pt idx="232">
                  <c:v>37530</c:v>
                </c:pt>
                <c:pt idx="233">
                  <c:v>37500</c:v>
                </c:pt>
                <c:pt idx="234">
                  <c:v>37469</c:v>
                </c:pt>
                <c:pt idx="235">
                  <c:v>37438</c:v>
                </c:pt>
                <c:pt idx="236">
                  <c:v>37408</c:v>
                </c:pt>
                <c:pt idx="237">
                  <c:v>37377</c:v>
                </c:pt>
                <c:pt idx="238">
                  <c:v>37347</c:v>
                </c:pt>
                <c:pt idx="239">
                  <c:v>37316</c:v>
                </c:pt>
                <c:pt idx="240">
                  <c:v>37288</c:v>
                </c:pt>
                <c:pt idx="241">
                  <c:v>37257</c:v>
                </c:pt>
                <c:pt idx="242">
                  <c:v>37226</c:v>
                </c:pt>
                <c:pt idx="243">
                  <c:v>37196</c:v>
                </c:pt>
                <c:pt idx="244">
                  <c:v>37165</c:v>
                </c:pt>
                <c:pt idx="245">
                  <c:v>37135</c:v>
                </c:pt>
                <c:pt idx="246">
                  <c:v>37104</c:v>
                </c:pt>
                <c:pt idx="247">
                  <c:v>37073</c:v>
                </c:pt>
                <c:pt idx="248">
                  <c:v>37043</c:v>
                </c:pt>
                <c:pt idx="249">
                  <c:v>37012</c:v>
                </c:pt>
                <c:pt idx="250">
                  <c:v>36982</c:v>
                </c:pt>
                <c:pt idx="251">
                  <c:v>36951</c:v>
                </c:pt>
                <c:pt idx="252">
                  <c:v>36923</c:v>
                </c:pt>
                <c:pt idx="253">
                  <c:v>36892</c:v>
                </c:pt>
                <c:pt idx="254">
                  <c:v>36861</c:v>
                </c:pt>
                <c:pt idx="255">
                  <c:v>36831</c:v>
                </c:pt>
                <c:pt idx="256">
                  <c:v>36800</c:v>
                </c:pt>
                <c:pt idx="257">
                  <c:v>36770</c:v>
                </c:pt>
                <c:pt idx="258">
                  <c:v>36739</c:v>
                </c:pt>
                <c:pt idx="259">
                  <c:v>36708</c:v>
                </c:pt>
                <c:pt idx="260">
                  <c:v>36678</c:v>
                </c:pt>
                <c:pt idx="261">
                  <c:v>36647</c:v>
                </c:pt>
                <c:pt idx="262">
                  <c:v>36617</c:v>
                </c:pt>
                <c:pt idx="263">
                  <c:v>36586</c:v>
                </c:pt>
                <c:pt idx="264">
                  <c:v>36557</c:v>
                </c:pt>
                <c:pt idx="265">
                  <c:v>36526</c:v>
                </c:pt>
                <c:pt idx="266">
                  <c:v>36495</c:v>
                </c:pt>
                <c:pt idx="267">
                  <c:v>36465</c:v>
                </c:pt>
                <c:pt idx="268">
                  <c:v>36434</c:v>
                </c:pt>
                <c:pt idx="269">
                  <c:v>36404</c:v>
                </c:pt>
                <c:pt idx="270">
                  <c:v>36373</c:v>
                </c:pt>
                <c:pt idx="271">
                  <c:v>36342</c:v>
                </c:pt>
                <c:pt idx="272">
                  <c:v>36312</c:v>
                </c:pt>
                <c:pt idx="273">
                  <c:v>36281</c:v>
                </c:pt>
                <c:pt idx="274">
                  <c:v>36251</c:v>
                </c:pt>
                <c:pt idx="275">
                  <c:v>36220</c:v>
                </c:pt>
                <c:pt idx="276">
                  <c:v>36192</c:v>
                </c:pt>
                <c:pt idx="277">
                  <c:v>36161</c:v>
                </c:pt>
                <c:pt idx="278">
                  <c:v>36130</c:v>
                </c:pt>
                <c:pt idx="279">
                  <c:v>36100</c:v>
                </c:pt>
                <c:pt idx="280">
                  <c:v>36069</c:v>
                </c:pt>
                <c:pt idx="281">
                  <c:v>36039</c:v>
                </c:pt>
                <c:pt idx="282">
                  <c:v>36008</c:v>
                </c:pt>
                <c:pt idx="283">
                  <c:v>35977</c:v>
                </c:pt>
                <c:pt idx="284">
                  <c:v>35947</c:v>
                </c:pt>
                <c:pt idx="285">
                  <c:v>35916</c:v>
                </c:pt>
                <c:pt idx="286">
                  <c:v>35886</c:v>
                </c:pt>
                <c:pt idx="287">
                  <c:v>35855</c:v>
                </c:pt>
                <c:pt idx="288">
                  <c:v>35827</c:v>
                </c:pt>
                <c:pt idx="289">
                  <c:v>35796</c:v>
                </c:pt>
                <c:pt idx="290">
                  <c:v>35765</c:v>
                </c:pt>
                <c:pt idx="291">
                  <c:v>35735</c:v>
                </c:pt>
                <c:pt idx="292">
                  <c:v>35704</c:v>
                </c:pt>
                <c:pt idx="293">
                  <c:v>35674</c:v>
                </c:pt>
                <c:pt idx="294">
                  <c:v>35643</c:v>
                </c:pt>
                <c:pt idx="295">
                  <c:v>35612</c:v>
                </c:pt>
                <c:pt idx="296">
                  <c:v>35582</c:v>
                </c:pt>
                <c:pt idx="297">
                  <c:v>35551</c:v>
                </c:pt>
                <c:pt idx="298">
                  <c:v>35521</c:v>
                </c:pt>
                <c:pt idx="299">
                  <c:v>35490</c:v>
                </c:pt>
                <c:pt idx="300">
                  <c:v>35462</c:v>
                </c:pt>
                <c:pt idx="301">
                  <c:v>35431</c:v>
                </c:pt>
                <c:pt idx="302">
                  <c:v>35400</c:v>
                </c:pt>
                <c:pt idx="303">
                  <c:v>35370</c:v>
                </c:pt>
                <c:pt idx="304">
                  <c:v>35339</c:v>
                </c:pt>
                <c:pt idx="305">
                  <c:v>35309</c:v>
                </c:pt>
                <c:pt idx="306">
                  <c:v>35278</c:v>
                </c:pt>
                <c:pt idx="307">
                  <c:v>35247</c:v>
                </c:pt>
                <c:pt idx="308">
                  <c:v>35217</c:v>
                </c:pt>
                <c:pt idx="309">
                  <c:v>35186</c:v>
                </c:pt>
                <c:pt idx="310">
                  <c:v>35156</c:v>
                </c:pt>
                <c:pt idx="311">
                  <c:v>35125</c:v>
                </c:pt>
                <c:pt idx="312">
                  <c:v>35096</c:v>
                </c:pt>
                <c:pt idx="313">
                  <c:v>35065</c:v>
                </c:pt>
                <c:pt idx="314">
                  <c:v>35034</c:v>
                </c:pt>
                <c:pt idx="315">
                  <c:v>35004</c:v>
                </c:pt>
                <c:pt idx="316">
                  <c:v>34973</c:v>
                </c:pt>
                <c:pt idx="317">
                  <c:v>34943</c:v>
                </c:pt>
                <c:pt idx="318">
                  <c:v>34912</c:v>
                </c:pt>
                <c:pt idx="319">
                  <c:v>34881</c:v>
                </c:pt>
                <c:pt idx="320">
                  <c:v>34851</c:v>
                </c:pt>
                <c:pt idx="321">
                  <c:v>34820</c:v>
                </c:pt>
                <c:pt idx="322">
                  <c:v>34790</c:v>
                </c:pt>
                <c:pt idx="323">
                  <c:v>34759</c:v>
                </c:pt>
                <c:pt idx="324">
                  <c:v>34731</c:v>
                </c:pt>
                <c:pt idx="325">
                  <c:v>34700</c:v>
                </c:pt>
                <c:pt idx="326">
                  <c:v>34669</c:v>
                </c:pt>
                <c:pt idx="327">
                  <c:v>34639</c:v>
                </c:pt>
                <c:pt idx="328">
                  <c:v>34608</c:v>
                </c:pt>
                <c:pt idx="329">
                  <c:v>34578</c:v>
                </c:pt>
                <c:pt idx="330">
                  <c:v>34547</c:v>
                </c:pt>
                <c:pt idx="331">
                  <c:v>34516</c:v>
                </c:pt>
                <c:pt idx="332">
                  <c:v>34486</c:v>
                </c:pt>
                <c:pt idx="333">
                  <c:v>34455</c:v>
                </c:pt>
                <c:pt idx="334">
                  <c:v>34425</c:v>
                </c:pt>
                <c:pt idx="335">
                  <c:v>34394</c:v>
                </c:pt>
                <c:pt idx="336">
                  <c:v>34366</c:v>
                </c:pt>
                <c:pt idx="337">
                  <c:v>34335</c:v>
                </c:pt>
                <c:pt idx="338">
                  <c:v>34304</c:v>
                </c:pt>
                <c:pt idx="339">
                  <c:v>34274</c:v>
                </c:pt>
                <c:pt idx="340">
                  <c:v>34243</c:v>
                </c:pt>
                <c:pt idx="341">
                  <c:v>34213</c:v>
                </c:pt>
                <c:pt idx="342">
                  <c:v>34182</c:v>
                </c:pt>
                <c:pt idx="343">
                  <c:v>34151</c:v>
                </c:pt>
                <c:pt idx="344">
                  <c:v>34121</c:v>
                </c:pt>
                <c:pt idx="345">
                  <c:v>34090</c:v>
                </c:pt>
                <c:pt idx="346">
                  <c:v>34060</c:v>
                </c:pt>
                <c:pt idx="347">
                  <c:v>34029</c:v>
                </c:pt>
                <c:pt idx="348">
                  <c:v>34001</c:v>
                </c:pt>
                <c:pt idx="349">
                  <c:v>33970</c:v>
                </c:pt>
                <c:pt idx="350">
                  <c:v>33939</c:v>
                </c:pt>
                <c:pt idx="351">
                  <c:v>33909</c:v>
                </c:pt>
                <c:pt idx="352">
                  <c:v>33878</c:v>
                </c:pt>
                <c:pt idx="353">
                  <c:v>33848</c:v>
                </c:pt>
                <c:pt idx="354">
                  <c:v>33817</c:v>
                </c:pt>
                <c:pt idx="355">
                  <c:v>33786</c:v>
                </c:pt>
                <c:pt idx="356">
                  <c:v>33756</c:v>
                </c:pt>
                <c:pt idx="357">
                  <c:v>33725</c:v>
                </c:pt>
                <c:pt idx="358">
                  <c:v>33695</c:v>
                </c:pt>
                <c:pt idx="359">
                  <c:v>33664</c:v>
                </c:pt>
                <c:pt idx="360">
                  <c:v>33635</c:v>
                </c:pt>
                <c:pt idx="361">
                  <c:v>33604</c:v>
                </c:pt>
                <c:pt idx="362">
                  <c:v>33573</c:v>
                </c:pt>
                <c:pt idx="363">
                  <c:v>33543</c:v>
                </c:pt>
                <c:pt idx="364">
                  <c:v>33512</c:v>
                </c:pt>
                <c:pt idx="365">
                  <c:v>33482</c:v>
                </c:pt>
                <c:pt idx="366">
                  <c:v>33451</c:v>
                </c:pt>
                <c:pt idx="367">
                  <c:v>33420</c:v>
                </c:pt>
                <c:pt idx="368">
                  <c:v>33390</c:v>
                </c:pt>
                <c:pt idx="369">
                  <c:v>33359</c:v>
                </c:pt>
                <c:pt idx="370">
                  <c:v>33329</c:v>
                </c:pt>
                <c:pt idx="371">
                  <c:v>33298</c:v>
                </c:pt>
                <c:pt idx="372">
                  <c:v>33270</c:v>
                </c:pt>
                <c:pt idx="373">
                  <c:v>33239</c:v>
                </c:pt>
                <c:pt idx="374">
                  <c:v>33208</c:v>
                </c:pt>
                <c:pt idx="375">
                  <c:v>33178</c:v>
                </c:pt>
                <c:pt idx="376">
                  <c:v>33147</c:v>
                </c:pt>
                <c:pt idx="377">
                  <c:v>33117</c:v>
                </c:pt>
                <c:pt idx="378">
                  <c:v>33086</c:v>
                </c:pt>
                <c:pt idx="379">
                  <c:v>33055</c:v>
                </c:pt>
                <c:pt idx="380">
                  <c:v>33025</c:v>
                </c:pt>
                <c:pt idx="381">
                  <c:v>32994</c:v>
                </c:pt>
                <c:pt idx="382">
                  <c:v>32964</c:v>
                </c:pt>
                <c:pt idx="383">
                  <c:v>32933</c:v>
                </c:pt>
                <c:pt idx="384">
                  <c:v>32905</c:v>
                </c:pt>
                <c:pt idx="385">
                  <c:v>32874</c:v>
                </c:pt>
                <c:pt idx="386">
                  <c:v>32843</c:v>
                </c:pt>
                <c:pt idx="387">
                  <c:v>32813</c:v>
                </c:pt>
                <c:pt idx="388">
                  <c:v>32782</c:v>
                </c:pt>
                <c:pt idx="389">
                  <c:v>32752</c:v>
                </c:pt>
                <c:pt idx="390">
                  <c:v>32721</c:v>
                </c:pt>
                <c:pt idx="391">
                  <c:v>32690</c:v>
                </c:pt>
                <c:pt idx="392">
                  <c:v>32660</c:v>
                </c:pt>
                <c:pt idx="393">
                  <c:v>32629</c:v>
                </c:pt>
                <c:pt idx="394">
                  <c:v>32599</c:v>
                </c:pt>
                <c:pt idx="395">
                  <c:v>32568</c:v>
                </c:pt>
                <c:pt idx="396">
                  <c:v>32540</c:v>
                </c:pt>
                <c:pt idx="397">
                  <c:v>32509</c:v>
                </c:pt>
                <c:pt idx="398">
                  <c:v>32478</c:v>
                </c:pt>
                <c:pt idx="399">
                  <c:v>32448</c:v>
                </c:pt>
                <c:pt idx="400">
                  <c:v>32417</c:v>
                </c:pt>
                <c:pt idx="401">
                  <c:v>32387</c:v>
                </c:pt>
                <c:pt idx="402">
                  <c:v>32356</c:v>
                </c:pt>
                <c:pt idx="403">
                  <c:v>32325</c:v>
                </c:pt>
                <c:pt idx="404">
                  <c:v>32295</c:v>
                </c:pt>
                <c:pt idx="405">
                  <c:v>32264</c:v>
                </c:pt>
                <c:pt idx="406">
                  <c:v>32234</c:v>
                </c:pt>
                <c:pt idx="407">
                  <c:v>32203</c:v>
                </c:pt>
                <c:pt idx="408">
                  <c:v>32174</c:v>
                </c:pt>
                <c:pt idx="409">
                  <c:v>32143</c:v>
                </c:pt>
                <c:pt idx="410">
                  <c:v>32112</c:v>
                </c:pt>
                <c:pt idx="411">
                  <c:v>32082</c:v>
                </c:pt>
                <c:pt idx="412">
                  <c:v>32051</c:v>
                </c:pt>
                <c:pt idx="413">
                  <c:v>32021</c:v>
                </c:pt>
                <c:pt idx="414">
                  <c:v>31990</c:v>
                </c:pt>
                <c:pt idx="415">
                  <c:v>31959</c:v>
                </c:pt>
                <c:pt idx="416">
                  <c:v>31929</c:v>
                </c:pt>
                <c:pt idx="417">
                  <c:v>31898</c:v>
                </c:pt>
                <c:pt idx="418">
                  <c:v>31868</c:v>
                </c:pt>
                <c:pt idx="419">
                  <c:v>31837</c:v>
                </c:pt>
                <c:pt idx="420">
                  <c:v>31809</c:v>
                </c:pt>
                <c:pt idx="421">
                  <c:v>31778</c:v>
                </c:pt>
                <c:pt idx="422">
                  <c:v>31747</c:v>
                </c:pt>
                <c:pt idx="423">
                  <c:v>31717</c:v>
                </c:pt>
                <c:pt idx="424">
                  <c:v>31686</c:v>
                </c:pt>
                <c:pt idx="425">
                  <c:v>31656</c:v>
                </c:pt>
                <c:pt idx="426">
                  <c:v>31625</c:v>
                </c:pt>
                <c:pt idx="427">
                  <c:v>31594</c:v>
                </c:pt>
                <c:pt idx="428">
                  <c:v>31564</c:v>
                </c:pt>
                <c:pt idx="429">
                  <c:v>31533</c:v>
                </c:pt>
                <c:pt idx="430">
                  <c:v>31503</c:v>
                </c:pt>
                <c:pt idx="431">
                  <c:v>31472</c:v>
                </c:pt>
                <c:pt idx="432">
                  <c:v>31444</c:v>
                </c:pt>
                <c:pt idx="433">
                  <c:v>31413</c:v>
                </c:pt>
                <c:pt idx="434">
                  <c:v>31382</c:v>
                </c:pt>
                <c:pt idx="435">
                  <c:v>31352</c:v>
                </c:pt>
                <c:pt idx="436">
                  <c:v>31321</c:v>
                </c:pt>
                <c:pt idx="437">
                  <c:v>31291</c:v>
                </c:pt>
                <c:pt idx="438">
                  <c:v>31260</c:v>
                </c:pt>
                <c:pt idx="439">
                  <c:v>31229</c:v>
                </c:pt>
                <c:pt idx="440">
                  <c:v>31199</c:v>
                </c:pt>
                <c:pt idx="441">
                  <c:v>31168</c:v>
                </c:pt>
                <c:pt idx="442">
                  <c:v>31138</c:v>
                </c:pt>
                <c:pt idx="443">
                  <c:v>31107</c:v>
                </c:pt>
                <c:pt idx="444">
                  <c:v>31079</c:v>
                </c:pt>
                <c:pt idx="445">
                  <c:v>31048</c:v>
                </c:pt>
                <c:pt idx="446">
                  <c:v>31017</c:v>
                </c:pt>
                <c:pt idx="447">
                  <c:v>30987</c:v>
                </c:pt>
                <c:pt idx="448">
                  <c:v>30956</c:v>
                </c:pt>
                <c:pt idx="449">
                  <c:v>30926</c:v>
                </c:pt>
                <c:pt idx="450">
                  <c:v>30895</c:v>
                </c:pt>
                <c:pt idx="451">
                  <c:v>30864</c:v>
                </c:pt>
                <c:pt idx="452">
                  <c:v>30834</c:v>
                </c:pt>
                <c:pt idx="453">
                  <c:v>30803</c:v>
                </c:pt>
                <c:pt idx="454">
                  <c:v>30773</c:v>
                </c:pt>
                <c:pt idx="455">
                  <c:v>30742</c:v>
                </c:pt>
                <c:pt idx="456">
                  <c:v>30713</c:v>
                </c:pt>
                <c:pt idx="457">
                  <c:v>30682</c:v>
                </c:pt>
                <c:pt idx="458">
                  <c:v>30651</c:v>
                </c:pt>
                <c:pt idx="459">
                  <c:v>30621</c:v>
                </c:pt>
                <c:pt idx="460">
                  <c:v>30590</c:v>
                </c:pt>
                <c:pt idx="461">
                  <c:v>30560</c:v>
                </c:pt>
                <c:pt idx="462">
                  <c:v>30529</c:v>
                </c:pt>
                <c:pt idx="463">
                  <c:v>30498</c:v>
                </c:pt>
                <c:pt idx="464">
                  <c:v>30468</c:v>
                </c:pt>
                <c:pt idx="465">
                  <c:v>30437</c:v>
                </c:pt>
                <c:pt idx="466">
                  <c:v>30407</c:v>
                </c:pt>
                <c:pt idx="467">
                  <c:v>30376</c:v>
                </c:pt>
                <c:pt idx="468">
                  <c:v>30348</c:v>
                </c:pt>
                <c:pt idx="469">
                  <c:v>30317</c:v>
                </c:pt>
                <c:pt idx="470">
                  <c:v>30286</c:v>
                </c:pt>
                <c:pt idx="471">
                  <c:v>30256</c:v>
                </c:pt>
                <c:pt idx="472">
                  <c:v>30225</c:v>
                </c:pt>
                <c:pt idx="473">
                  <c:v>30195</c:v>
                </c:pt>
                <c:pt idx="474">
                  <c:v>30164</c:v>
                </c:pt>
                <c:pt idx="475">
                  <c:v>30133</c:v>
                </c:pt>
                <c:pt idx="476">
                  <c:v>30103</c:v>
                </c:pt>
                <c:pt idx="477">
                  <c:v>30072</c:v>
                </c:pt>
                <c:pt idx="478">
                  <c:v>30042</c:v>
                </c:pt>
                <c:pt idx="479">
                  <c:v>30011</c:v>
                </c:pt>
                <c:pt idx="480">
                  <c:v>29983</c:v>
                </c:pt>
                <c:pt idx="481">
                  <c:v>29952</c:v>
                </c:pt>
                <c:pt idx="482">
                  <c:v>29921</c:v>
                </c:pt>
                <c:pt idx="483">
                  <c:v>29891</c:v>
                </c:pt>
                <c:pt idx="484">
                  <c:v>29860</c:v>
                </c:pt>
                <c:pt idx="485">
                  <c:v>29830</c:v>
                </c:pt>
                <c:pt idx="486">
                  <c:v>29799</c:v>
                </c:pt>
                <c:pt idx="487">
                  <c:v>29768</c:v>
                </c:pt>
                <c:pt idx="488">
                  <c:v>29738</c:v>
                </c:pt>
                <c:pt idx="489">
                  <c:v>29707</c:v>
                </c:pt>
                <c:pt idx="490">
                  <c:v>29677</c:v>
                </c:pt>
                <c:pt idx="491">
                  <c:v>29646</c:v>
                </c:pt>
                <c:pt idx="492">
                  <c:v>29618</c:v>
                </c:pt>
                <c:pt idx="493">
                  <c:v>29587</c:v>
                </c:pt>
                <c:pt idx="494">
                  <c:v>29556</c:v>
                </c:pt>
                <c:pt idx="495">
                  <c:v>29526</c:v>
                </c:pt>
                <c:pt idx="496">
                  <c:v>29495</c:v>
                </c:pt>
                <c:pt idx="497">
                  <c:v>29465</c:v>
                </c:pt>
                <c:pt idx="498">
                  <c:v>29434</c:v>
                </c:pt>
                <c:pt idx="499">
                  <c:v>29403</c:v>
                </c:pt>
                <c:pt idx="500">
                  <c:v>29373</c:v>
                </c:pt>
                <c:pt idx="501">
                  <c:v>29342</c:v>
                </c:pt>
                <c:pt idx="502">
                  <c:v>29312</c:v>
                </c:pt>
                <c:pt idx="503">
                  <c:v>29281</c:v>
                </c:pt>
                <c:pt idx="504">
                  <c:v>29252</c:v>
                </c:pt>
                <c:pt idx="505">
                  <c:v>29221</c:v>
                </c:pt>
                <c:pt idx="506">
                  <c:v>29190</c:v>
                </c:pt>
                <c:pt idx="507">
                  <c:v>29160</c:v>
                </c:pt>
                <c:pt idx="508">
                  <c:v>29129</c:v>
                </c:pt>
                <c:pt idx="509">
                  <c:v>29099</c:v>
                </c:pt>
                <c:pt idx="510">
                  <c:v>29068</c:v>
                </c:pt>
                <c:pt idx="511">
                  <c:v>29037</c:v>
                </c:pt>
                <c:pt idx="512">
                  <c:v>29007</c:v>
                </c:pt>
                <c:pt idx="513">
                  <c:v>28976</c:v>
                </c:pt>
                <c:pt idx="514">
                  <c:v>28946</c:v>
                </c:pt>
                <c:pt idx="515">
                  <c:v>28915</c:v>
                </c:pt>
                <c:pt idx="516">
                  <c:v>28887</c:v>
                </c:pt>
                <c:pt idx="517">
                  <c:v>28856</c:v>
                </c:pt>
                <c:pt idx="518">
                  <c:v>28825</c:v>
                </c:pt>
                <c:pt idx="519">
                  <c:v>28795</c:v>
                </c:pt>
                <c:pt idx="520">
                  <c:v>28764</c:v>
                </c:pt>
                <c:pt idx="521">
                  <c:v>28734</c:v>
                </c:pt>
                <c:pt idx="522">
                  <c:v>28703</c:v>
                </c:pt>
                <c:pt idx="523">
                  <c:v>28672</c:v>
                </c:pt>
                <c:pt idx="524">
                  <c:v>28642</c:v>
                </c:pt>
                <c:pt idx="525">
                  <c:v>28611</c:v>
                </c:pt>
                <c:pt idx="526">
                  <c:v>28581</c:v>
                </c:pt>
                <c:pt idx="527">
                  <c:v>28550</c:v>
                </c:pt>
                <c:pt idx="528">
                  <c:v>28522</c:v>
                </c:pt>
                <c:pt idx="529">
                  <c:v>28491</c:v>
                </c:pt>
                <c:pt idx="530">
                  <c:v>28460</c:v>
                </c:pt>
                <c:pt idx="531">
                  <c:v>28430</c:v>
                </c:pt>
                <c:pt idx="532">
                  <c:v>28399</c:v>
                </c:pt>
                <c:pt idx="533">
                  <c:v>28369</c:v>
                </c:pt>
                <c:pt idx="534">
                  <c:v>28338</c:v>
                </c:pt>
                <c:pt idx="535">
                  <c:v>28307</c:v>
                </c:pt>
                <c:pt idx="536">
                  <c:v>28277</c:v>
                </c:pt>
                <c:pt idx="537">
                  <c:v>28246</c:v>
                </c:pt>
                <c:pt idx="538">
                  <c:v>28216</c:v>
                </c:pt>
                <c:pt idx="539">
                  <c:v>28185</c:v>
                </c:pt>
                <c:pt idx="540">
                  <c:v>28157</c:v>
                </c:pt>
                <c:pt idx="541">
                  <c:v>28126</c:v>
                </c:pt>
                <c:pt idx="542">
                  <c:v>28095</c:v>
                </c:pt>
                <c:pt idx="543">
                  <c:v>28065</c:v>
                </c:pt>
                <c:pt idx="544">
                  <c:v>28034</c:v>
                </c:pt>
                <c:pt idx="545">
                  <c:v>28004</c:v>
                </c:pt>
                <c:pt idx="546">
                  <c:v>27973</c:v>
                </c:pt>
                <c:pt idx="547">
                  <c:v>27942</c:v>
                </c:pt>
                <c:pt idx="548">
                  <c:v>27912</c:v>
                </c:pt>
                <c:pt idx="549">
                  <c:v>27881</c:v>
                </c:pt>
                <c:pt idx="550">
                  <c:v>27851</c:v>
                </c:pt>
                <c:pt idx="551">
                  <c:v>27820</c:v>
                </c:pt>
                <c:pt idx="552">
                  <c:v>27791</c:v>
                </c:pt>
                <c:pt idx="553">
                  <c:v>27760</c:v>
                </c:pt>
                <c:pt idx="554">
                  <c:v>27729</c:v>
                </c:pt>
                <c:pt idx="555">
                  <c:v>27699</c:v>
                </c:pt>
                <c:pt idx="556">
                  <c:v>27668</c:v>
                </c:pt>
                <c:pt idx="557">
                  <c:v>27638</c:v>
                </c:pt>
                <c:pt idx="558">
                  <c:v>27607</c:v>
                </c:pt>
                <c:pt idx="559">
                  <c:v>27576</c:v>
                </c:pt>
                <c:pt idx="560">
                  <c:v>27546</c:v>
                </c:pt>
                <c:pt idx="561">
                  <c:v>27515</c:v>
                </c:pt>
                <c:pt idx="562">
                  <c:v>27485</c:v>
                </c:pt>
                <c:pt idx="563">
                  <c:v>27454</c:v>
                </c:pt>
                <c:pt idx="564">
                  <c:v>27426</c:v>
                </c:pt>
                <c:pt idx="565">
                  <c:v>27395</c:v>
                </c:pt>
                <c:pt idx="566">
                  <c:v>27364</c:v>
                </c:pt>
                <c:pt idx="567">
                  <c:v>27334</c:v>
                </c:pt>
                <c:pt idx="568">
                  <c:v>27303</c:v>
                </c:pt>
                <c:pt idx="569">
                  <c:v>27273</c:v>
                </c:pt>
                <c:pt idx="570">
                  <c:v>27242</c:v>
                </c:pt>
                <c:pt idx="571">
                  <c:v>27211</c:v>
                </c:pt>
                <c:pt idx="572">
                  <c:v>27181</c:v>
                </c:pt>
                <c:pt idx="573">
                  <c:v>27150</c:v>
                </c:pt>
                <c:pt idx="574">
                  <c:v>27120</c:v>
                </c:pt>
                <c:pt idx="575">
                  <c:v>27089</c:v>
                </c:pt>
                <c:pt idx="576">
                  <c:v>27061</c:v>
                </c:pt>
                <c:pt idx="577">
                  <c:v>27030</c:v>
                </c:pt>
                <c:pt idx="578">
                  <c:v>26999</c:v>
                </c:pt>
                <c:pt idx="579">
                  <c:v>26969</c:v>
                </c:pt>
                <c:pt idx="580">
                  <c:v>26938</c:v>
                </c:pt>
                <c:pt idx="581">
                  <c:v>26908</c:v>
                </c:pt>
                <c:pt idx="582">
                  <c:v>26877</c:v>
                </c:pt>
                <c:pt idx="583">
                  <c:v>26846</c:v>
                </c:pt>
                <c:pt idx="584">
                  <c:v>26816</c:v>
                </c:pt>
                <c:pt idx="585">
                  <c:v>26785</c:v>
                </c:pt>
                <c:pt idx="586">
                  <c:v>26755</c:v>
                </c:pt>
                <c:pt idx="587">
                  <c:v>26724</c:v>
                </c:pt>
                <c:pt idx="588">
                  <c:v>26696</c:v>
                </c:pt>
                <c:pt idx="589">
                  <c:v>26665</c:v>
                </c:pt>
                <c:pt idx="590">
                  <c:v>26634</c:v>
                </c:pt>
                <c:pt idx="591">
                  <c:v>26604</c:v>
                </c:pt>
                <c:pt idx="592">
                  <c:v>26573</c:v>
                </c:pt>
                <c:pt idx="593">
                  <c:v>26543</c:v>
                </c:pt>
                <c:pt idx="594">
                  <c:v>26512</c:v>
                </c:pt>
                <c:pt idx="595">
                  <c:v>26481</c:v>
                </c:pt>
                <c:pt idx="596">
                  <c:v>26451</c:v>
                </c:pt>
                <c:pt idx="597">
                  <c:v>26420</c:v>
                </c:pt>
                <c:pt idx="598">
                  <c:v>26390</c:v>
                </c:pt>
                <c:pt idx="599">
                  <c:v>26359</c:v>
                </c:pt>
                <c:pt idx="600">
                  <c:v>26330</c:v>
                </c:pt>
                <c:pt idx="601">
                  <c:v>26299</c:v>
                </c:pt>
                <c:pt idx="602">
                  <c:v>26268</c:v>
                </c:pt>
              </c:numCache>
            </c:numRef>
          </c:cat>
          <c:val>
            <c:numRef>
              <c:f>GOTH!$C$2:$C$604</c:f>
              <c:numCache>
                <c:formatCode>General</c:formatCode>
                <c:ptCount val="603"/>
                <c:pt idx="0">
                  <c:v>102.47508999999999</c:v>
                </c:pt>
                <c:pt idx="1">
                  <c:v>106.65224000000001</c:v>
                </c:pt>
                <c:pt idx="2">
                  <c:v>115.56484</c:v>
                </c:pt>
                <c:pt idx="3">
                  <c:v>105.84649999999999</c:v>
                </c:pt>
                <c:pt idx="4">
                  <c:v>107.21348</c:v>
                </c:pt>
                <c:pt idx="5">
                  <c:v>100.27590000000001</c:v>
                </c:pt>
                <c:pt idx="6">
                  <c:v>106.36985</c:v>
                </c:pt>
                <c:pt idx="7">
                  <c:v>104.139</c:v>
                </c:pt>
                <c:pt idx="8">
                  <c:v>100.12255999999999</c:v>
                </c:pt>
                <c:pt idx="9">
                  <c:v>97.451810000000009</c:v>
                </c:pt>
                <c:pt idx="10">
                  <c:v>96.696790000000007</c:v>
                </c:pt>
                <c:pt idx="11">
                  <c:v>89.626080000000002</c:v>
                </c:pt>
                <c:pt idx="12">
                  <c:v>85.006069999999994</c:v>
                </c:pt>
                <c:pt idx="13">
                  <c:v>82.484439999999992</c:v>
                </c:pt>
                <c:pt idx="14">
                  <c:v>82.618470000000002</c:v>
                </c:pt>
                <c:pt idx="15">
                  <c:v>80.402540000000002</c:v>
                </c:pt>
                <c:pt idx="16">
                  <c:v>73.273330000000016</c:v>
                </c:pt>
                <c:pt idx="17">
                  <c:v>75.673910000000021</c:v>
                </c:pt>
                <c:pt idx="18">
                  <c:v>77.651060000000001</c:v>
                </c:pt>
                <c:pt idx="19">
                  <c:v>77.398390000000006</c:v>
                </c:pt>
                <c:pt idx="20">
                  <c:v>74.584679999999992</c:v>
                </c:pt>
                <c:pt idx="21">
                  <c:v>72.5976</c:v>
                </c:pt>
                <c:pt idx="22">
                  <c:v>71.378129999999999</c:v>
                </c:pt>
                <c:pt idx="23">
                  <c:v>65.449000000000012</c:v>
                </c:pt>
                <c:pt idx="24">
                  <c:v>82.68934999999999</c:v>
                </c:pt>
                <c:pt idx="25">
                  <c:v>88.993340000000003</c:v>
                </c:pt>
                <c:pt idx="26">
                  <c:v>87.761800000000008</c:v>
                </c:pt>
                <c:pt idx="27">
                  <c:v>87.087490000000003</c:v>
                </c:pt>
                <c:pt idx="28">
                  <c:v>88.280200000000008</c:v>
                </c:pt>
                <c:pt idx="29">
                  <c:v>87.282000000000011</c:v>
                </c:pt>
                <c:pt idx="30">
                  <c:v>85.475940000000008</c:v>
                </c:pt>
                <c:pt idx="31">
                  <c:v>82.669269999999997</c:v>
                </c:pt>
                <c:pt idx="32">
                  <c:v>81.386870000000002</c:v>
                </c:pt>
                <c:pt idx="33">
                  <c:v>80.083799999999997</c:v>
                </c:pt>
                <c:pt idx="34">
                  <c:v>79.923649999999995</c:v>
                </c:pt>
                <c:pt idx="35">
                  <c:v>79.970709999999997</c:v>
                </c:pt>
                <c:pt idx="36">
                  <c:v>76.731680000000011</c:v>
                </c:pt>
                <c:pt idx="37">
                  <c:v>76.352379999999997</c:v>
                </c:pt>
                <c:pt idx="38">
                  <c:v>68.527180000000001</c:v>
                </c:pt>
                <c:pt idx="39">
                  <c:v>74.265650000000008</c:v>
                </c:pt>
                <c:pt idx="40">
                  <c:v>71.074889999999996</c:v>
                </c:pt>
                <c:pt idx="41">
                  <c:v>72.989819999999995</c:v>
                </c:pt>
                <c:pt idx="42">
                  <c:v>74.752070000000003</c:v>
                </c:pt>
                <c:pt idx="43">
                  <c:v>72.804270000000002</c:v>
                </c:pt>
                <c:pt idx="44">
                  <c:v>72.246470000000002</c:v>
                </c:pt>
                <c:pt idx="45">
                  <c:v>69.427260000000004</c:v>
                </c:pt>
                <c:pt idx="46">
                  <c:v>67.063150000000007</c:v>
                </c:pt>
                <c:pt idx="47">
                  <c:v>66.696100000000001</c:v>
                </c:pt>
                <c:pt idx="48">
                  <c:v>64.290639999999996</c:v>
                </c:pt>
                <c:pt idx="49">
                  <c:v>69.14425</c:v>
                </c:pt>
                <c:pt idx="50">
                  <c:v>71.457340000000002</c:v>
                </c:pt>
                <c:pt idx="51">
                  <c:v>71.532920000000004</c:v>
                </c:pt>
                <c:pt idx="52">
                  <c:v>69.701570000000004</c:v>
                </c:pt>
                <c:pt idx="53">
                  <c:v>69.803429999999992</c:v>
                </c:pt>
                <c:pt idx="54">
                  <c:v>70.206779999999995</c:v>
                </c:pt>
                <c:pt idx="55">
                  <c:v>69.772390000000001</c:v>
                </c:pt>
                <c:pt idx="56">
                  <c:v>68.949700000000007</c:v>
                </c:pt>
                <c:pt idx="57">
                  <c:v>67.579040000000006</c:v>
                </c:pt>
                <c:pt idx="58">
                  <c:v>67.678420000000003</c:v>
                </c:pt>
                <c:pt idx="59">
                  <c:v>67.336830000000006</c:v>
                </c:pt>
                <c:pt idx="60">
                  <c:v>68.284120000000001</c:v>
                </c:pt>
                <c:pt idx="61">
                  <c:v>65.556380000000004</c:v>
                </c:pt>
                <c:pt idx="62">
                  <c:v>65.396829999999994</c:v>
                </c:pt>
                <c:pt idx="63">
                  <c:v>62.760349999999995</c:v>
                </c:pt>
                <c:pt idx="64">
                  <c:v>64.068119999999993</c:v>
                </c:pt>
                <c:pt idx="65">
                  <c:v>67.36215</c:v>
                </c:pt>
                <c:pt idx="66">
                  <c:v>68.325320000000005</c:v>
                </c:pt>
                <c:pt idx="67">
                  <c:v>70.643600000000006</c:v>
                </c:pt>
                <c:pt idx="68">
                  <c:v>68.010289999999998</c:v>
                </c:pt>
                <c:pt idx="69">
                  <c:v>63.749160000000003</c:v>
                </c:pt>
                <c:pt idx="70">
                  <c:v>62.292340000000003</c:v>
                </c:pt>
                <c:pt idx="71">
                  <c:v>63.347000000000008</c:v>
                </c:pt>
                <c:pt idx="72">
                  <c:v>57.594000000000008</c:v>
                </c:pt>
                <c:pt idx="73">
                  <c:v>57.76003</c:v>
                </c:pt>
                <c:pt idx="74">
                  <c:v>59.841830000000002</c:v>
                </c:pt>
                <c:pt idx="75">
                  <c:v>59.135619999999996</c:v>
                </c:pt>
                <c:pt idx="76">
                  <c:v>59.288639999999994</c:v>
                </c:pt>
                <c:pt idx="77">
                  <c:v>55.857439999999997</c:v>
                </c:pt>
                <c:pt idx="78">
                  <c:v>54.829480000000004</c:v>
                </c:pt>
                <c:pt idx="79">
                  <c:v>58.129170000000002</c:v>
                </c:pt>
                <c:pt idx="80">
                  <c:v>55.437820000000002</c:v>
                </c:pt>
                <c:pt idx="81">
                  <c:v>57.94</c:v>
                </c:pt>
                <c:pt idx="82">
                  <c:v>58.006139999999995</c:v>
                </c:pt>
                <c:pt idx="83">
                  <c:v>60.873429999999999</c:v>
                </c:pt>
                <c:pt idx="84">
                  <c:v>60.18121</c:v>
                </c:pt>
                <c:pt idx="85">
                  <c:v>61.775359999999999</c:v>
                </c:pt>
                <c:pt idx="86">
                  <c:v>58.502319999999997</c:v>
                </c:pt>
                <c:pt idx="87">
                  <c:v>57.870730000000002</c:v>
                </c:pt>
                <c:pt idx="88">
                  <c:v>56.570780000000006</c:v>
                </c:pt>
                <c:pt idx="89">
                  <c:v>52.031580000000005</c:v>
                </c:pt>
                <c:pt idx="90">
                  <c:v>55.138150000000017</c:v>
                </c:pt>
                <c:pt idx="91">
                  <c:v>53.334759999999996</c:v>
                </c:pt>
                <c:pt idx="92">
                  <c:v>53.436509999999998</c:v>
                </c:pt>
                <c:pt idx="93">
                  <c:v>52.814189999999996</c:v>
                </c:pt>
                <c:pt idx="94">
                  <c:v>51.396279999999997</c:v>
                </c:pt>
                <c:pt idx="95">
                  <c:v>49.956469999999996</c:v>
                </c:pt>
                <c:pt idx="96">
                  <c:v>49.794790000000006</c:v>
                </c:pt>
                <c:pt idx="97">
                  <c:v>47.56523</c:v>
                </c:pt>
                <c:pt idx="98">
                  <c:v>46.011429999999997</c:v>
                </c:pt>
                <c:pt idx="99">
                  <c:v>45.627200000000002</c:v>
                </c:pt>
                <c:pt idx="100">
                  <c:v>47.731769999999997</c:v>
                </c:pt>
                <c:pt idx="101">
                  <c:v>45.868839999999999</c:v>
                </c:pt>
                <c:pt idx="102">
                  <c:v>44.297629999999998</c:v>
                </c:pt>
                <c:pt idx="103">
                  <c:v>47.241340000000001</c:v>
                </c:pt>
                <c:pt idx="104">
                  <c:v>46.993779999999994</c:v>
                </c:pt>
                <c:pt idx="105">
                  <c:v>48.088000000000001</c:v>
                </c:pt>
                <c:pt idx="106">
                  <c:v>51.464570000000002</c:v>
                </c:pt>
                <c:pt idx="107">
                  <c:v>48.642399999999995</c:v>
                </c:pt>
                <c:pt idx="108">
                  <c:v>47.092100000000002</c:v>
                </c:pt>
                <c:pt idx="109">
                  <c:v>46.490400000000001</c:v>
                </c:pt>
                <c:pt idx="110">
                  <c:v>44.581000000000003</c:v>
                </c:pt>
                <c:pt idx="111">
                  <c:v>43.200200000000002</c:v>
                </c:pt>
                <c:pt idx="112">
                  <c:v>43.4788</c:v>
                </c:pt>
                <c:pt idx="113">
                  <c:v>43.624499999999998</c:v>
                </c:pt>
                <c:pt idx="114">
                  <c:v>44.017099999999999</c:v>
                </c:pt>
                <c:pt idx="115">
                  <c:v>43.816299999999998</c:v>
                </c:pt>
                <c:pt idx="116">
                  <c:v>42.832700000000003</c:v>
                </c:pt>
                <c:pt idx="117">
                  <c:v>40.452500000000001</c:v>
                </c:pt>
                <c:pt idx="118">
                  <c:v>42.115600000000001</c:v>
                </c:pt>
                <c:pt idx="119">
                  <c:v>40.968699999999998</c:v>
                </c:pt>
                <c:pt idx="120">
                  <c:v>39.244599999999998</c:v>
                </c:pt>
                <c:pt idx="121">
                  <c:v>39.506999999999998</c:v>
                </c:pt>
                <c:pt idx="122">
                  <c:v>37.106099999999998</c:v>
                </c:pt>
                <c:pt idx="123">
                  <c:v>35.4908</c:v>
                </c:pt>
                <c:pt idx="124">
                  <c:v>36.788499999999999</c:v>
                </c:pt>
                <c:pt idx="125">
                  <c:v>32.466300000000004</c:v>
                </c:pt>
                <c:pt idx="126">
                  <c:v>36.240700000000004</c:v>
                </c:pt>
                <c:pt idx="127">
                  <c:v>38.170900000000003</c:v>
                </c:pt>
                <c:pt idx="128">
                  <c:v>38.024000000000001</c:v>
                </c:pt>
                <c:pt idx="129">
                  <c:v>39.071799999999996</c:v>
                </c:pt>
                <c:pt idx="130">
                  <c:v>38.746700000000004</c:v>
                </c:pt>
                <c:pt idx="131">
                  <c:v>36.939399999999999</c:v>
                </c:pt>
                <c:pt idx="132">
                  <c:v>37.456400000000002</c:v>
                </c:pt>
                <c:pt idx="133">
                  <c:v>35.848199999999999</c:v>
                </c:pt>
                <c:pt idx="134">
                  <c:v>34.588899999999995</c:v>
                </c:pt>
                <c:pt idx="135">
                  <c:v>33.044400000000003</c:v>
                </c:pt>
                <c:pt idx="136">
                  <c:v>33.5899</c:v>
                </c:pt>
                <c:pt idx="137">
                  <c:v>32.126300000000001</c:v>
                </c:pt>
                <c:pt idx="138">
                  <c:v>30.7561</c:v>
                </c:pt>
                <c:pt idx="139">
                  <c:v>31.194099999999999</c:v>
                </c:pt>
                <c:pt idx="140">
                  <c:v>28.620100000000001</c:v>
                </c:pt>
                <c:pt idx="141">
                  <c:v>29.979099999999999</c:v>
                </c:pt>
                <c:pt idx="142">
                  <c:v>31.662300000000002</c:v>
                </c:pt>
                <c:pt idx="143">
                  <c:v>29.707399999999996</c:v>
                </c:pt>
                <c:pt idx="144">
                  <c:v>27.150199999999998</c:v>
                </c:pt>
                <c:pt idx="145">
                  <c:v>25.843200000000003</c:v>
                </c:pt>
                <c:pt idx="146">
                  <c:v>27.111499999999999</c:v>
                </c:pt>
                <c:pt idx="147">
                  <c:v>25.474299999999999</c:v>
                </c:pt>
                <c:pt idx="148">
                  <c:v>23.842600000000001</c:v>
                </c:pt>
                <c:pt idx="149">
                  <c:v>25.045200000000001</c:v>
                </c:pt>
                <c:pt idx="150">
                  <c:v>23.545999999999999</c:v>
                </c:pt>
                <c:pt idx="151">
                  <c:v>20.981300000000001</c:v>
                </c:pt>
                <c:pt idx="152">
                  <c:v>19.042899999999999</c:v>
                </c:pt>
                <c:pt idx="153">
                  <c:v>19.524999999999999</c:v>
                </c:pt>
                <c:pt idx="154">
                  <c:v>19.116</c:v>
                </c:pt>
                <c:pt idx="155">
                  <c:v>14.9373</c:v>
                </c:pt>
                <c:pt idx="156">
                  <c:v>14.306500000000002</c:v>
                </c:pt>
                <c:pt idx="157">
                  <c:v>17.763999999999999</c:v>
                </c:pt>
                <c:pt idx="158">
                  <c:v>21.2727</c:v>
                </c:pt>
                <c:pt idx="159">
                  <c:v>18.3584</c:v>
                </c:pt>
                <c:pt idx="160">
                  <c:v>23.390599999999999</c:v>
                </c:pt>
                <c:pt idx="161">
                  <c:v>33.523299999999999</c:v>
                </c:pt>
                <c:pt idx="162">
                  <c:v>33.635100000000001</c:v>
                </c:pt>
                <c:pt idx="163">
                  <c:v>32.973399999999998</c:v>
                </c:pt>
                <c:pt idx="164">
                  <c:v>32.071799999999996</c:v>
                </c:pt>
                <c:pt idx="165">
                  <c:v>36.1387</c:v>
                </c:pt>
                <c:pt idx="166">
                  <c:v>35.867100000000001</c:v>
                </c:pt>
                <c:pt idx="167">
                  <c:v>33.804600000000001</c:v>
                </c:pt>
                <c:pt idx="168">
                  <c:v>32.541699999999999</c:v>
                </c:pt>
                <c:pt idx="169">
                  <c:v>33.843600000000002</c:v>
                </c:pt>
                <c:pt idx="170">
                  <c:v>33.947099999999999</c:v>
                </c:pt>
                <c:pt idx="171">
                  <c:v>35.517899999999997</c:v>
                </c:pt>
                <c:pt idx="172">
                  <c:v>38.869799999999998</c:v>
                </c:pt>
                <c:pt idx="173">
                  <c:v>38.555500000000002</c:v>
                </c:pt>
                <c:pt idx="174">
                  <c:v>36.9861</c:v>
                </c:pt>
                <c:pt idx="175">
                  <c:v>35.058900000000001</c:v>
                </c:pt>
                <c:pt idx="176">
                  <c:v>38.439399999999999</c:v>
                </c:pt>
                <c:pt idx="177">
                  <c:v>42.26</c:v>
                </c:pt>
                <c:pt idx="178">
                  <c:v>42.215800000000002</c:v>
                </c:pt>
                <c:pt idx="179">
                  <c:v>42.169799999999995</c:v>
                </c:pt>
                <c:pt idx="180">
                  <c:v>43.251199999999997</c:v>
                </c:pt>
                <c:pt idx="181">
                  <c:v>44.55</c:v>
                </c:pt>
                <c:pt idx="182">
                  <c:v>41.313900000000004</c:v>
                </c:pt>
                <c:pt idx="183">
                  <c:v>41.824300000000001</c:v>
                </c:pt>
                <c:pt idx="184">
                  <c:v>40.04</c:v>
                </c:pt>
                <c:pt idx="185">
                  <c:v>37.660299999999999</c:v>
                </c:pt>
                <c:pt idx="186">
                  <c:v>36.929200000000002</c:v>
                </c:pt>
                <c:pt idx="187">
                  <c:v>35.707599999999999</c:v>
                </c:pt>
                <c:pt idx="188">
                  <c:v>34.6631</c:v>
                </c:pt>
                <c:pt idx="189">
                  <c:v>33.0152</c:v>
                </c:pt>
                <c:pt idx="190">
                  <c:v>33.9604</c:v>
                </c:pt>
                <c:pt idx="191">
                  <c:v>35.047899999999998</c:v>
                </c:pt>
                <c:pt idx="192">
                  <c:v>33.377658279999999</c:v>
                </c:pt>
                <c:pt idx="193">
                  <c:v>32.902584169999997</c:v>
                </c:pt>
                <c:pt idx="194">
                  <c:v>30.750639830000001</c:v>
                </c:pt>
                <c:pt idx="195">
                  <c:v>30.818597249999996</c:v>
                </c:pt>
                <c:pt idx="196">
                  <c:v>29.537173590000002</c:v>
                </c:pt>
                <c:pt idx="197">
                  <c:v>30.367539790000002</c:v>
                </c:pt>
                <c:pt idx="198">
                  <c:v>30.398110799999998</c:v>
                </c:pt>
                <c:pt idx="199">
                  <c:v>31.746059610000003</c:v>
                </c:pt>
                <c:pt idx="200">
                  <c:v>29.78973006</c:v>
                </c:pt>
                <c:pt idx="201">
                  <c:v>28.45253898</c:v>
                </c:pt>
                <c:pt idx="202">
                  <c:v>27.470308839999998</c:v>
                </c:pt>
                <c:pt idx="203">
                  <c:v>26.242526959999999</c:v>
                </c:pt>
                <c:pt idx="204">
                  <c:v>26.739786709999997</c:v>
                </c:pt>
                <c:pt idx="205">
                  <c:v>26.15034163</c:v>
                </c:pt>
                <c:pt idx="206">
                  <c:v>28.397046770000003</c:v>
                </c:pt>
                <c:pt idx="207">
                  <c:v>27.090236329999996</c:v>
                </c:pt>
                <c:pt idx="208">
                  <c:v>25.889631359999999</c:v>
                </c:pt>
                <c:pt idx="209">
                  <c:v>24.763832569999998</c:v>
                </c:pt>
                <c:pt idx="210">
                  <c:v>24.715899880000002</c:v>
                </c:pt>
                <c:pt idx="211">
                  <c:v>22.910066390000001</c:v>
                </c:pt>
                <c:pt idx="212">
                  <c:v>22.900418909999999</c:v>
                </c:pt>
                <c:pt idx="213">
                  <c:v>22.234985470000002</c:v>
                </c:pt>
                <c:pt idx="214">
                  <c:v>20.768321689999997</c:v>
                </c:pt>
                <c:pt idx="215">
                  <c:v>24.509436000000001</c:v>
                </c:pt>
                <c:pt idx="216">
                  <c:v>23.210238920000002</c:v>
                </c:pt>
                <c:pt idx="217">
                  <c:v>22.712093300000003</c:v>
                </c:pt>
                <c:pt idx="218">
                  <c:v>21.775288999999997</c:v>
                </c:pt>
                <c:pt idx="219">
                  <c:v>21.053371619999997</c:v>
                </c:pt>
                <c:pt idx="220">
                  <c:v>20.143476400000001</c:v>
                </c:pt>
                <c:pt idx="221">
                  <c:v>19.718675940000001</c:v>
                </c:pt>
                <c:pt idx="222">
                  <c:v>19.116941069999999</c:v>
                </c:pt>
                <c:pt idx="223">
                  <c:v>19.03502718</c:v>
                </c:pt>
                <c:pt idx="224">
                  <c:v>18.08806006</c:v>
                </c:pt>
                <c:pt idx="225">
                  <c:v>17.6295103</c:v>
                </c:pt>
                <c:pt idx="226">
                  <c:v>16.61259454</c:v>
                </c:pt>
                <c:pt idx="227">
                  <c:v>15.85621465</c:v>
                </c:pt>
                <c:pt idx="228">
                  <c:v>15.53503768</c:v>
                </c:pt>
                <c:pt idx="229">
                  <c:v>15.2873789</c:v>
                </c:pt>
                <c:pt idx="230">
                  <c:v>15.726051740000001</c:v>
                </c:pt>
                <c:pt idx="231">
                  <c:v>15.548139089999999</c:v>
                </c:pt>
                <c:pt idx="232">
                  <c:v>14.874317040000001</c:v>
                </c:pt>
                <c:pt idx="233">
                  <c:v>15.58643096</c:v>
                </c:pt>
                <c:pt idx="234">
                  <c:v>16.227760910000001</c:v>
                </c:pt>
                <c:pt idx="235">
                  <c:v>16.23170339</c:v>
                </c:pt>
                <c:pt idx="236">
                  <c:v>17.094738840000002</c:v>
                </c:pt>
                <c:pt idx="237">
                  <c:v>16.639088579999999</c:v>
                </c:pt>
                <c:pt idx="238">
                  <c:v>16.402049170000002</c:v>
                </c:pt>
                <c:pt idx="239">
                  <c:v>16.18940267</c:v>
                </c:pt>
                <c:pt idx="240">
                  <c:v>15.27495609</c:v>
                </c:pt>
                <c:pt idx="241">
                  <c:v>15.003391590000001</c:v>
                </c:pt>
                <c:pt idx="242">
                  <c:v>14.946506159999998</c:v>
                </c:pt>
                <c:pt idx="243">
                  <c:v>14.56213477</c:v>
                </c:pt>
                <c:pt idx="244">
                  <c:v>13.822203159999999</c:v>
                </c:pt>
                <c:pt idx="245">
                  <c:v>14.20490571</c:v>
                </c:pt>
                <c:pt idx="246">
                  <c:v>14.798012080000001</c:v>
                </c:pt>
                <c:pt idx="247">
                  <c:v>14.31316775</c:v>
                </c:pt>
                <c:pt idx="248">
                  <c:v>14.565111309999999</c:v>
                </c:pt>
                <c:pt idx="249">
                  <c:v>13.760632020000001</c:v>
                </c:pt>
                <c:pt idx="250">
                  <c:v>13.420636119999999</c:v>
                </c:pt>
                <c:pt idx="251">
                  <c:v>13.07674993</c:v>
                </c:pt>
                <c:pt idx="252">
                  <c:v>12.958733669999999</c:v>
                </c:pt>
                <c:pt idx="253">
                  <c:v>13.128831210000001</c:v>
                </c:pt>
                <c:pt idx="254">
                  <c:v>12.94047145</c:v>
                </c:pt>
                <c:pt idx="255">
                  <c:v>12.10257324</c:v>
                </c:pt>
                <c:pt idx="256">
                  <c:v>11.960182159999999</c:v>
                </c:pt>
                <c:pt idx="257">
                  <c:v>12.49594634</c:v>
                </c:pt>
                <c:pt idx="258">
                  <c:v>12.10662801</c:v>
                </c:pt>
                <c:pt idx="259">
                  <c:v>12.6065877</c:v>
                </c:pt>
                <c:pt idx="260">
                  <c:v>11.619234980000002</c:v>
                </c:pt>
                <c:pt idx="261">
                  <c:v>11.318924730000001</c:v>
                </c:pt>
                <c:pt idx="262">
                  <c:v>11.201677709999998</c:v>
                </c:pt>
                <c:pt idx="263">
                  <c:v>10.50948112</c:v>
                </c:pt>
                <c:pt idx="264">
                  <c:v>10.179480290000001</c:v>
                </c:pt>
                <c:pt idx="265">
                  <c:v>10.314088340000001</c:v>
                </c:pt>
                <c:pt idx="266">
                  <c:v>10.279172000000001</c:v>
                </c:pt>
                <c:pt idx="267">
                  <c:v>9.979609</c:v>
                </c:pt>
                <c:pt idx="268">
                  <c:v>10.193864999999999</c:v>
                </c:pt>
                <c:pt idx="269">
                  <c:v>10.463848</c:v>
                </c:pt>
                <c:pt idx="270">
                  <c:v>10.868331000000001</c:v>
                </c:pt>
                <c:pt idx="271">
                  <c:v>11.110851</c:v>
                </c:pt>
                <c:pt idx="272">
                  <c:v>11.53417</c:v>
                </c:pt>
                <c:pt idx="273">
                  <c:v>11.695129999999999</c:v>
                </c:pt>
                <c:pt idx="274">
                  <c:v>11.443320000000002</c:v>
                </c:pt>
                <c:pt idx="275">
                  <c:v>10.430530000000001</c:v>
                </c:pt>
                <c:pt idx="276">
                  <c:v>10.48316</c:v>
                </c:pt>
                <c:pt idx="277">
                  <c:v>10.772410000000001</c:v>
                </c:pt>
                <c:pt idx="278">
                  <c:v>10.990939179163986</c:v>
                </c:pt>
                <c:pt idx="279">
                  <c:v>11.332316699441931</c:v>
                </c:pt>
                <c:pt idx="280">
                  <c:v>11.129720599874661</c:v>
                </c:pt>
                <c:pt idx="281">
                  <c:v>11.441299837978519</c:v>
                </c:pt>
                <c:pt idx="282">
                  <c:v>10.758426134008237</c:v>
                </c:pt>
                <c:pt idx="283">
                  <c:v>12.000056898428433</c:v>
                </c:pt>
                <c:pt idx="284">
                  <c:v>12.841946223664904</c:v>
                </c:pt>
                <c:pt idx="285">
                  <c:v>12.922488005311301</c:v>
                </c:pt>
                <c:pt idx="286">
                  <c:v>13.033011891245241</c:v>
                </c:pt>
                <c:pt idx="287">
                  <c:v>13.465891982281985</c:v>
                </c:pt>
                <c:pt idx="288">
                  <c:v>13.247404006645541</c:v>
                </c:pt>
                <c:pt idx="289">
                  <c:v>13.476069435309739</c:v>
                </c:pt>
                <c:pt idx="290">
                  <c:v>13.539422577730591</c:v>
                </c:pt>
                <c:pt idx="291">
                  <c:v>13.278038054574891</c:v>
                </c:pt>
                <c:pt idx="292">
                  <c:v>13.056667960294661</c:v>
                </c:pt>
                <c:pt idx="293">
                  <c:v>13.398088776980705</c:v>
                </c:pt>
                <c:pt idx="294">
                  <c:v>12.407042968959876</c:v>
                </c:pt>
                <c:pt idx="295">
                  <c:v>12.431951054222369</c:v>
                </c:pt>
                <c:pt idx="296">
                  <c:v>12.070722609413075</c:v>
                </c:pt>
                <c:pt idx="297">
                  <c:v>11.517878603438698</c:v>
                </c:pt>
                <c:pt idx="298">
                  <c:v>11.160735080851452</c:v>
                </c:pt>
                <c:pt idx="299">
                  <c:v>11.421062204311649</c:v>
                </c:pt>
                <c:pt idx="300">
                  <c:v>11.527713380750606</c:v>
                </c:pt>
                <c:pt idx="301">
                  <c:v>11.5178269388194</c:v>
                </c:pt>
                <c:pt idx="302">
                  <c:v>11.390980758893967</c:v>
                </c:pt>
                <c:pt idx="303">
                  <c:v>10.358798954655256</c:v>
                </c:pt>
                <c:pt idx="304">
                  <c:v>9.9080149875674</c:v>
                </c:pt>
                <c:pt idx="305">
                  <c:v>9.599980704307681</c:v>
                </c:pt>
                <c:pt idx="306">
                  <c:v>9.4359146813767101</c:v>
                </c:pt>
                <c:pt idx="307">
                  <c:v>9.0670010751322678</c:v>
                </c:pt>
                <c:pt idx="308">
                  <c:v>8.9895760946336356</c:v>
                </c:pt>
                <c:pt idx="309">
                  <c:v>8.867406509869717</c:v>
                </c:pt>
                <c:pt idx="310">
                  <c:v>8.6330909957875459</c:v>
                </c:pt>
                <c:pt idx="311">
                  <c:v>8.6051492415009143</c:v>
                </c:pt>
                <c:pt idx="312">
                  <c:v>8.6175216758966489</c:v>
                </c:pt>
                <c:pt idx="313">
                  <c:v>8.5516203241923261</c:v>
                </c:pt>
                <c:pt idx="314">
                  <c:v>8.3909265293219342</c:v>
                </c:pt>
                <c:pt idx="315">
                  <c:v>7.9544582463332096</c:v>
                </c:pt>
                <c:pt idx="316">
                  <c:v>7.8754587868249022</c:v>
                </c:pt>
                <c:pt idx="317">
                  <c:v>8.023071753872836</c:v>
                </c:pt>
                <c:pt idx="318">
                  <c:v>7.8788964656387259</c:v>
                </c:pt>
                <c:pt idx="319">
                  <c:v>7.7633635641166192</c:v>
                </c:pt>
                <c:pt idx="320">
                  <c:v>7.6439431875465358</c:v>
                </c:pt>
                <c:pt idx="321">
                  <c:v>7.5106873778887406</c:v>
                </c:pt>
                <c:pt idx="322">
                  <c:v>7.1871278209465403</c:v>
                </c:pt>
                <c:pt idx="323">
                  <c:v>7.1708654454547194</c:v>
                </c:pt>
                <c:pt idx="324">
                  <c:v>7.2139263094059842</c:v>
                </c:pt>
                <c:pt idx="325">
                  <c:v>6.9871258802434921</c:v>
                </c:pt>
                <c:pt idx="326">
                  <c:v>7.0923825106069067</c:v>
                </c:pt>
                <c:pt idx="327">
                  <c:v>6.680049564129888</c:v>
                </c:pt>
                <c:pt idx="328">
                  <c:v>6.9043790535198983</c:v>
                </c:pt>
                <c:pt idx="329">
                  <c:v>7.1703969067458386</c:v>
                </c:pt>
                <c:pt idx="330">
                  <c:v>7.3190616877473635</c:v>
                </c:pt>
                <c:pt idx="331">
                  <c:v>7.2787485934189124</c:v>
                </c:pt>
                <c:pt idx="332">
                  <c:v>7.2972082682029029</c:v>
                </c:pt>
                <c:pt idx="333">
                  <c:v>7.4591339984300085</c:v>
                </c:pt>
                <c:pt idx="334">
                  <c:v>7.3104861550906124</c:v>
                </c:pt>
                <c:pt idx="335">
                  <c:v>7.1938246206007905</c:v>
                </c:pt>
                <c:pt idx="336">
                  <c:v>7.495573940732875</c:v>
                </c:pt>
                <c:pt idx="337">
                  <c:v>7.2461029350539556</c:v>
                </c:pt>
                <c:pt idx="338">
                  <c:v>7.035706875228839</c:v>
                </c:pt>
                <c:pt idx="339">
                  <c:v>7.0375788712085798</c:v>
                </c:pt>
                <c:pt idx="340">
                  <c:v>7.3870126397151363</c:v>
                </c:pt>
                <c:pt idx="341">
                  <c:v>7.4812396006087631</c:v>
                </c:pt>
                <c:pt idx="342">
                  <c:v>7.1548448785477579</c:v>
                </c:pt>
                <c:pt idx="343">
                  <c:v>6.9872466834251181</c:v>
                </c:pt>
                <c:pt idx="344">
                  <c:v>6.8711787322794544</c:v>
                </c:pt>
                <c:pt idx="345">
                  <c:v>6.6752832013396599</c:v>
                </c:pt>
                <c:pt idx="346">
                  <c:v>6.7578164131939982</c:v>
                </c:pt>
                <c:pt idx="347">
                  <c:v>7.0694076236123351</c:v>
                </c:pt>
                <c:pt idx="348">
                  <c:v>6.6103665812567556</c:v>
                </c:pt>
                <c:pt idx="349">
                  <c:v>6.3128664375220902</c:v>
                </c:pt>
                <c:pt idx="350">
                  <c:v>5.934943480545317</c:v>
                </c:pt>
                <c:pt idx="351">
                  <c:v>5.8223508596219471</c:v>
                </c:pt>
                <c:pt idx="352">
                  <c:v>5.7112428001522302</c:v>
                </c:pt>
                <c:pt idx="353">
                  <c:v>5.7299821337223555</c:v>
                </c:pt>
                <c:pt idx="354">
                  <c:v>5.5964672153653838</c:v>
                </c:pt>
                <c:pt idx="355">
                  <c:v>5.6452948325030654</c:v>
                </c:pt>
                <c:pt idx="356">
                  <c:v>5.4605428265108955</c:v>
                </c:pt>
                <c:pt idx="357">
                  <c:v>5.5275071383400292</c:v>
                </c:pt>
                <c:pt idx="358">
                  <c:v>5.3550737631660805</c:v>
                </c:pt>
                <c:pt idx="359">
                  <c:v>5.3431425259057335</c:v>
                </c:pt>
                <c:pt idx="360">
                  <c:v>5.423806347478676</c:v>
                </c:pt>
                <c:pt idx="361">
                  <c:v>5.5527155826696095</c:v>
                </c:pt>
                <c:pt idx="362">
                  <c:v>5.2907705889641132</c:v>
                </c:pt>
                <c:pt idx="363">
                  <c:v>5.0517597223785691</c:v>
                </c:pt>
                <c:pt idx="364">
                  <c:v>5.0506142430682415</c:v>
                </c:pt>
                <c:pt idx="365">
                  <c:v>5.0819566517023835</c:v>
                </c:pt>
                <c:pt idx="366">
                  <c:v>4.9857360564525139</c:v>
                </c:pt>
                <c:pt idx="367">
                  <c:v>4.9827043549012968</c:v>
                </c:pt>
                <c:pt idx="368">
                  <c:v>4.8884458408200793</c:v>
                </c:pt>
                <c:pt idx="369">
                  <c:v>5.018455350292248</c:v>
                </c:pt>
                <c:pt idx="370">
                  <c:v>4.9028022043244537</c:v>
                </c:pt>
                <c:pt idx="371">
                  <c:v>4.7889881371015592</c:v>
                </c:pt>
                <c:pt idx="372">
                  <c:v>4.4498176402665885</c:v>
                </c:pt>
                <c:pt idx="373">
                  <c:v>4.2411529167619024</c:v>
                </c:pt>
                <c:pt idx="374">
                  <c:v>3.8994742423528588</c:v>
                </c:pt>
                <c:pt idx="375">
                  <c:v>3.8979868509548199</c:v>
                </c:pt>
                <c:pt idx="376">
                  <c:v>3.6645870791443462</c:v>
                </c:pt>
                <c:pt idx="377">
                  <c:v>3.7975769382312916</c:v>
                </c:pt>
                <c:pt idx="378">
                  <c:v>4.0804442943400518</c:v>
                </c:pt>
                <c:pt idx="379">
                  <c:v>4.3457598132769695</c:v>
                </c:pt>
                <c:pt idx="380">
                  <c:v>4.4253809663660171</c:v>
                </c:pt>
                <c:pt idx="381">
                  <c:v>4.3918646838004225</c:v>
                </c:pt>
                <c:pt idx="382">
                  <c:v>4.3933425515146416</c:v>
                </c:pt>
                <c:pt idx="383">
                  <c:v>4.4617659815721051</c:v>
                </c:pt>
                <c:pt idx="384">
                  <c:v>4.4543839092945881</c:v>
                </c:pt>
                <c:pt idx="385">
                  <c:v>4.6125877779402495</c:v>
                </c:pt>
                <c:pt idx="386">
                  <c:v>4.7177755758094815</c:v>
                </c:pt>
                <c:pt idx="387">
                  <c:v>4.7721066494760569</c:v>
                </c:pt>
                <c:pt idx="388">
                  <c:v>4.8376403491711475</c:v>
                </c:pt>
                <c:pt idx="389">
                  <c:v>5.0460974663674669</c:v>
                </c:pt>
                <c:pt idx="390">
                  <c:v>5.1064566882655997</c:v>
                </c:pt>
                <c:pt idx="391">
                  <c:v>5.1015052285088727</c:v>
                </c:pt>
                <c:pt idx="392">
                  <c:v>4.9830454905677124</c:v>
                </c:pt>
                <c:pt idx="393">
                  <c:v>4.9399396512698264</c:v>
                </c:pt>
                <c:pt idx="394">
                  <c:v>4.8252006076945815</c:v>
                </c:pt>
                <c:pt idx="395">
                  <c:v>4.7457684366223623</c:v>
                </c:pt>
                <c:pt idx="396">
                  <c:v>4.7471143147373054</c:v>
                </c:pt>
                <c:pt idx="397">
                  <c:v>4.8269218686053268</c:v>
                </c:pt>
                <c:pt idx="398">
                  <c:v>4.804916016328951</c:v>
                </c:pt>
                <c:pt idx="399">
                  <c:v>4.7991085862340972</c:v>
                </c:pt>
                <c:pt idx="400">
                  <c:v>4.8771798574697094</c:v>
                </c:pt>
                <c:pt idx="401">
                  <c:v>4.9136904644779182</c:v>
                </c:pt>
                <c:pt idx="402">
                  <c:v>4.9305862176735031</c:v>
                </c:pt>
                <c:pt idx="403">
                  <c:v>4.9621301914972999</c:v>
                </c:pt>
                <c:pt idx="404">
                  <c:v>4.9001583349496007</c:v>
                </c:pt>
                <c:pt idx="405">
                  <c:v>4.7764530257989639</c:v>
                </c:pt>
                <c:pt idx="406">
                  <c:v>4.8318314138948075</c:v>
                </c:pt>
                <c:pt idx="407">
                  <c:v>4.7923809413380916</c:v>
                </c:pt>
                <c:pt idx="408">
                  <c:v>4.7828223894847248</c:v>
                </c:pt>
                <c:pt idx="409">
                  <c:v>4.6702524459265655</c:v>
                </c:pt>
                <c:pt idx="410">
                  <c:v>4.3149371232907825</c:v>
                </c:pt>
                <c:pt idx="411">
                  <c:v>4.1669293873848288</c:v>
                </c:pt>
                <c:pt idx="412">
                  <c:v>4.1275248487296716</c:v>
                </c:pt>
                <c:pt idx="413">
                  <c:v>4.8151944722316395</c:v>
                </c:pt>
                <c:pt idx="414">
                  <c:v>4.9160701723345417</c:v>
                </c:pt>
                <c:pt idx="415">
                  <c:v>5.0113067854078874</c:v>
                </c:pt>
                <c:pt idx="416">
                  <c:v>5.0063639672185056</c:v>
                </c:pt>
                <c:pt idx="417">
                  <c:v>4.9087203884718766</c:v>
                </c:pt>
                <c:pt idx="418">
                  <c:v>4.955902948507374</c:v>
                </c:pt>
                <c:pt idx="419">
                  <c:v>5.0940317925750858</c:v>
                </c:pt>
                <c:pt idx="420">
                  <c:v>5.0846960719450633</c:v>
                </c:pt>
                <c:pt idx="421">
                  <c:v>4.9335087744870485</c:v>
                </c:pt>
                <c:pt idx="422">
                  <c:v>4.8302557022352657</c:v>
                </c:pt>
                <c:pt idx="423">
                  <c:v>4.8816522857218381</c:v>
                </c:pt>
                <c:pt idx="424">
                  <c:v>4.9088990859181347</c:v>
                </c:pt>
                <c:pt idx="425">
                  <c:v>4.7340141002766281</c:v>
                </c:pt>
                <c:pt idx="426">
                  <c:v>4.8503045262686006</c:v>
                </c:pt>
                <c:pt idx="427">
                  <c:v>4.6561524490688173</c:v>
                </c:pt>
                <c:pt idx="428">
                  <c:v>4.6352272487056698</c:v>
                </c:pt>
                <c:pt idx="429">
                  <c:v>4.4775846224280889</c:v>
                </c:pt>
                <c:pt idx="430">
                  <c:v>4.5032661684655118</c:v>
                </c:pt>
                <c:pt idx="431">
                  <c:v>4.4764626055221557</c:v>
                </c:pt>
                <c:pt idx="432">
                  <c:v>4.3689825119067534</c:v>
                </c:pt>
                <c:pt idx="433">
                  <c:v>4.2096760120037588</c:v>
                </c:pt>
                <c:pt idx="434">
                  <c:v>4.0530491224686669</c:v>
                </c:pt>
                <c:pt idx="435">
                  <c:v>4.0282880375312802</c:v>
                </c:pt>
                <c:pt idx="436">
                  <c:v>4.0941288057353002</c:v>
                </c:pt>
                <c:pt idx="437">
                  <c:v>3.9694377084591435</c:v>
                </c:pt>
                <c:pt idx="438">
                  <c:v>4.097027655067353</c:v>
                </c:pt>
                <c:pt idx="439">
                  <c:v>4.3339747760301721</c:v>
                </c:pt>
                <c:pt idx="440">
                  <c:v>4.2943586178005075</c:v>
                </c:pt>
                <c:pt idx="441">
                  <c:v>4.1969713845062602</c:v>
                </c:pt>
                <c:pt idx="442">
                  <c:v>4.0857397271369038</c:v>
                </c:pt>
                <c:pt idx="443">
                  <c:v>4.0819606765163101</c:v>
                </c:pt>
                <c:pt idx="444">
                  <c:v>4.1096276018694224</c:v>
                </c:pt>
                <c:pt idx="445">
                  <c:v>4.0430778968380823</c:v>
                </c:pt>
                <c:pt idx="446">
                  <c:v>3.8265218505980094</c:v>
                </c:pt>
                <c:pt idx="447">
                  <c:v>3.7741803214845002</c:v>
                </c:pt>
                <c:pt idx="448">
                  <c:v>3.7266932311223822</c:v>
                </c:pt>
                <c:pt idx="449">
                  <c:v>3.6172060293687656</c:v>
                </c:pt>
                <c:pt idx="450">
                  <c:v>3.4378702366739384</c:v>
                </c:pt>
                <c:pt idx="451">
                  <c:v>3.2779521046327504</c:v>
                </c:pt>
                <c:pt idx="452">
                  <c:v>3.3021037974748024</c:v>
                </c:pt>
                <c:pt idx="453">
                  <c:v>3.2937485323976756</c:v>
                </c:pt>
                <c:pt idx="454">
                  <c:v>3.389434212531548</c:v>
                </c:pt>
                <c:pt idx="455">
                  <c:v>3.3471514358216798</c:v>
                </c:pt>
                <c:pt idx="456">
                  <c:v>3.3240055937590047</c:v>
                </c:pt>
                <c:pt idx="457">
                  <c:v>3.3763798494225337</c:v>
                </c:pt>
                <c:pt idx="458">
                  <c:v>3.3327624442456791</c:v>
                </c:pt>
                <c:pt idx="459">
                  <c:v>3.2830456360894669</c:v>
                </c:pt>
                <c:pt idx="460">
                  <c:v>3.2366411066202176</c:v>
                </c:pt>
                <c:pt idx="461">
                  <c:v>3.1571386966461237</c:v>
                </c:pt>
                <c:pt idx="462">
                  <c:v>3.0882121636360718</c:v>
                </c:pt>
                <c:pt idx="463">
                  <c:v>3.1122017742895283</c:v>
                </c:pt>
                <c:pt idx="464">
                  <c:v>3.1553563429368325</c:v>
                </c:pt>
                <c:pt idx="465">
                  <c:v>3.184414276057745</c:v>
                </c:pt>
                <c:pt idx="466">
                  <c:v>3.1822723903445205</c:v>
                </c:pt>
                <c:pt idx="467">
                  <c:v>3.0226790359966698</c:v>
                </c:pt>
                <c:pt idx="468">
                  <c:v>2.7904503595878638</c:v>
                </c:pt>
                <c:pt idx="469">
                  <c:v>2.7171006859739095</c:v>
                </c:pt>
                <c:pt idx="470">
                  <c:v>2.6562465399309882</c:v>
                </c:pt>
                <c:pt idx="471">
                  <c:v>2.6099176746648451</c:v>
                </c:pt>
                <c:pt idx="472">
                  <c:v>2.4913922519222704</c:v>
                </c:pt>
                <c:pt idx="473">
                  <c:v>2.2450797968238727</c:v>
                </c:pt>
                <c:pt idx="474">
                  <c:v>2.1425063006999041</c:v>
                </c:pt>
                <c:pt idx="475">
                  <c:v>2.0011924463122428</c:v>
                </c:pt>
                <c:pt idx="476">
                  <c:v>1.9247774477651935</c:v>
                </c:pt>
                <c:pt idx="477">
                  <c:v>1.9982335978653334</c:v>
                </c:pt>
                <c:pt idx="478">
                  <c:v>2.0180584226082106</c:v>
                </c:pt>
                <c:pt idx="479">
                  <c:v>1.9690839494659429</c:v>
                </c:pt>
                <c:pt idx="480">
                  <c:v>1.9587369528522915</c:v>
                </c:pt>
                <c:pt idx="481">
                  <c:v>1.9997410879323214</c:v>
                </c:pt>
                <c:pt idx="482">
                  <c:v>2.0177503267877852</c:v>
                </c:pt>
                <c:pt idx="483">
                  <c:v>2.0484018729414042</c:v>
                </c:pt>
                <c:pt idx="484">
                  <c:v>1.9255203007825819</c:v>
                </c:pt>
                <c:pt idx="485">
                  <c:v>1.830947925845972</c:v>
                </c:pt>
                <c:pt idx="486">
                  <c:v>1.9386163619416592</c:v>
                </c:pt>
                <c:pt idx="487">
                  <c:v>2.0457532168843353</c:v>
                </c:pt>
                <c:pt idx="488">
                  <c:v>2.0340005319685606</c:v>
                </c:pt>
                <c:pt idx="489">
                  <c:v>1.9559728249174955</c:v>
                </c:pt>
                <c:pt idx="490">
                  <c:v>2.0497567194911319</c:v>
                </c:pt>
                <c:pt idx="491">
                  <c:v>2.0199928102102462</c:v>
                </c:pt>
                <c:pt idx="492">
                  <c:v>1.9055928654506211</c:v>
                </c:pt>
                <c:pt idx="493">
                  <c:v>1.8931798286567301</c:v>
                </c:pt>
                <c:pt idx="494">
                  <c:v>1.8583822509983685</c:v>
                </c:pt>
                <c:pt idx="495">
                  <c:v>1.9013207665563081</c:v>
                </c:pt>
                <c:pt idx="496">
                  <c:v>1.921031450199101</c:v>
                </c:pt>
                <c:pt idx="497">
                  <c:v>1.7797401538897133</c:v>
                </c:pt>
                <c:pt idx="498">
                  <c:v>1.8117928364216385</c:v>
                </c:pt>
                <c:pt idx="499">
                  <c:v>1.7735516852453403</c:v>
                </c:pt>
                <c:pt idx="500">
                  <c:v>1.6424378963875261</c:v>
                </c:pt>
                <c:pt idx="501">
                  <c:v>1.5523543702236651</c:v>
                </c:pt>
                <c:pt idx="502">
                  <c:v>1.4419364205031941</c:v>
                </c:pt>
                <c:pt idx="503">
                  <c:v>1.3293309615589988</c:v>
                </c:pt>
                <c:pt idx="504">
                  <c:v>1.5334865837024705</c:v>
                </c:pt>
                <c:pt idx="505">
                  <c:v>1.5515715653296553</c:v>
                </c:pt>
                <c:pt idx="506">
                  <c:v>1.4516404698950653</c:v>
                </c:pt>
                <c:pt idx="507">
                  <c:v>1.440734076914471</c:v>
                </c:pt>
                <c:pt idx="508">
                  <c:v>1.369039763136761</c:v>
                </c:pt>
                <c:pt idx="509">
                  <c:v>1.5459416287291052</c:v>
                </c:pt>
                <c:pt idx="510">
                  <c:v>1.5904590253583299</c:v>
                </c:pt>
                <c:pt idx="511">
                  <c:v>1.4448766561674253</c:v>
                </c:pt>
                <c:pt idx="512">
                  <c:v>1.4088911693169532</c:v>
                </c:pt>
                <c:pt idx="513">
                  <c:v>1.3073067032317141</c:v>
                </c:pt>
                <c:pt idx="514">
                  <c:v>1.3091212224842295</c:v>
                </c:pt>
                <c:pt idx="515">
                  <c:v>1.2896238622853045</c:v>
                </c:pt>
                <c:pt idx="516">
                  <c:v>1.1946179911947763</c:v>
                </c:pt>
                <c:pt idx="517">
                  <c:v>1.1971977200250725</c:v>
                </c:pt>
                <c:pt idx="518">
                  <c:v>1.1121462612911766</c:v>
                </c:pt>
                <c:pt idx="519">
                  <c:v>1.1050094340999852</c:v>
                </c:pt>
                <c:pt idx="520">
                  <c:v>1.0981346674354335</c:v>
                </c:pt>
                <c:pt idx="521">
                  <c:v>1.2274549952765472</c:v>
                </c:pt>
                <c:pt idx="522">
                  <c:v>1.2109554141216872</c:v>
                </c:pt>
                <c:pt idx="523">
                  <c:v>1.1618841090280838</c:v>
                </c:pt>
                <c:pt idx="524">
                  <c:v>1.1324643046838876</c:v>
                </c:pt>
                <c:pt idx="525">
                  <c:v>1.1352459729159121</c:v>
                </c:pt>
                <c:pt idx="526">
                  <c:v>1.1556455930256755</c:v>
                </c:pt>
                <c:pt idx="527">
                  <c:v>1.1495195024231528</c:v>
                </c:pt>
                <c:pt idx="528">
                  <c:v>1.1068201827815194</c:v>
                </c:pt>
                <c:pt idx="529">
                  <c:v>1.0943777782958735</c:v>
                </c:pt>
                <c:pt idx="530">
                  <c:v>1.1306955929735829</c:v>
                </c:pt>
                <c:pt idx="531">
                  <c:v>1.1281669747964562</c:v>
                </c:pt>
                <c:pt idx="532">
                  <c:v>1.0577444678471091</c:v>
                </c:pt>
                <c:pt idx="533">
                  <c:v>1.069658106980697</c:v>
                </c:pt>
                <c:pt idx="534">
                  <c:v>1.086597466054102</c:v>
                </c:pt>
                <c:pt idx="535">
                  <c:v>1.0748017957937328</c:v>
                </c:pt>
                <c:pt idx="536">
                  <c:v>1.0403066765856595</c:v>
                </c:pt>
                <c:pt idx="537">
                  <c:v>0.98979117738561273</c:v>
                </c:pt>
                <c:pt idx="538">
                  <c:v>1.0010922960845443</c:v>
                </c:pt>
                <c:pt idx="539">
                  <c:v>0.96579998847875415</c:v>
                </c:pt>
                <c:pt idx="540">
                  <c:v>0.96234760302212119</c:v>
                </c:pt>
                <c:pt idx="541">
                  <c:v>0.966758274266313</c:v>
                </c:pt>
                <c:pt idx="542">
                  <c:v>0.94955405356786515</c:v>
                </c:pt>
                <c:pt idx="543">
                  <c:v>0.87239177889781971</c:v>
                </c:pt>
                <c:pt idx="544">
                  <c:v>0.83616121769766327</c:v>
                </c:pt>
                <c:pt idx="545">
                  <c:v>0.82580778880382055</c:v>
                </c:pt>
                <c:pt idx="546">
                  <c:v>0.79910486545902759</c:v>
                </c:pt>
                <c:pt idx="547">
                  <c:v>0.7761420056928009</c:v>
                </c:pt>
                <c:pt idx="548">
                  <c:v>0.75275048607514594</c:v>
                </c:pt>
                <c:pt idx="549">
                  <c:v>0.74249247071461</c:v>
                </c:pt>
                <c:pt idx="550">
                  <c:v>0.75756645299727088</c:v>
                </c:pt>
                <c:pt idx="551">
                  <c:v>0.752089646691396</c:v>
                </c:pt>
                <c:pt idx="552">
                  <c:v>0.75883807259009928</c:v>
                </c:pt>
                <c:pt idx="553">
                  <c:v>0.7302850306231311</c:v>
                </c:pt>
                <c:pt idx="554">
                  <c:v>0.63739695946684083</c:v>
                </c:pt>
                <c:pt idx="555">
                  <c:v>0.60334694719564863</c:v>
                </c:pt>
                <c:pt idx="556">
                  <c:v>0.59496278400024227</c:v>
                </c:pt>
                <c:pt idx="557">
                  <c:v>0.60325232515313876</c:v>
                </c:pt>
                <c:pt idx="558">
                  <c:v>0.6532207565522411</c:v>
                </c:pt>
                <c:pt idx="559">
                  <c:v>0.66279763423326843</c:v>
                </c:pt>
                <c:pt idx="560">
                  <c:v>0.6612752113940108</c:v>
                </c:pt>
                <c:pt idx="561">
                  <c:v>0.62158911818215523</c:v>
                </c:pt>
                <c:pt idx="562">
                  <c:v>0.60114783391768956</c:v>
                </c:pt>
                <c:pt idx="563">
                  <c:v>0.6355787437521212</c:v>
                </c:pt>
                <c:pt idx="564">
                  <c:v>0.58338261181458717</c:v>
                </c:pt>
                <c:pt idx="565">
                  <c:v>0.61157203012717842</c:v>
                </c:pt>
                <c:pt idx="566">
                  <c:v>0.46751688428498356</c:v>
                </c:pt>
                <c:pt idx="567">
                  <c:v>0.51429566930655146</c:v>
                </c:pt>
                <c:pt idx="568">
                  <c:v>0.57448398982527615</c:v>
                </c:pt>
                <c:pt idx="569">
                  <c:v>0.52755454297395887</c:v>
                </c:pt>
                <c:pt idx="570">
                  <c:v>0.51033823811182966</c:v>
                </c:pt>
                <c:pt idx="571">
                  <c:v>0.62187419598267535</c:v>
                </c:pt>
                <c:pt idx="572">
                  <c:v>0.6319920197678105</c:v>
                </c:pt>
                <c:pt idx="573">
                  <c:v>0.69595223493501901</c:v>
                </c:pt>
                <c:pt idx="574">
                  <c:v>0.73767696586222486</c:v>
                </c:pt>
                <c:pt idx="575">
                  <c:v>0.84050257017204699</c:v>
                </c:pt>
                <c:pt idx="576">
                  <c:v>0.87256585048201529</c:v>
                </c:pt>
                <c:pt idx="577">
                  <c:v>0.83441754129874168</c:v>
                </c:pt>
                <c:pt idx="578">
                  <c:v>0.80929587249522716</c:v>
                </c:pt>
                <c:pt idx="579">
                  <c:v>0.88483314067648255</c:v>
                </c:pt>
                <c:pt idx="580">
                  <c:v>1.0292181155755655</c:v>
                </c:pt>
                <c:pt idx="581">
                  <c:v>1.0167477160227711</c:v>
                </c:pt>
                <c:pt idx="582">
                  <c:v>0.94277559680835576</c:v>
                </c:pt>
                <c:pt idx="583">
                  <c:v>1.0086660207374687</c:v>
                </c:pt>
                <c:pt idx="584">
                  <c:v>0.9872174839158887</c:v>
                </c:pt>
                <c:pt idx="585">
                  <c:v>0.97824781136549332</c:v>
                </c:pt>
                <c:pt idx="586">
                  <c:v>1.019370526246669</c:v>
                </c:pt>
                <c:pt idx="587">
                  <c:v>1.0605124039595821</c:v>
                </c:pt>
                <c:pt idx="588">
                  <c:v>1.0439145612116787</c:v>
                </c:pt>
                <c:pt idx="589">
                  <c:v>1.1157311756728794</c:v>
                </c:pt>
                <c:pt idx="590">
                  <c:v>1.1119246184935516</c:v>
                </c:pt>
                <c:pt idx="591">
                  <c:v>1.1121273837824177</c:v>
                </c:pt>
                <c:pt idx="592">
                  <c:v>1.0890154111788206</c:v>
                </c:pt>
                <c:pt idx="593">
                  <c:v>1.0588745235129116</c:v>
                </c:pt>
                <c:pt idx="594">
                  <c:v>1.0283842569111861</c:v>
                </c:pt>
                <c:pt idx="595">
                  <c:v>1.0401767164211888</c:v>
                </c:pt>
                <c:pt idx="596">
                  <c:v>1.0115997822831269</c:v>
                </c:pt>
                <c:pt idx="597">
                  <c:v>1.0115299745765214</c:v>
                </c:pt>
                <c:pt idx="598">
                  <c:v>1.0270063022676619</c:v>
                </c:pt>
                <c:pt idx="599">
                  <c:v>1.0243956105905552</c:v>
                </c:pt>
                <c:pt idx="600">
                  <c:v>1.0218162143752023</c:v>
                </c:pt>
                <c:pt idx="601">
                  <c:v>1.0122035250000001</c:v>
                </c:pt>
                <c:pt idx="602">
                  <c:v>1</c:v>
                </c:pt>
              </c:numCache>
            </c:numRef>
          </c:val>
          <c:smooth val="0"/>
          <c:extLst>
            <c:ext xmlns:c16="http://schemas.microsoft.com/office/drawing/2014/chart" uri="{C3380CC4-5D6E-409C-BE32-E72D297353CC}">
              <c16:uniqueId val="{00000001-6D0E-41D0-BED4-3A51563F7F9B}"/>
            </c:ext>
          </c:extLst>
        </c:ser>
        <c:dLbls>
          <c:showLegendKey val="0"/>
          <c:showVal val="0"/>
          <c:showCatName val="0"/>
          <c:showSerName val="0"/>
          <c:showPercent val="0"/>
          <c:showBubbleSize val="0"/>
        </c:dLbls>
        <c:smooth val="0"/>
        <c:axId val="1807782480"/>
        <c:axId val="1807788304"/>
      </c:lineChart>
      <c:dateAx>
        <c:axId val="1807782480"/>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07788304"/>
        <c:crosses val="autoZero"/>
        <c:auto val="1"/>
        <c:lblOffset val="100"/>
        <c:baseTimeUnit val="months"/>
      </c:dateAx>
      <c:valAx>
        <c:axId val="18077883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077824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'FRED Graph'!$B$11</c:f>
              <c:strCache>
                <c:ptCount val="1"/>
                <c:pt idx="0">
                  <c:v>Days on market</c:v>
                </c:pt>
              </c:strCache>
            </c:strRef>
          </c:tx>
          <c:spPr>
            <a:ln w="28575" cap="rnd">
              <a:solidFill>
                <a:schemeClr val="accent1"/>
              </a:solidFill>
              <a:round/>
            </a:ln>
            <a:effectLst/>
          </c:spPr>
          <c:marker>
            <c:symbol val="none"/>
          </c:marker>
          <c:cat>
            <c:numRef>
              <c:f>'FRED Graph'!$A$12:$A$78</c:f>
              <c:numCache>
                <c:formatCode>yyyy\-mm\-dd</c:formatCode>
                <c:ptCount val="67"/>
                <c:pt idx="0">
                  <c:v>42552</c:v>
                </c:pt>
                <c:pt idx="1">
                  <c:v>42583</c:v>
                </c:pt>
                <c:pt idx="2">
                  <c:v>42614</c:v>
                </c:pt>
                <c:pt idx="3">
                  <c:v>42644</c:v>
                </c:pt>
                <c:pt idx="4">
                  <c:v>42675</c:v>
                </c:pt>
                <c:pt idx="5">
                  <c:v>42705</c:v>
                </c:pt>
                <c:pt idx="6">
                  <c:v>42736</c:v>
                </c:pt>
                <c:pt idx="7">
                  <c:v>42767</c:v>
                </c:pt>
                <c:pt idx="8">
                  <c:v>42795</c:v>
                </c:pt>
                <c:pt idx="9">
                  <c:v>42826</c:v>
                </c:pt>
                <c:pt idx="10">
                  <c:v>42856</c:v>
                </c:pt>
                <c:pt idx="11">
                  <c:v>42887</c:v>
                </c:pt>
                <c:pt idx="12">
                  <c:v>42917</c:v>
                </c:pt>
                <c:pt idx="13">
                  <c:v>42948</c:v>
                </c:pt>
                <c:pt idx="14">
                  <c:v>42979</c:v>
                </c:pt>
                <c:pt idx="15">
                  <c:v>43009</c:v>
                </c:pt>
                <c:pt idx="16">
                  <c:v>43040</c:v>
                </c:pt>
                <c:pt idx="17">
                  <c:v>43070</c:v>
                </c:pt>
                <c:pt idx="18">
                  <c:v>43101</c:v>
                </c:pt>
                <c:pt idx="19">
                  <c:v>43132</c:v>
                </c:pt>
                <c:pt idx="20">
                  <c:v>43160</c:v>
                </c:pt>
                <c:pt idx="21">
                  <c:v>43191</c:v>
                </c:pt>
                <c:pt idx="22">
                  <c:v>43221</c:v>
                </c:pt>
                <c:pt idx="23">
                  <c:v>43252</c:v>
                </c:pt>
                <c:pt idx="24">
                  <c:v>43282</c:v>
                </c:pt>
                <c:pt idx="25">
                  <c:v>43313</c:v>
                </c:pt>
                <c:pt idx="26">
                  <c:v>43344</c:v>
                </c:pt>
                <c:pt idx="27">
                  <c:v>43374</c:v>
                </c:pt>
                <c:pt idx="28">
                  <c:v>43405</c:v>
                </c:pt>
                <c:pt idx="29">
                  <c:v>43435</c:v>
                </c:pt>
                <c:pt idx="30">
                  <c:v>43466</c:v>
                </c:pt>
                <c:pt idx="31">
                  <c:v>43497</c:v>
                </c:pt>
                <c:pt idx="32">
                  <c:v>43525</c:v>
                </c:pt>
                <c:pt idx="33">
                  <c:v>43556</c:v>
                </c:pt>
                <c:pt idx="34">
                  <c:v>43586</c:v>
                </c:pt>
                <c:pt idx="35">
                  <c:v>43617</c:v>
                </c:pt>
                <c:pt idx="36">
                  <c:v>43647</c:v>
                </c:pt>
                <c:pt idx="37">
                  <c:v>43678</c:v>
                </c:pt>
                <c:pt idx="38">
                  <c:v>43709</c:v>
                </c:pt>
                <c:pt idx="39">
                  <c:v>43739</c:v>
                </c:pt>
                <c:pt idx="40">
                  <c:v>43770</c:v>
                </c:pt>
                <c:pt idx="41">
                  <c:v>43800</c:v>
                </c:pt>
                <c:pt idx="42">
                  <c:v>43831</c:v>
                </c:pt>
                <c:pt idx="43">
                  <c:v>43862</c:v>
                </c:pt>
                <c:pt idx="44">
                  <c:v>43891</c:v>
                </c:pt>
                <c:pt idx="45">
                  <c:v>43922</c:v>
                </c:pt>
                <c:pt idx="46">
                  <c:v>43952</c:v>
                </c:pt>
                <c:pt idx="47">
                  <c:v>43983</c:v>
                </c:pt>
                <c:pt idx="48">
                  <c:v>44013</c:v>
                </c:pt>
                <c:pt idx="49">
                  <c:v>44044</c:v>
                </c:pt>
                <c:pt idx="50">
                  <c:v>44075</c:v>
                </c:pt>
                <c:pt idx="51">
                  <c:v>44105</c:v>
                </c:pt>
                <c:pt idx="52">
                  <c:v>44136</c:v>
                </c:pt>
                <c:pt idx="53">
                  <c:v>44166</c:v>
                </c:pt>
                <c:pt idx="54">
                  <c:v>44197</c:v>
                </c:pt>
                <c:pt idx="55">
                  <c:v>44228</c:v>
                </c:pt>
                <c:pt idx="56">
                  <c:v>44256</c:v>
                </c:pt>
                <c:pt idx="57">
                  <c:v>44287</c:v>
                </c:pt>
                <c:pt idx="58">
                  <c:v>44317</c:v>
                </c:pt>
                <c:pt idx="59">
                  <c:v>44348</c:v>
                </c:pt>
                <c:pt idx="60">
                  <c:v>44378</c:v>
                </c:pt>
                <c:pt idx="61">
                  <c:v>44409</c:v>
                </c:pt>
                <c:pt idx="62">
                  <c:v>44440</c:v>
                </c:pt>
                <c:pt idx="63">
                  <c:v>44470</c:v>
                </c:pt>
                <c:pt idx="64">
                  <c:v>44501</c:v>
                </c:pt>
                <c:pt idx="65">
                  <c:v>44531</c:v>
                </c:pt>
                <c:pt idx="66">
                  <c:v>44562</c:v>
                </c:pt>
              </c:numCache>
            </c:numRef>
          </c:cat>
          <c:val>
            <c:numRef>
              <c:f>'FRED Graph'!$B$12:$B$78</c:f>
              <c:numCache>
                <c:formatCode>0</c:formatCode>
                <c:ptCount val="67"/>
                <c:pt idx="0">
                  <c:v>69</c:v>
                </c:pt>
                <c:pt idx="1">
                  <c:v>73</c:v>
                </c:pt>
                <c:pt idx="2">
                  <c:v>78</c:v>
                </c:pt>
                <c:pt idx="3">
                  <c:v>79</c:v>
                </c:pt>
                <c:pt idx="4">
                  <c:v>83</c:v>
                </c:pt>
                <c:pt idx="5">
                  <c:v>92</c:v>
                </c:pt>
                <c:pt idx="6">
                  <c:v>96</c:v>
                </c:pt>
                <c:pt idx="7">
                  <c:v>92</c:v>
                </c:pt>
                <c:pt idx="8">
                  <c:v>71</c:v>
                </c:pt>
                <c:pt idx="9">
                  <c:v>65</c:v>
                </c:pt>
                <c:pt idx="10">
                  <c:v>61</c:v>
                </c:pt>
                <c:pt idx="11">
                  <c:v>61</c:v>
                </c:pt>
                <c:pt idx="12">
                  <c:v>65</c:v>
                </c:pt>
                <c:pt idx="13">
                  <c:v>67</c:v>
                </c:pt>
                <c:pt idx="14">
                  <c:v>71</c:v>
                </c:pt>
                <c:pt idx="15">
                  <c:v>75</c:v>
                </c:pt>
                <c:pt idx="16">
                  <c:v>78</c:v>
                </c:pt>
                <c:pt idx="17">
                  <c:v>85</c:v>
                </c:pt>
                <c:pt idx="18">
                  <c:v>90</c:v>
                </c:pt>
                <c:pt idx="19">
                  <c:v>85</c:v>
                </c:pt>
                <c:pt idx="20">
                  <c:v>65</c:v>
                </c:pt>
                <c:pt idx="21">
                  <c:v>60</c:v>
                </c:pt>
                <c:pt idx="22">
                  <c:v>57</c:v>
                </c:pt>
                <c:pt idx="23">
                  <c:v>57</c:v>
                </c:pt>
                <c:pt idx="24">
                  <c:v>60</c:v>
                </c:pt>
                <c:pt idx="25">
                  <c:v>62</c:v>
                </c:pt>
                <c:pt idx="26">
                  <c:v>65</c:v>
                </c:pt>
                <c:pt idx="27">
                  <c:v>69</c:v>
                </c:pt>
                <c:pt idx="28">
                  <c:v>72</c:v>
                </c:pt>
                <c:pt idx="29">
                  <c:v>81</c:v>
                </c:pt>
                <c:pt idx="30">
                  <c:v>87</c:v>
                </c:pt>
                <c:pt idx="31">
                  <c:v>83</c:v>
                </c:pt>
                <c:pt idx="32">
                  <c:v>65</c:v>
                </c:pt>
                <c:pt idx="33">
                  <c:v>59</c:v>
                </c:pt>
                <c:pt idx="34">
                  <c:v>56</c:v>
                </c:pt>
                <c:pt idx="35">
                  <c:v>57</c:v>
                </c:pt>
                <c:pt idx="36">
                  <c:v>60</c:v>
                </c:pt>
                <c:pt idx="37">
                  <c:v>64</c:v>
                </c:pt>
                <c:pt idx="38">
                  <c:v>66</c:v>
                </c:pt>
                <c:pt idx="39">
                  <c:v>66</c:v>
                </c:pt>
                <c:pt idx="40">
                  <c:v>69</c:v>
                </c:pt>
                <c:pt idx="41">
                  <c:v>79</c:v>
                </c:pt>
                <c:pt idx="42">
                  <c:v>85</c:v>
                </c:pt>
                <c:pt idx="43">
                  <c:v>79</c:v>
                </c:pt>
                <c:pt idx="44">
                  <c:v>59</c:v>
                </c:pt>
                <c:pt idx="45">
                  <c:v>62</c:v>
                </c:pt>
                <c:pt idx="46">
                  <c:v>71</c:v>
                </c:pt>
                <c:pt idx="47">
                  <c:v>69</c:v>
                </c:pt>
                <c:pt idx="48">
                  <c:v>58</c:v>
                </c:pt>
                <c:pt idx="49">
                  <c:v>53</c:v>
                </c:pt>
                <c:pt idx="50">
                  <c:v>51</c:v>
                </c:pt>
                <c:pt idx="51">
                  <c:v>51</c:v>
                </c:pt>
                <c:pt idx="52">
                  <c:v>57</c:v>
                </c:pt>
                <c:pt idx="53">
                  <c:v>64</c:v>
                </c:pt>
                <c:pt idx="54">
                  <c:v>71</c:v>
                </c:pt>
                <c:pt idx="55">
                  <c:v>64</c:v>
                </c:pt>
                <c:pt idx="56">
                  <c:v>48</c:v>
                </c:pt>
                <c:pt idx="57">
                  <c:v>40</c:v>
                </c:pt>
                <c:pt idx="58">
                  <c:v>37</c:v>
                </c:pt>
                <c:pt idx="59">
                  <c:v>36</c:v>
                </c:pt>
                <c:pt idx="60">
                  <c:v>37</c:v>
                </c:pt>
                <c:pt idx="61">
                  <c:v>38</c:v>
                </c:pt>
                <c:pt idx="62">
                  <c:v>42</c:v>
                </c:pt>
                <c:pt idx="63">
                  <c:v>43</c:v>
                </c:pt>
                <c:pt idx="64">
                  <c:v>47</c:v>
                </c:pt>
                <c:pt idx="65">
                  <c:v>54</c:v>
                </c:pt>
                <c:pt idx="66">
                  <c:v>61</c:v>
                </c:pt>
              </c:numCache>
            </c:numRef>
          </c:val>
          <c:smooth val="0"/>
          <c:extLst>
            <c:ext xmlns:c16="http://schemas.microsoft.com/office/drawing/2014/chart" uri="{C3380CC4-5D6E-409C-BE32-E72D297353CC}">
              <c16:uniqueId val="{00000000-8BF8-49A3-BA22-93BD34DC4AB7}"/>
            </c:ext>
          </c:extLst>
        </c:ser>
        <c:dLbls>
          <c:showLegendKey val="0"/>
          <c:showVal val="0"/>
          <c:showCatName val="0"/>
          <c:showSerName val="0"/>
          <c:showPercent val="0"/>
          <c:showBubbleSize val="0"/>
        </c:dLbls>
        <c:smooth val="0"/>
        <c:axId val="1400309951"/>
        <c:axId val="1400307455"/>
      </c:lineChart>
      <c:dateAx>
        <c:axId val="1400309951"/>
        <c:scaling>
          <c:orientation val="minMax"/>
        </c:scaling>
        <c:delete val="0"/>
        <c:axPos val="b"/>
        <c:numFmt formatCode="yyyy\-mm\-dd"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00307455"/>
        <c:crosses val="autoZero"/>
        <c:auto val="1"/>
        <c:lblOffset val="100"/>
        <c:baseTimeUnit val="months"/>
      </c:dateAx>
      <c:valAx>
        <c:axId val="1400307455"/>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00309951"/>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none"/>
          </c:marker>
          <c:cat>
            <c:numRef>
              <c:f>'[weekly-market-cap-of-all-cryptocurrencies-combined-up-until-march-2022.xlsx]Data'!$B$289:$B$612</c:f>
              <c:numCache>
                <c:formatCode>m/d/yyyy</c:formatCode>
                <c:ptCount val="324"/>
                <c:pt idx="0">
                  <c:v>42375</c:v>
                </c:pt>
                <c:pt idx="1">
                  <c:v>42382</c:v>
                </c:pt>
                <c:pt idx="2">
                  <c:v>42389</c:v>
                </c:pt>
                <c:pt idx="3">
                  <c:v>42396</c:v>
                </c:pt>
                <c:pt idx="4">
                  <c:v>42403</c:v>
                </c:pt>
                <c:pt idx="5">
                  <c:v>42410</c:v>
                </c:pt>
                <c:pt idx="6">
                  <c:v>42417</c:v>
                </c:pt>
                <c:pt idx="7">
                  <c:v>42424</c:v>
                </c:pt>
                <c:pt idx="8">
                  <c:v>42431</c:v>
                </c:pt>
                <c:pt idx="9">
                  <c:v>42438</c:v>
                </c:pt>
                <c:pt idx="10">
                  <c:v>42445</c:v>
                </c:pt>
                <c:pt idx="11">
                  <c:v>42452</c:v>
                </c:pt>
                <c:pt idx="12">
                  <c:v>42459</c:v>
                </c:pt>
                <c:pt idx="13">
                  <c:v>42466</c:v>
                </c:pt>
                <c:pt idx="14">
                  <c:v>42473</c:v>
                </c:pt>
                <c:pt idx="15">
                  <c:v>42480</c:v>
                </c:pt>
                <c:pt idx="16">
                  <c:v>42487</c:v>
                </c:pt>
                <c:pt idx="17">
                  <c:v>42494</c:v>
                </c:pt>
                <c:pt idx="18">
                  <c:v>42501</c:v>
                </c:pt>
                <c:pt idx="19">
                  <c:v>42508</c:v>
                </c:pt>
                <c:pt idx="20">
                  <c:v>42515</c:v>
                </c:pt>
                <c:pt idx="21">
                  <c:v>42522</c:v>
                </c:pt>
                <c:pt idx="22">
                  <c:v>42529</c:v>
                </c:pt>
                <c:pt idx="23">
                  <c:v>42536</c:v>
                </c:pt>
                <c:pt idx="24">
                  <c:v>42543</c:v>
                </c:pt>
                <c:pt idx="25">
                  <c:v>42550</c:v>
                </c:pt>
                <c:pt idx="26">
                  <c:v>42557</c:v>
                </c:pt>
                <c:pt idx="27">
                  <c:v>42564</c:v>
                </c:pt>
                <c:pt idx="28">
                  <c:v>42571</c:v>
                </c:pt>
                <c:pt idx="29">
                  <c:v>42578</c:v>
                </c:pt>
                <c:pt idx="30">
                  <c:v>42585</c:v>
                </c:pt>
                <c:pt idx="31">
                  <c:v>42592</c:v>
                </c:pt>
                <c:pt idx="32">
                  <c:v>42599</c:v>
                </c:pt>
                <c:pt idx="33">
                  <c:v>42606</c:v>
                </c:pt>
                <c:pt idx="34">
                  <c:v>42613</c:v>
                </c:pt>
                <c:pt idx="35">
                  <c:v>42620</c:v>
                </c:pt>
                <c:pt idx="36">
                  <c:v>42627</c:v>
                </c:pt>
                <c:pt idx="37">
                  <c:v>42634</c:v>
                </c:pt>
                <c:pt idx="38">
                  <c:v>42641</c:v>
                </c:pt>
                <c:pt idx="39">
                  <c:v>42648</c:v>
                </c:pt>
                <c:pt idx="40">
                  <c:v>42655</c:v>
                </c:pt>
                <c:pt idx="41">
                  <c:v>42662</c:v>
                </c:pt>
                <c:pt idx="42">
                  <c:v>42669</c:v>
                </c:pt>
                <c:pt idx="43">
                  <c:v>42676</c:v>
                </c:pt>
                <c:pt idx="44">
                  <c:v>42683</c:v>
                </c:pt>
                <c:pt idx="45">
                  <c:v>42690</c:v>
                </c:pt>
                <c:pt idx="46">
                  <c:v>42697</c:v>
                </c:pt>
                <c:pt idx="47">
                  <c:v>42704</c:v>
                </c:pt>
                <c:pt idx="48">
                  <c:v>42711</c:v>
                </c:pt>
                <c:pt idx="49">
                  <c:v>42718</c:v>
                </c:pt>
                <c:pt idx="50">
                  <c:v>42725</c:v>
                </c:pt>
                <c:pt idx="51">
                  <c:v>42732</c:v>
                </c:pt>
                <c:pt idx="52">
                  <c:v>42739</c:v>
                </c:pt>
                <c:pt idx="53">
                  <c:v>42746</c:v>
                </c:pt>
                <c:pt idx="54">
                  <c:v>42753</c:v>
                </c:pt>
                <c:pt idx="55">
                  <c:v>42760</c:v>
                </c:pt>
                <c:pt idx="56">
                  <c:v>42767</c:v>
                </c:pt>
                <c:pt idx="57">
                  <c:v>42774</c:v>
                </c:pt>
                <c:pt idx="58">
                  <c:v>42781</c:v>
                </c:pt>
                <c:pt idx="59">
                  <c:v>42788</c:v>
                </c:pt>
                <c:pt idx="60">
                  <c:v>42795</c:v>
                </c:pt>
                <c:pt idx="61">
                  <c:v>42802</c:v>
                </c:pt>
                <c:pt idx="62">
                  <c:v>42809</c:v>
                </c:pt>
                <c:pt idx="63">
                  <c:v>42816</c:v>
                </c:pt>
                <c:pt idx="64">
                  <c:v>42823</c:v>
                </c:pt>
                <c:pt idx="65">
                  <c:v>42830</c:v>
                </c:pt>
                <c:pt idx="66">
                  <c:v>42837</c:v>
                </c:pt>
                <c:pt idx="67">
                  <c:v>42844</c:v>
                </c:pt>
                <c:pt idx="68">
                  <c:v>42851</c:v>
                </c:pt>
                <c:pt idx="69">
                  <c:v>42858</c:v>
                </c:pt>
                <c:pt idx="70">
                  <c:v>42865</c:v>
                </c:pt>
                <c:pt idx="71">
                  <c:v>42872</c:v>
                </c:pt>
                <c:pt idx="72">
                  <c:v>42879</c:v>
                </c:pt>
                <c:pt idx="73">
                  <c:v>42886</c:v>
                </c:pt>
                <c:pt idx="74">
                  <c:v>42893</c:v>
                </c:pt>
                <c:pt idx="75">
                  <c:v>42900</c:v>
                </c:pt>
                <c:pt idx="76">
                  <c:v>42907</c:v>
                </c:pt>
                <c:pt idx="77">
                  <c:v>42914</c:v>
                </c:pt>
                <c:pt idx="78">
                  <c:v>42921</c:v>
                </c:pt>
                <c:pt idx="79">
                  <c:v>42928</c:v>
                </c:pt>
                <c:pt idx="80">
                  <c:v>42935</c:v>
                </c:pt>
                <c:pt idx="81">
                  <c:v>42942</c:v>
                </c:pt>
                <c:pt idx="82">
                  <c:v>42949</c:v>
                </c:pt>
                <c:pt idx="83">
                  <c:v>42956</c:v>
                </c:pt>
                <c:pt idx="84">
                  <c:v>42963</c:v>
                </c:pt>
                <c:pt idx="85">
                  <c:v>42970</c:v>
                </c:pt>
                <c:pt idx="86">
                  <c:v>42977</c:v>
                </c:pt>
                <c:pt idx="87">
                  <c:v>42984</c:v>
                </c:pt>
                <c:pt idx="88">
                  <c:v>42991</c:v>
                </c:pt>
                <c:pt idx="89">
                  <c:v>42998</c:v>
                </c:pt>
                <c:pt idx="90">
                  <c:v>43005</c:v>
                </c:pt>
                <c:pt idx="91">
                  <c:v>43012</c:v>
                </c:pt>
                <c:pt idx="92">
                  <c:v>43019</c:v>
                </c:pt>
                <c:pt idx="93">
                  <c:v>43026</c:v>
                </c:pt>
                <c:pt idx="94">
                  <c:v>43033</c:v>
                </c:pt>
                <c:pt idx="95">
                  <c:v>43040</c:v>
                </c:pt>
                <c:pt idx="96">
                  <c:v>43047</c:v>
                </c:pt>
                <c:pt idx="97">
                  <c:v>43054</c:v>
                </c:pt>
                <c:pt idx="98">
                  <c:v>43061</c:v>
                </c:pt>
                <c:pt idx="99">
                  <c:v>43068</c:v>
                </c:pt>
                <c:pt idx="100">
                  <c:v>43075</c:v>
                </c:pt>
                <c:pt idx="101">
                  <c:v>43082</c:v>
                </c:pt>
                <c:pt idx="102">
                  <c:v>43089</c:v>
                </c:pt>
                <c:pt idx="103">
                  <c:v>43096</c:v>
                </c:pt>
                <c:pt idx="104">
                  <c:v>43103</c:v>
                </c:pt>
                <c:pt idx="105">
                  <c:v>43110</c:v>
                </c:pt>
                <c:pt idx="106">
                  <c:v>43117</c:v>
                </c:pt>
                <c:pt idx="107">
                  <c:v>43124</c:v>
                </c:pt>
                <c:pt idx="108">
                  <c:v>43131</c:v>
                </c:pt>
                <c:pt idx="109">
                  <c:v>43138</c:v>
                </c:pt>
                <c:pt idx="110">
                  <c:v>43145</c:v>
                </c:pt>
                <c:pt idx="111">
                  <c:v>43152</c:v>
                </c:pt>
                <c:pt idx="112">
                  <c:v>43159</c:v>
                </c:pt>
                <c:pt idx="113">
                  <c:v>43166</c:v>
                </c:pt>
                <c:pt idx="114">
                  <c:v>43173</c:v>
                </c:pt>
                <c:pt idx="115">
                  <c:v>43180</c:v>
                </c:pt>
                <c:pt idx="116">
                  <c:v>43187</c:v>
                </c:pt>
                <c:pt idx="117">
                  <c:v>43194</c:v>
                </c:pt>
                <c:pt idx="118">
                  <c:v>43201</c:v>
                </c:pt>
                <c:pt idx="119">
                  <c:v>43208</c:v>
                </c:pt>
                <c:pt idx="120">
                  <c:v>43215</c:v>
                </c:pt>
                <c:pt idx="121">
                  <c:v>43222</c:v>
                </c:pt>
                <c:pt idx="122">
                  <c:v>43229</c:v>
                </c:pt>
                <c:pt idx="123">
                  <c:v>43236</c:v>
                </c:pt>
                <c:pt idx="124">
                  <c:v>43243</c:v>
                </c:pt>
                <c:pt idx="125">
                  <c:v>43250</c:v>
                </c:pt>
                <c:pt idx="126">
                  <c:v>43257</c:v>
                </c:pt>
                <c:pt idx="127">
                  <c:v>43264</c:v>
                </c:pt>
                <c:pt idx="128">
                  <c:v>43271</c:v>
                </c:pt>
                <c:pt idx="129">
                  <c:v>43278</c:v>
                </c:pt>
                <c:pt idx="130">
                  <c:v>43285</c:v>
                </c:pt>
                <c:pt idx="131">
                  <c:v>43292</c:v>
                </c:pt>
                <c:pt idx="132">
                  <c:v>43299</c:v>
                </c:pt>
                <c:pt idx="133">
                  <c:v>43306</c:v>
                </c:pt>
                <c:pt idx="134">
                  <c:v>43313</c:v>
                </c:pt>
                <c:pt idx="135">
                  <c:v>43320</c:v>
                </c:pt>
                <c:pt idx="136">
                  <c:v>43327</c:v>
                </c:pt>
                <c:pt idx="137">
                  <c:v>43334</c:v>
                </c:pt>
                <c:pt idx="138">
                  <c:v>43341</c:v>
                </c:pt>
                <c:pt idx="139">
                  <c:v>43348</c:v>
                </c:pt>
                <c:pt idx="140">
                  <c:v>43355</c:v>
                </c:pt>
                <c:pt idx="141">
                  <c:v>43362</c:v>
                </c:pt>
                <c:pt idx="142">
                  <c:v>43369</c:v>
                </c:pt>
                <c:pt idx="143">
                  <c:v>43376</c:v>
                </c:pt>
                <c:pt idx="144">
                  <c:v>43383</c:v>
                </c:pt>
                <c:pt idx="145">
                  <c:v>43390</c:v>
                </c:pt>
                <c:pt idx="146">
                  <c:v>43397</c:v>
                </c:pt>
                <c:pt idx="147">
                  <c:v>43404</c:v>
                </c:pt>
                <c:pt idx="148">
                  <c:v>43411</c:v>
                </c:pt>
                <c:pt idx="149">
                  <c:v>43418</c:v>
                </c:pt>
                <c:pt idx="150">
                  <c:v>43425</c:v>
                </c:pt>
                <c:pt idx="151">
                  <c:v>43432</c:v>
                </c:pt>
                <c:pt idx="152">
                  <c:v>43439</c:v>
                </c:pt>
                <c:pt idx="153">
                  <c:v>43446</c:v>
                </c:pt>
                <c:pt idx="154">
                  <c:v>43453</c:v>
                </c:pt>
                <c:pt idx="155">
                  <c:v>43460</c:v>
                </c:pt>
                <c:pt idx="156">
                  <c:v>43467</c:v>
                </c:pt>
                <c:pt idx="157">
                  <c:v>43474</c:v>
                </c:pt>
                <c:pt idx="158">
                  <c:v>43481</c:v>
                </c:pt>
                <c:pt idx="159">
                  <c:v>43488</c:v>
                </c:pt>
                <c:pt idx="160">
                  <c:v>43495</c:v>
                </c:pt>
                <c:pt idx="161">
                  <c:v>43502</c:v>
                </c:pt>
                <c:pt idx="162">
                  <c:v>43509</c:v>
                </c:pt>
                <c:pt idx="163">
                  <c:v>43516</c:v>
                </c:pt>
                <c:pt idx="164">
                  <c:v>43523</c:v>
                </c:pt>
                <c:pt idx="165">
                  <c:v>43530</c:v>
                </c:pt>
                <c:pt idx="166">
                  <c:v>43537</c:v>
                </c:pt>
                <c:pt idx="167">
                  <c:v>43544</c:v>
                </c:pt>
                <c:pt idx="168">
                  <c:v>43551</c:v>
                </c:pt>
                <c:pt idx="169">
                  <c:v>43558</c:v>
                </c:pt>
                <c:pt idx="170">
                  <c:v>43565</c:v>
                </c:pt>
                <c:pt idx="171">
                  <c:v>43572</c:v>
                </c:pt>
                <c:pt idx="172">
                  <c:v>43579</c:v>
                </c:pt>
                <c:pt idx="173">
                  <c:v>43586</c:v>
                </c:pt>
                <c:pt idx="174">
                  <c:v>43593</c:v>
                </c:pt>
                <c:pt idx="175">
                  <c:v>43600</c:v>
                </c:pt>
                <c:pt idx="176">
                  <c:v>43607</c:v>
                </c:pt>
                <c:pt idx="177">
                  <c:v>43614</c:v>
                </c:pt>
                <c:pt idx="178">
                  <c:v>43621</c:v>
                </c:pt>
                <c:pt idx="179">
                  <c:v>43628</c:v>
                </c:pt>
                <c:pt idx="180">
                  <c:v>43635</c:v>
                </c:pt>
                <c:pt idx="181">
                  <c:v>43642</c:v>
                </c:pt>
                <c:pt idx="182">
                  <c:v>43649</c:v>
                </c:pt>
                <c:pt idx="183">
                  <c:v>43656</c:v>
                </c:pt>
                <c:pt idx="184">
                  <c:v>43663</c:v>
                </c:pt>
                <c:pt idx="185">
                  <c:v>43670</c:v>
                </c:pt>
                <c:pt idx="186">
                  <c:v>43677</c:v>
                </c:pt>
                <c:pt idx="187">
                  <c:v>43684</c:v>
                </c:pt>
                <c:pt idx="188">
                  <c:v>43691</c:v>
                </c:pt>
                <c:pt idx="189">
                  <c:v>43698</c:v>
                </c:pt>
                <c:pt idx="190">
                  <c:v>43705</c:v>
                </c:pt>
                <c:pt idx="191">
                  <c:v>43712</c:v>
                </c:pt>
                <c:pt idx="192">
                  <c:v>43719</c:v>
                </c:pt>
                <c:pt idx="193">
                  <c:v>43726</c:v>
                </c:pt>
                <c:pt idx="194">
                  <c:v>43733</c:v>
                </c:pt>
                <c:pt idx="195">
                  <c:v>43740</c:v>
                </c:pt>
                <c:pt idx="196">
                  <c:v>43747</c:v>
                </c:pt>
                <c:pt idx="197">
                  <c:v>43754</c:v>
                </c:pt>
                <c:pt idx="198">
                  <c:v>43761</c:v>
                </c:pt>
                <c:pt idx="199">
                  <c:v>43768</c:v>
                </c:pt>
                <c:pt idx="200">
                  <c:v>43775</c:v>
                </c:pt>
                <c:pt idx="201">
                  <c:v>43782</c:v>
                </c:pt>
                <c:pt idx="202">
                  <c:v>43789</c:v>
                </c:pt>
                <c:pt idx="203">
                  <c:v>43796</c:v>
                </c:pt>
                <c:pt idx="204">
                  <c:v>43803</c:v>
                </c:pt>
                <c:pt idx="205">
                  <c:v>43810</c:v>
                </c:pt>
                <c:pt idx="206">
                  <c:v>43817</c:v>
                </c:pt>
                <c:pt idx="207">
                  <c:v>43824</c:v>
                </c:pt>
                <c:pt idx="208">
                  <c:v>43831</c:v>
                </c:pt>
                <c:pt idx="209">
                  <c:v>43838</c:v>
                </c:pt>
                <c:pt idx="210">
                  <c:v>43845</c:v>
                </c:pt>
                <c:pt idx="211">
                  <c:v>43852</c:v>
                </c:pt>
                <c:pt idx="212">
                  <c:v>43859</c:v>
                </c:pt>
                <c:pt idx="213">
                  <c:v>43866</c:v>
                </c:pt>
                <c:pt idx="214">
                  <c:v>43873</c:v>
                </c:pt>
                <c:pt idx="215">
                  <c:v>43880</c:v>
                </c:pt>
                <c:pt idx="216">
                  <c:v>43887</c:v>
                </c:pt>
                <c:pt idx="217">
                  <c:v>43894</c:v>
                </c:pt>
                <c:pt idx="218">
                  <c:v>43901</c:v>
                </c:pt>
                <c:pt idx="219">
                  <c:v>43908</c:v>
                </c:pt>
                <c:pt idx="220">
                  <c:v>43915</c:v>
                </c:pt>
                <c:pt idx="221">
                  <c:v>43922</c:v>
                </c:pt>
                <c:pt idx="222">
                  <c:v>43929</c:v>
                </c:pt>
                <c:pt idx="223">
                  <c:v>43936</c:v>
                </c:pt>
                <c:pt idx="224">
                  <c:v>43943</c:v>
                </c:pt>
                <c:pt idx="225">
                  <c:v>43950</c:v>
                </c:pt>
                <c:pt idx="226">
                  <c:v>43957</c:v>
                </c:pt>
                <c:pt idx="227">
                  <c:v>43964</c:v>
                </c:pt>
                <c:pt idx="228">
                  <c:v>43971</c:v>
                </c:pt>
                <c:pt idx="229">
                  <c:v>43978</c:v>
                </c:pt>
                <c:pt idx="230">
                  <c:v>43985</c:v>
                </c:pt>
                <c:pt idx="231">
                  <c:v>43992</c:v>
                </c:pt>
                <c:pt idx="232">
                  <c:v>43999</c:v>
                </c:pt>
                <c:pt idx="233">
                  <c:v>44006</c:v>
                </c:pt>
                <c:pt idx="234">
                  <c:v>44013</c:v>
                </c:pt>
                <c:pt idx="235">
                  <c:v>44020</c:v>
                </c:pt>
                <c:pt idx="236">
                  <c:v>44027</c:v>
                </c:pt>
                <c:pt idx="237">
                  <c:v>44034</c:v>
                </c:pt>
                <c:pt idx="238">
                  <c:v>44041</c:v>
                </c:pt>
                <c:pt idx="239">
                  <c:v>44048</c:v>
                </c:pt>
                <c:pt idx="240">
                  <c:v>44055</c:v>
                </c:pt>
                <c:pt idx="241">
                  <c:v>44062</c:v>
                </c:pt>
                <c:pt idx="242">
                  <c:v>44069</c:v>
                </c:pt>
                <c:pt idx="243">
                  <c:v>44076</c:v>
                </c:pt>
                <c:pt idx="244">
                  <c:v>44083</c:v>
                </c:pt>
                <c:pt idx="245">
                  <c:v>44090</c:v>
                </c:pt>
                <c:pt idx="246">
                  <c:v>44097</c:v>
                </c:pt>
                <c:pt idx="247">
                  <c:v>44104</c:v>
                </c:pt>
                <c:pt idx="248">
                  <c:v>44111</c:v>
                </c:pt>
                <c:pt idx="249">
                  <c:v>44118</c:v>
                </c:pt>
                <c:pt idx="250">
                  <c:v>44125</c:v>
                </c:pt>
                <c:pt idx="251">
                  <c:v>44132</c:v>
                </c:pt>
                <c:pt idx="252">
                  <c:v>44139</c:v>
                </c:pt>
                <c:pt idx="253">
                  <c:v>44146</c:v>
                </c:pt>
                <c:pt idx="254">
                  <c:v>44153</c:v>
                </c:pt>
                <c:pt idx="255">
                  <c:v>44160</c:v>
                </c:pt>
                <c:pt idx="256">
                  <c:v>44167</c:v>
                </c:pt>
                <c:pt idx="257">
                  <c:v>44174</c:v>
                </c:pt>
                <c:pt idx="258">
                  <c:v>44181</c:v>
                </c:pt>
                <c:pt idx="259">
                  <c:v>44188</c:v>
                </c:pt>
                <c:pt idx="260">
                  <c:v>44195</c:v>
                </c:pt>
                <c:pt idx="261">
                  <c:v>44202</c:v>
                </c:pt>
                <c:pt idx="262">
                  <c:v>44209</c:v>
                </c:pt>
                <c:pt idx="263">
                  <c:v>44216</c:v>
                </c:pt>
                <c:pt idx="264">
                  <c:v>44223</c:v>
                </c:pt>
                <c:pt idx="265">
                  <c:v>44230</c:v>
                </c:pt>
                <c:pt idx="266">
                  <c:v>44237</c:v>
                </c:pt>
                <c:pt idx="267">
                  <c:v>44244</c:v>
                </c:pt>
                <c:pt idx="268">
                  <c:v>44251</c:v>
                </c:pt>
                <c:pt idx="269">
                  <c:v>44258</c:v>
                </c:pt>
                <c:pt idx="270">
                  <c:v>44265</c:v>
                </c:pt>
                <c:pt idx="271">
                  <c:v>44272</c:v>
                </c:pt>
                <c:pt idx="272">
                  <c:v>44279</c:v>
                </c:pt>
                <c:pt idx="273">
                  <c:v>44286</c:v>
                </c:pt>
                <c:pt idx="274">
                  <c:v>44293</c:v>
                </c:pt>
                <c:pt idx="275">
                  <c:v>44300</c:v>
                </c:pt>
                <c:pt idx="276">
                  <c:v>44307</c:v>
                </c:pt>
                <c:pt idx="277">
                  <c:v>44314</c:v>
                </c:pt>
                <c:pt idx="278">
                  <c:v>44321</c:v>
                </c:pt>
                <c:pt idx="279">
                  <c:v>44328</c:v>
                </c:pt>
                <c:pt idx="280">
                  <c:v>44335</c:v>
                </c:pt>
                <c:pt idx="281">
                  <c:v>44342</c:v>
                </c:pt>
                <c:pt idx="282">
                  <c:v>44349</c:v>
                </c:pt>
                <c:pt idx="283">
                  <c:v>44356</c:v>
                </c:pt>
                <c:pt idx="284">
                  <c:v>44363</c:v>
                </c:pt>
                <c:pt idx="285">
                  <c:v>44370</c:v>
                </c:pt>
                <c:pt idx="286">
                  <c:v>44377</c:v>
                </c:pt>
                <c:pt idx="287">
                  <c:v>44384</c:v>
                </c:pt>
                <c:pt idx="288">
                  <c:v>44391</c:v>
                </c:pt>
                <c:pt idx="289">
                  <c:v>44398</c:v>
                </c:pt>
                <c:pt idx="290">
                  <c:v>44405</c:v>
                </c:pt>
                <c:pt idx="291">
                  <c:v>44412</c:v>
                </c:pt>
                <c:pt idx="292">
                  <c:v>44419</c:v>
                </c:pt>
                <c:pt idx="293">
                  <c:v>44426</c:v>
                </c:pt>
                <c:pt idx="294">
                  <c:v>44433</c:v>
                </c:pt>
                <c:pt idx="295">
                  <c:v>44440</c:v>
                </c:pt>
                <c:pt idx="296">
                  <c:v>44447</c:v>
                </c:pt>
                <c:pt idx="297">
                  <c:v>44454</c:v>
                </c:pt>
                <c:pt idx="298">
                  <c:v>44461</c:v>
                </c:pt>
                <c:pt idx="299">
                  <c:v>44468</c:v>
                </c:pt>
                <c:pt idx="300">
                  <c:v>44475</c:v>
                </c:pt>
                <c:pt idx="301">
                  <c:v>44482</c:v>
                </c:pt>
                <c:pt idx="302">
                  <c:v>44489</c:v>
                </c:pt>
                <c:pt idx="303">
                  <c:v>44496</c:v>
                </c:pt>
                <c:pt idx="304">
                  <c:v>44503</c:v>
                </c:pt>
                <c:pt idx="305">
                  <c:v>44510</c:v>
                </c:pt>
                <c:pt idx="306">
                  <c:v>44517</c:v>
                </c:pt>
                <c:pt idx="307">
                  <c:v>44524</c:v>
                </c:pt>
                <c:pt idx="308">
                  <c:v>44531</c:v>
                </c:pt>
                <c:pt idx="309">
                  <c:v>44538</c:v>
                </c:pt>
                <c:pt idx="310">
                  <c:v>44545</c:v>
                </c:pt>
                <c:pt idx="311">
                  <c:v>44552</c:v>
                </c:pt>
                <c:pt idx="312">
                  <c:v>44559</c:v>
                </c:pt>
                <c:pt idx="313">
                  <c:v>44566</c:v>
                </c:pt>
                <c:pt idx="314">
                  <c:v>44573</c:v>
                </c:pt>
                <c:pt idx="315">
                  <c:v>44580</c:v>
                </c:pt>
                <c:pt idx="316">
                  <c:v>44587</c:v>
                </c:pt>
                <c:pt idx="317">
                  <c:v>44594</c:v>
                </c:pt>
                <c:pt idx="318">
                  <c:v>44601</c:v>
                </c:pt>
                <c:pt idx="319">
                  <c:v>44608</c:v>
                </c:pt>
                <c:pt idx="320">
                  <c:v>44615</c:v>
                </c:pt>
                <c:pt idx="321">
                  <c:v>44622</c:v>
                </c:pt>
                <c:pt idx="322">
                  <c:v>44629</c:v>
                </c:pt>
                <c:pt idx="323">
                  <c:v>44636</c:v>
                </c:pt>
              </c:numCache>
            </c:numRef>
          </c:cat>
          <c:val>
            <c:numRef>
              <c:f>'[weekly-market-cap-of-all-cryptocurrencies-combined-up-until-march-2022.xlsx]Data'!$C$289:$C$612</c:f>
              <c:numCache>
                <c:formatCode>#,##0.##</c:formatCode>
                <c:ptCount val="324"/>
                <c:pt idx="0">
                  <c:v>7.12</c:v>
                </c:pt>
                <c:pt idx="1">
                  <c:v>7.14</c:v>
                </c:pt>
                <c:pt idx="2">
                  <c:v>6.97</c:v>
                </c:pt>
                <c:pt idx="3">
                  <c:v>6.74</c:v>
                </c:pt>
                <c:pt idx="4">
                  <c:v>6.34</c:v>
                </c:pt>
                <c:pt idx="5">
                  <c:v>6.73</c:v>
                </c:pt>
                <c:pt idx="6">
                  <c:v>7.31</c:v>
                </c:pt>
                <c:pt idx="7">
                  <c:v>7.63</c:v>
                </c:pt>
                <c:pt idx="8">
                  <c:v>7.83</c:v>
                </c:pt>
                <c:pt idx="9" formatCode="#,##0">
                  <c:v>0</c:v>
                </c:pt>
                <c:pt idx="10">
                  <c:v>8.14</c:v>
                </c:pt>
                <c:pt idx="11">
                  <c:v>8.19</c:v>
                </c:pt>
                <c:pt idx="12">
                  <c:v>8.0500000000000007</c:v>
                </c:pt>
                <c:pt idx="13">
                  <c:v>8.1199999999999992</c:v>
                </c:pt>
                <c:pt idx="14">
                  <c:v>7.87</c:v>
                </c:pt>
                <c:pt idx="15">
                  <c:v>8.27</c:v>
                </c:pt>
                <c:pt idx="16">
                  <c:v>8.25</c:v>
                </c:pt>
                <c:pt idx="17">
                  <c:v>8.43</c:v>
                </c:pt>
                <c:pt idx="18">
                  <c:v>8.57</c:v>
                </c:pt>
                <c:pt idx="19">
                  <c:v>8.8699999999999992</c:v>
                </c:pt>
                <c:pt idx="20">
                  <c:v>8.75</c:v>
                </c:pt>
                <c:pt idx="21">
                  <c:v>10.52</c:v>
                </c:pt>
                <c:pt idx="22">
                  <c:v>11.3</c:v>
                </c:pt>
                <c:pt idx="23">
                  <c:v>13.52</c:v>
                </c:pt>
                <c:pt idx="24">
                  <c:v>11.31</c:v>
                </c:pt>
                <c:pt idx="25">
                  <c:v>12.17</c:v>
                </c:pt>
                <c:pt idx="26">
                  <c:v>12.66</c:v>
                </c:pt>
                <c:pt idx="27">
                  <c:v>12.69</c:v>
                </c:pt>
                <c:pt idx="28">
                  <c:v>13.15</c:v>
                </c:pt>
                <c:pt idx="29">
                  <c:v>12.82</c:v>
                </c:pt>
                <c:pt idx="30">
                  <c:v>11.16</c:v>
                </c:pt>
                <c:pt idx="31">
                  <c:v>11.69</c:v>
                </c:pt>
                <c:pt idx="32">
                  <c:v>11.44</c:v>
                </c:pt>
                <c:pt idx="33">
                  <c:v>11.52</c:v>
                </c:pt>
                <c:pt idx="34">
                  <c:v>11.46</c:v>
                </c:pt>
                <c:pt idx="35">
                  <c:v>12.25</c:v>
                </c:pt>
                <c:pt idx="36">
                  <c:v>12.16</c:v>
                </c:pt>
                <c:pt idx="37">
                  <c:v>12.09</c:v>
                </c:pt>
                <c:pt idx="38">
                  <c:v>12.27</c:v>
                </c:pt>
                <c:pt idx="39">
                  <c:v>12.38</c:v>
                </c:pt>
                <c:pt idx="40">
                  <c:v>12.6</c:v>
                </c:pt>
                <c:pt idx="41">
                  <c:v>12.51</c:v>
                </c:pt>
                <c:pt idx="42">
                  <c:v>13.2</c:v>
                </c:pt>
                <c:pt idx="43">
                  <c:v>14.01</c:v>
                </c:pt>
                <c:pt idx="44">
                  <c:v>13.83</c:v>
                </c:pt>
                <c:pt idx="45">
                  <c:v>14.14</c:v>
                </c:pt>
                <c:pt idx="46">
                  <c:v>14.05</c:v>
                </c:pt>
                <c:pt idx="47">
                  <c:v>13.97</c:v>
                </c:pt>
                <c:pt idx="48">
                  <c:v>14.26</c:v>
                </c:pt>
                <c:pt idx="49">
                  <c:v>14.53</c:v>
                </c:pt>
                <c:pt idx="50">
                  <c:v>15.41</c:v>
                </c:pt>
                <c:pt idx="51">
                  <c:v>17.93</c:v>
                </c:pt>
                <c:pt idx="52">
                  <c:v>21.05</c:v>
                </c:pt>
                <c:pt idx="53" formatCode="#,##0">
                  <c:v>0</c:v>
                </c:pt>
                <c:pt idx="54">
                  <c:v>16.63</c:v>
                </c:pt>
                <c:pt idx="55" formatCode="#,##0">
                  <c:v>0</c:v>
                </c:pt>
                <c:pt idx="56">
                  <c:v>18.71</c:v>
                </c:pt>
                <c:pt idx="57">
                  <c:v>19.98</c:v>
                </c:pt>
                <c:pt idx="58">
                  <c:v>19.34</c:v>
                </c:pt>
                <c:pt idx="59">
                  <c:v>21.14</c:v>
                </c:pt>
                <c:pt idx="60">
                  <c:v>23.44</c:v>
                </c:pt>
                <c:pt idx="61">
                  <c:v>22.16</c:v>
                </c:pt>
                <c:pt idx="62">
                  <c:v>26.41</c:v>
                </c:pt>
                <c:pt idx="63">
                  <c:v>23.85</c:v>
                </c:pt>
                <c:pt idx="64">
                  <c:v>25.13</c:v>
                </c:pt>
                <c:pt idx="65">
                  <c:v>27.57</c:v>
                </c:pt>
                <c:pt idx="66">
                  <c:v>29.23</c:v>
                </c:pt>
                <c:pt idx="67">
                  <c:v>29.84</c:v>
                </c:pt>
                <c:pt idx="68">
                  <c:v>32.42</c:v>
                </c:pt>
                <c:pt idx="69">
                  <c:v>40.75</c:v>
                </c:pt>
                <c:pt idx="70">
                  <c:v>52.66</c:v>
                </c:pt>
                <c:pt idx="71">
                  <c:v>62.49</c:v>
                </c:pt>
                <c:pt idx="72">
                  <c:v>86.84</c:v>
                </c:pt>
                <c:pt idx="73">
                  <c:v>84.23</c:v>
                </c:pt>
                <c:pt idx="74">
                  <c:v>99.14</c:v>
                </c:pt>
                <c:pt idx="75">
                  <c:v>106.24</c:v>
                </c:pt>
                <c:pt idx="76">
                  <c:v>111.64</c:v>
                </c:pt>
                <c:pt idx="77">
                  <c:v>106.43</c:v>
                </c:pt>
                <c:pt idx="78">
                  <c:v>105.01</c:v>
                </c:pt>
                <c:pt idx="79">
                  <c:v>88.8</c:v>
                </c:pt>
                <c:pt idx="80">
                  <c:v>80.5</c:v>
                </c:pt>
                <c:pt idx="81">
                  <c:v>86.91</c:v>
                </c:pt>
                <c:pt idx="82">
                  <c:v>106.4</c:v>
                </c:pt>
                <c:pt idx="83">
                  <c:v>123.5</c:v>
                </c:pt>
                <c:pt idx="84">
                  <c:v>142.68</c:v>
                </c:pt>
                <c:pt idx="85">
                  <c:v>151.63999999999999</c:v>
                </c:pt>
                <c:pt idx="86">
                  <c:v>167.36</c:v>
                </c:pt>
                <c:pt idx="87">
                  <c:v>162.75</c:v>
                </c:pt>
                <c:pt idx="88">
                  <c:v>136.55000000000001</c:v>
                </c:pt>
                <c:pt idx="89">
                  <c:v>135.84</c:v>
                </c:pt>
                <c:pt idx="90">
                  <c:v>145.51</c:v>
                </c:pt>
                <c:pt idx="91">
                  <c:v>140.81</c:v>
                </c:pt>
                <c:pt idx="92">
                  <c:v>152.28</c:v>
                </c:pt>
                <c:pt idx="93">
                  <c:v>167.57</c:v>
                </c:pt>
                <c:pt idx="94">
                  <c:v>166.49</c:v>
                </c:pt>
                <c:pt idx="95">
                  <c:v>185.03</c:v>
                </c:pt>
                <c:pt idx="96">
                  <c:v>206.65</c:v>
                </c:pt>
                <c:pt idx="97">
                  <c:v>220.83</c:v>
                </c:pt>
                <c:pt idx="98">
                  <c:v>250.82</c:v>
                </c:pt>
                <c:pt idx="99">
                  <c:v>294.64999999999998</c:v>
                </c:pt>
                <c:pt idx="100">
                  <c:v>391.43</c:v>
                </c:pt>
                <c:pt idx="101">
                  <c:v>515.21</c:v>
                </c:pt>
                <c:pt idx="102">
                  <c:v>629.73</c:v>
                </c:pt>
                <c:pt idx="103">
                  <c:v>616.26</c:v>
                </c:pt>
                <c:pt idx="104">
                  <c:v>759.38</c:v>
                </c:pt>
                <c:pt idx="105">
                  <c:v>773.23</c:v>
                </c:pt>
                <c:pt idx="106">
                  <c:v>548.96</c:v>
                </c:pt>
                <c:pt idx="107">
                  <c:v>551.96</c:v>
                </c:pt>
                <c:pt idx="108">
                  <c:v>497.23</c:v>
                </c:pt>
                <c:pt idx="109">
                  <c:v>370.04</c:v>
                </c:pt>
                <c:pt idx="110">
                  <c:v>412.9</c:v>
                </c:pt>
                <c:pt idx="111">
                  <c:v>492.65</c:v>
                </c:pt>
                <c:pt idx="112">
                  <c:v>457.45</c:v>
                </c:pt>
                <c:pt idx="113">
                  <c:v>435.77</c:v>
                </c:pt>
                <c:pt idx="114">
                  <c:v>372.17</c:v>
                </c:pt>
                <c:pt idx="115">
                  <c:v>346.18</c:v>
                </c:pt>
                <c:pt idx="116">
                  <c:v>302.99</c:v>
                </c:pt>
                <c:pt idx="117">
                  <c:v>284.61</c:v>
                </c:pt>
                <c:pt idx="118">
                  <c:v>265.39999999999998</c:v>
                </c:pt>
                <c:pt idx="119">
                  <c:v>323.02999999999997</c:v>
                </c:pt>
                <c:pt idx="120">
                  <c:v>438.47</c:v>
                </c:pt>
                <c:pt idx="121">
                  <c:v>421.3</c:v>
                </c:pt>
                <c:pt idx="122">
                  <c:v>446.89</c:v>
                </c:pt>
                <c:pt idx="123">
                  <c:v>394.17</c:v>
                </c:pt>
                <c:pt idx="124">
                  <c:v>335.11</c:v>
                </c:pt>
                <c:pt idx="125">
                  <c:v>325.93</c:v>
                </c:pt>
                <c:pt idx="126">
                  <c:v>350.57</c:v>
                </c:pt>
                <c:pt idx="127">
                  <c:v>278.66000000000003</c:v>
                </c:pt>
                <c:pt idx="128">
                  <c:v>289.86</c:v>
                </c:pt>
                <c:pt idx="129">
                  <c:v>252.16</c:v>
                </c:pt>
                <c:pt idx="130">
                  <c:v>285.02</c:v>
                </c:pt>
                <c:pt idx="131">
                  <c:v>255.67</c:v>
                </c:pt>
                <c:pt idx="132">
                  <c:v>305.60000000000002</c:v>
                </c:pt>
                <c:pt idx="133">
                  <c:v>309.94</c:v>
                </c:pt>
                <c:pt idx="134">
                  <c:v>275.52</c:v>
                </c:pt>
                <c:pt idx="135">
                  <c:v>237.6</c:v>
                </c:pt>
                <c:pt idx="136">
                  <c:v>210.47</c:v>
                </c:pt>
                <c:pt idx="137">
                  <c:v>204.91</c:v>
                </c:pt>
                <c:pt idx="138">
                  <c:v>235.4</c:v>
                </c:pt>
                <c:pt idx="139">
                  <c:v>228.85</c:v>
                </c:pt>
                <c:pt idx="140">
                  <c:v>194.13</c:v>
                </c:pt>
                <c:pt idx="141">
                  <c:v>204.57</c:v>
                </c:pt>
                <c:pt idx="142">
                  <c:v>214.18</c:v>
                </c:pt>
                <c:pt idx="143">
                  <c:v>219.27</c:v>
                </c:pt>
                <c:pt idx="144">
                  <c:v>221.62</c:v>
                </c:pt>
                <c:pt idx="145">
                  <c:v>218.54</c:v>
                </c:pt>
                <c:pt idx="146">
                  <c:v>214.76</c:v>
                </c:pt>
                <c:pt idx="147">
                  <c:v>209.25</c:v>
                </c:pt>
                <c:pt idx="148">
                  <c:v>224.56</c:v>
                </c:pt>
                <c:pt idx="149">
                  <c:v>215.1</c:v>
                </c:pt>
                <c:pt idx="150">
                  <c:v>150.16999999999999</c:v>
                </c:pt>
                <c:pt idx="151">
                  <c:v>138.49</c:v>
                </c:pt>
                <c:pt idx="152">
                  <c:v>127.14</c:v>
                </c:pt>
                <c:pt idx="153">
                  <c:v>107.59</c:v>
                </c:pt>
                <c:pt idx="154">
                  <c:v>121.88</c:v>
                </c:pt>
                <c:pt idx="155">
                  <c:v>128.22</c:v>
                </c:pt>
                <c:pt idx="156">
                  <c:v>129.34</c:v>
                </c:pt>
                <c:pt idx="157">
                  <c:v>137.11000000000001</c:v>
                </c:pt>
                <c:pt idx="158">
                  <c:v>119.87</c:v>
                </c:pt>
                <c:pt idx="159">
                  <c:v>120.26</c:v>
                </c:pt>
                <c:pt idx="160">
                  <c:v>112.8</c:v>
                </c:pt>
                <c:pt idx="161">
                  <c:v>111.28</c:v>
                </c:pt>
                <c:pt idx="162">
                  <c:v>120.98</c:v>
                </c:pt>
                <c:pt idx="163">
                  <c:v>132.36000000000001</c:v>
                </c:pt>
                <c:pt idx="164">
                  <c:v>129.09</c:v>
                </c:pt>
                <c:pt idx="165">
                  <c:v>131.6</c:v>
                </c:pt>
                <c:pt idx="166">
                  <c:v>133.30000000000001</c:v>
                </c:pt>
                <c:pt idx="167">
                  <c:v>139.61000000000001</c:v>
                </c:pt>
                <c:pt idx="168">
                  <c:v>138.63999999999999</c:v>
                </c:pt>
                <c:pt idx="169">
                  <c:v>176.48</c:v>
                </c:pt>
                <c:pt idx="170">
                  <c:v>183.41</c:v>
                </c:pt>
                <c:pt idx="171">
                  <c:v>178.06</c:v>
                </c:pt>
                <c:pt idx="172">
                  <c:v>182.49</c:v>
                </c:pt>
                <c:pt idx="173">
                  <c:v>172.97</c:v>
                </c:pt>
                <c:pt idx="174">
                  <c:v>184.25</c:v>
                </c:pt>
                <c:pt idx="175">
                  <c:v>243.14</c:v>
                </c:pt>
                <c:pt idx="176">
                  <c:v>246.94</c:v>
                </c:pt>
                <c:pt idx="177">
                  <c:v>271.2</c:v>
                </c:pt>
                <c:pt idx="178">
                  <c:v>246.01</c:v>
                </c:pt>
                <c:pt idx="179">
                  <c:v>261.5</c:v>
                </c:pt>
                <c:pt idx="180">
                  <c:v>286.54000000000002</c:v>
                </c:pt>
                <c:pt idx="181">
                  <c:v>356.1</c:v>
                </c:pt>
                <c:pt idx="182">
                  <c:v>323.45</c:v>
                </c:pt>
                <c:pt idx="183">
                  <c:v>355.49</c:v>
                </c:pt>
                <c:pt idx="184">
                  <c:v>258.74</c:v>
                </c:pt>
                <c:pt idx="185">
                  <c:v>272.72000000000003</c:v>
                </c:pt>
                <c:pt idx="186">
                  <c:v>271.2</c:v>
                </c:pt>
                <c:pt idx="187">
                  <c:v>312.7</c:v>
                </c:pt>
                <c:pt idx="188">
                  <c:v>285.61</c:v>
                </c:pt>
                <c:pt idx="189">
                  <c:v>266.44</c:v>
                </c:pt>
                <c:pt idx="190">
                  <c:v>266.77999999999997</c:v>
                </c:pt>
                <c:pt idx="191">
                  <c:v>268.19</c:v>
                </c:pt>
                <c:pt idx="192" formatCode="#,##0">
                  <c:v>0</c:v>
                </c:pt>
                <c:pt idx="193">
                  <c:v>269.20999999999998</c:v>
                </c:pt>
                <c:pt idx="194">
                  <c:v>221.98</c:v>
                </c:pt>
                <c:pt idx="195">
                  <c:v>219.57</c:v>
                </c:pt>
                <c:pt idx="196">
                  <c:v>222.36</c:v>
                </c:pt>
                <c:pt idx="197">
                  <c:v>221.64</c:v>
                </c:pt>
                <c:pt idx="198">
                  <c:v>206.81</c:v>
                </c:pt>
                <c:pt idx="199">
                  <c:v>252.54</c:v>
                </c:pt>
                <c:pt idx="200">
                  <c:v>254.35</c:v>
                </c:pt>
                <c:pt idx="201">
                  <c:v>241.57</c:v>
                </c:pt>
                <c:pt idx="202" formatCode="#,##0">
                  <c:v>0</c:v>
                </c:pt>
                <c:pt idx="203">
                  <c:v>189.03</c:v>
                </c:pt>
                <c:pt idx="204">
                  <c:v>198.12</c:v>
                </c:pt>
                <c:pt idx="205">
                  <c:v>195.78</c:v>
                </c:pt>
                <c:pt idx="206">
                  <c:v>178.13</c:v>
                </c:pt>
                <c:pt idx="207">
                  <c:v>191.42</c:v>
                </c:pt>
                <c:pt idx="208">
                  <c:v>191.41</c:v>
                </c:pt>
                <c:pt idx="209">
                  <c:v>214.81</c:v>
                </c:pt>
                <c:pt idx="210">
                  <c:v>235.12</c:v>
                </c:pt>
                <c:pt idx="211">
                  <c:v>238.97</c:v>
                </c:pt>
                <c:pt idx="212">
                  <c:v>254.14</c:v>
                </c:pt>
                <c:pt idx="213">
                  <c:v>257.52</c:v>
                </c:pt>
                <c:pt idx="214">
                  <c:v>298.87</c:v>
                </c:pt>
                <c:pt idx="215">
                  <c:v>296.68</c:v>
                </c:pt>
                <c:pt idx="216" formatCode="#,##0">
                  <c:v>0</c:v>
                </c:pt>
                <c:pt idx="217">
                  <c:v>251.54</c:v>
                </c:pt>
                <c:pt idx="218">
                  <c:v>224.98</c:v>
                </c:pt>
                <c:pt idx="219">
                  <c:v>145.97</c:v>
                </c:pt>
                <c:pt idx="220">
                  <c:v>183.51</c:v>
                </c:pt>
                <c:pt idx="221">
                  <c:v>179.3</c:v>
                </c:pt>
                <c:pt idx="222">
                  <c:v>203.87</c:v>
                </c:pt>
                <c:pt idx="223">
                  <c:v>193.39</c:v>
                </c:pt>
                <c:pt idx="224">
                  <c:v>202.27</c:v>
                </c:pt>
                <c:pt idx="225">
                  <c:v>252.09</c:v>
                </c:pt>
                <c:pt idx="226">
                  <c:v>247.19</c:v>
                </c:pt>
                <c:pt idx="227">
                  <c:v>268.61</c:v>
                </c:pt>
                <c:pt idx="228">
                  <c:v>254.83</c:v>
                </c:pt>
                <c:pt idx="229">
                  <c:v>270.18</c:v>
                </c:pt>
                <c:pt idx="230">
                  <c:v>279.14999999999998</c:v>
                </c:pt>
                <c:pt idx="231">
                  <c:v>270.70999999999998</c:v>
                </c:pt>
                <c:pt idx="232">
                  <c:v>274.27999999999997</c:v>
                </c:pt>
                <c:pt idx="233">
                  <c:v>263.07</c:v>
                </c:pt>
                <c:pt idx="234">
                  <c:v>275.13</c:v>
                </c:pt>
                <c:pt idx="235">
                  <c:v>277.92</c:v>
                </c:pt>
                <c:pt idx="236">
                  <c:v>283.06</c:v>
                </c:pt>
                <c:pt idx="237">
                  <c:v>329.69</c:v>
                </c:pt>
                <c:pt idx="238">
                  <c:v>349.25</c:v>
                </c:pt>
                <c:pt idx="239">
                  <c:v>355.54</c:v>
                </c:pt>
                <c:pt idx="240">
                  <c:v>383.24</c:v>
                </c:pt>
                <c:pt idx="241">
                  <c:v>369.89</c:v>
                </c:pt>
                <c:pt idx="242">
                  <c:v>399.58</c:v>
                </c:pt>
                <c:pt idx="243">
                  <c:v>333.75</c:v>
                </c:pt>
                <c:pt idx="244">
                  <c:v>346.38</c:v>
                </c:pt>
                <c:pt idx="245">
                  <c:v>333.82</c:v>
                </c:pt>
                <c:pt idx="246">
                  <c:v>346.58</c:v>
                </c:pt>
                <c:pt idx="247">
                  <c:v>339.95</c:v>
                </c:pt>
                <c:pt idx="248">
                  <c:v>368.71</c:v>
                </c:pt>
                <c:pt idx="249">
                  <c:v>377.69</c:v>
                </c:pt>
                <c:pt idx="250">
                  <c:v>410.44</c:v>
                </c:pt>
                <c:pt idx="251">
                  <c:v>399.96</c:v>
                </c:pt>
                <c:pt idx="252">
                  <c:v>453.59</c:v>
                </c:pt>
                <c:pt idx="253">
                  <c:v>511.99</c:v>
                </c:pt>
                <c:pt idx="254">
                  <c:v>583.13</c:v>
                </c:pt>
                <c:pt idx="255">
                  <c:v>576.98</c:v>
                </c:pt>
                <c:pt idx="256">
                  <c:v>548.35</c:v>
                </c:pt>
                <c:pt idx="257">
                  <c:v>575.66</c:v>
                </c:pt>
                <c:pt idx="258">
                  <c:v>670.49</c:v>
                </c:pt>
                <c:pt idx="259">
                  <c:v>751.91</c:v>
                </c:pt>
                <c:pt idx="260">
                  <c:v>934.33</c:v>
                </c:pt>
                <c:pt idx="261">
                  <c:v>935.36</c:v>
                </c:pt>
                <c:pt idx="262">
                  <c:v>1045.3900000000001</c:v>
                </c:pt>
                <c:pt idx="263">
                  <c:v>979.82</c:v>
                </c:pt>
                <c:pt idx="264">
                  <c:v>1141.92</c:v>
                </c:pt>
                <c:pt idx="265">
                  <c:v>1412.28</c:v>
                </c:pt>
                <c:pt idx="266">
                  <c:v>1522.68</c:v>
                </c:pt>
                <c:pt idx="267">
                  <c:v>1504.93</c:v>
                </c:pt>
                <c:pt idx="268">
                  <c:v>1520.68</c:v>
                </c:pt>
                <c:pt idx="269">
                  <c:v>1743.89</c:v>
                </c:pt>
                <c:pt idx="270">
                  <c:v>1782.17</c:v>
                </c:pt>
                <c:pt idx="271">
                  <c:v>1740.85</c:v>
                </c:pt>
                <c:pt idx="272">
                  <c:v>1883.71</c:v>
                </c:pt>
                <c:pt idx="273">
                  <c:v>1977.5</c:v>
                </c:pt>
                <c:pt idx="274">
                  <c:v>2257.91</c:v>
                </c:pt>
                <c:pt idx="275">
                  <c:v>2144.98</c:v>
                </c:pt>
                <c:pt idx="276">
                  <c:v>2123.2800000000002</c:v>
                </c:pt>
                <c:pt idx="277">
                  <c:v>2272.7800000000002</c:v>
                </c:pt>
                <c:pt idx="278">
                  <c:v>2555.0500000000002</c:v>
                </c:pt>
                <c:pt idx="279">
                  <c:v>1933.85</c:v>
                </c:pt>
                <c:pt idx="280">
                  <c:v>1784.97</c:v>
                </c:pt>
                <c:pt idx="281">
                  <c:v>1722.18</c:v>
                </c:pt>
                <c:pt idx="282">
                  <c:v>1601.4</c:v>
                </c:pt>
                <c:pt idx="283">
                  <c:v>1695.97</c:v>
                </c:pt>
                <c:pt idx="284">
                  <c:v>1411.5</c:v>
                </c:pt>
                <c:pt idx="285">
                  <c:v>1475.07</c:v>
                </c:pt>
                <c:pt idx="286">
                  <c:v>1494.14</c:v>
                </c:pt>
                <c:pt idx="287">
                  <c:v>1342.31</c:v>
                </c:pt>
                <c:pt idx="288">
                  <c:v>1324.97</c:v>
                </c:pt>
                <c:pt idx="289">
                  <c:v>1577.23</c:v>
                </c:pt>
                <c:pt idx="290">
                  <c:v>1618.14</c:v>
                </c:pt>
                <c:pt idx="291">
                  <c:v>1935.58</c:v>
                </c:pt>
                <c:pt idx="292">
                  <c:v>1957.04</c:v>
                </c:pt>
                <c:pt idx="293">
                  <c:v>2128.11</c:v>
                </c:pt>
                <c:pt idx="294">
                  <c:v>2158.4699999999998</c:v>
                </c:pt>
                <c:pt idx="295">
                  <c:v>2084.02</c:v>
                </c:pt>
                <c:pt idx="296">
                  <c:v>2214.73</c:v>
                </c:pt>
                <c:pt idx="297">
                  <c:v>1858.44</c:v>
                </c:pt>
                <c:pt idx="298">
                  <c:v>1957.69</c:v>
                </c:pt>
                <c:pt idx="299">
                  <c:v>2319.37</c:v>
                </c:pt>
                <c:pt idx="300">
                  <c:v>2467.0700000000002</c:v>
                </c:pt>
                <c:pt idx="301">
                  <c:v>2645.48</c:v>
                </c:pt>
                <c:pt idx="302">
                  <c:v>2597.29</c:v>
                </c:pt>
                <c:pt idx="303">
                  <c:v>2866.22</c:v>
                </c:pt>
                <c:pt idx="304">
                  <c:v>3048.57</c:v>
                </c:pt>
                <c:pt idx="305">
                  <c:v>2753.64</c:v>
                </c:pt>
                <c:pt idx="306">
                  <c:v>2745.53</c:v>
                </c:pt>
                <c:pt idx="307">
                  <c:v>2794.18</c:v>
                </c:pt>
                <c:pt idx="308">
                  <c:v>2494.85</c:v>
                </c:pt>
                <c:pt idx="309">
                  <c:v>2308.73</c:v>
                </c:pt>
                <c:pt idx="310">
                  <c:v>2395.59</c:v>
                </c:pt>
                <c:pt idx="311">
                  <c:v>2368.5300000000002</c:v>
                </c:pt>
                <c:pt idx="312">
                  <c:v>2366.75</c:v>
                </c:pt>
                <c:pt idx="313">
                  <c:v>2209.4299999999998</c:v>
                </c:pt>
                <c:pt idx="314">
                  <c:v>2100.17</c:v>
                </c:pt>
                <c:pt idx="315">
                  <c:v>1705.37</c:v>
                </c:pt>
                <c:pt idx="316">
                  <c:v>1785.79</c:v>
                </c:pt>
                <c:pt idx="317">
                  <c:v>2129.12</c:v>
                </c:pt>
                <c:pt idx="318">
                  <c:v>2054.12</c:v>
                </c:pt>
                <c:pt idx="319">
                  <c:v>1642.33</c:v>
                </c:pt>
                <c:pt idx="320">
                  <c:v>1992.01</c:v>
                </c:pt>
                <c:pt idx="321">
                  <c:v>1822.42</c:v>
                </c:pt>
                <c:pt idx="322">
                  <c:v>1906.61</c:v>
                </c:pt>
                <c:pt idx="323">
                  <c:v>2045.45</c:v>
                </c:pt>
              </c:numCache>
            </c:numRef>
          </c:val>
          <c:smooth val="0"/>
          <c:extLst>
            <c:ext xmlns:c16="http://schemas.microsoft.com/office/drawing/2014/chart" uri="{C3380CC4-5D6E-409C-BE32-E72D297353CC}">
              <c16:uniqueId val="{00000000-F15C-4CA4-9F00-9DA5C6B6E7D1}"/>
            </c:ext>
          </c:extLst>
        </c:ser>
        <c:dLbls>
          <c:showLegendKey val="0"/>
          <c:showVal val="0"/>
          <c:showCatName val="0"/>
          <c:showSerName val="0"/>
          <c:showPercent val="0"/>
          <c:showBubbleSize val="0"/>
        </c:dLbls>
        <c:smooth val="0"/>
        <c:axId val="589095280"/>
        <c:axId val="589094448"/>
      </c:lineChart>
      <c:dateAx>
        <c:axId val="589095280"/>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9094448"/>
        <c:crosses val="autoZero"/>
        <c:auto val="1"/>
        <c:lblOffset val="100"/>
        <c:baseTimeUnit val="days"/>
      </c:dateAx>
      <c:valAx>
        <c:axId val="58909444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909528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98C0C952-11E7-4E22-BD4C-987FFD9A65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4624</TotalTime>
  <Pages>48</Pages>
  <Words>19802</Words>
  <Characters>112878</Characters>
  <Application>Microsoft Office Word</Application>
  <DocSecurity>0</DocSecurity>
  <Lines>940</Lines>
  <Paragraphs>264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Ettore Minelli</dc:creator>
  <cp:keywords/>
  <dc:description/>
  <cp:lastModifiedBy>Ettore MINELLI</cp:lastModifiedBy>
  <cp:revision>107</cp:revision>
  <dcterms:created xsi:type="dcterms:W3CDTF">2022-03-13T14:55:00Z</dcterms:created>
  <dcterms:modified xsi:type="dcterms:W3CDTF">2022-04-07T15:53:00Z</dcterms:modified>
</cp:coreProperties>
</file>