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53A42" w14:textId="77777777" w:rsidR="00AF6DBA" w:rsidRDefault="00AF6DBA" w:rsidP="00AF6DBA">
      <w:pPr>
        <w:pStyle w:val="Ttulo"/>
        <w:jc w:val="center"/>
        <w:rPr>
          <w:rFonts w:ascii="Times New Roman" w:hAnsi="Times New Roman"/>
          <w:b/>
          <w:bCs/>
          <w:spacing w:val="0"/>
          <w:sz w:val="32"/>
          <w:szCs w:val="32"/>
          <w:lang w:val="pt-BR"/>
        </w:rPr>
      </w:pPr>
      <w:r w:rsidRPr="00AF6DBA">
        <w:rPr>
          <w:rFonts w:ascii="Times New Roman" w:hAnsi="Times New Roman"/>
          <w:b/>
          <w:bCs/>
          <w:spacing w:val="0"/>
          <w:sz w:val="32"/>
          <w:szCs w:val="32"/>
          <w:lang w:val="pt-BR"/>
        </w:rPr>
        <w:t>MODELAGEM E PREVISÃO DA SUPERFÍCIE DE ÁGUA EM BELO HORIZONTE (MG): COMPARAÇÃO ENTRE SUAVIZAÇÃO EXPONENCIAL, ARIMA E ETS</w:t>
      </w:r>
    </w:p>
    <w:p w14:paraId="7AAB4A53" w14:textId="77777777" w:rsidR="001462AD" w:rsidRPr="001462AD" w:rsidRDefault="001462AD" w:rsidP="001462AD">
      <w:pPr>
        <w:rPr>
          <w:lang w:val="pt-BR"/>
        </w:rPr>
      </w:pPr>
    </w:p>
    <w:p w14:paraId="11578AEE" w14:textId="70789127" w:rsidR="00AF6DBA" w:rsidRPr="00AF6DBA" w:rsidRDefault="00667607" w:rsidP="001462AD">
      <w:pPr>
        <w:spacing w:after="240"/>
        <w:jc w:val="right"/>
        <w:rPr>
          <w:rFonts w:ascii="Times New Roman" w:hAnsi="Times New Roman"/>
          <w:lang w:val="pt-BR"/>
        </w:rPr>
      </w:pPr>
      <w:r>
        <w:rPr>
          <w:rFonts w:ascii="Times New Roman" w:hAnsi="Times New Roman"/>
          <w:b/>
          <w:bCs/>
          <w:lang w:val="pt-BR"/>
        </w:rPr>
        <w:t>Ettore Gabriel Emilio Reis Braga</w:t>
      </w:r>
      <w:r w:rsidR="001462AD">
        <w:rPr>
          <w:rFonts w:ascii="Times New Roman" w:hAnsi="Times New Roman"/>
          <w:b/>
          <w:bCs/>
          <w:lang w:val="pt-BR"/>
        </w:rPr>
        <w:t>¹</w:t>
      </w:r>
      <w:r w:rsidR="00AF6DBA" w:rsidRPr="00AF6DBA">
        <w:rPr>
          <w:rFonts w:ascii="Times New Roman" w:hAnsi="Times New Roman"/>
          <w:lang w:val="pt-BR"/>
        </w:rPr>
        <w:br/>
      </w:r>
      <w:r w:rsidR="00AF6DBA" w:rsidRPr="00AF6DBA">
        <w:rPr>
          <w:rFonts w:ascii="Times New Roman" w:hAnsi="Times New Roman"/>
          <w:b/>
          <w:bCs/>
          <w:lang w:val="pt-BR"/>
        </w:rPr>
        <w:t>Sheila Regina Oro</w:t>
      </w:r>
      <w:r w:rsidR="001462AD">
        <w:rPr>
          <w:rFonts w:ascii="Times New Roman" w:hAnsi="Times New Roman"/>
          <w:b/>
          <w:bCs/>
          <w:lang w:val="pt-BR"/>
        </w:rPr>
        <w:t>²</w:t>
      </w:r>
    </w:p>
    <w:p w14:paraId="54A757B5" w14:textId="77777777" w:rsidR="00AF6DBA" w:rsidRPr="00AF6DBA" w:rsidRDefault="00AF6DBA" w:rsidP="00AF6DBA">
      <w:pPr>
        <w:pStyle w:val="Ttulo1"/>
        <w:rPr>
          <w:rFonts w:ascii="Times New Roman" w:hAnsi="Times New Roman"/>
          <w:color w:val="000000"/>
          <w:sz w:val="24"/>
          <w:szCs w:val="24"/>
          <w:lang w:val="pt-BR"/>
        </w:rPr>
      </w:pPr>
      <w:r w:rsidRPr="00AF6DBA">
        <w:rPr>
          <w:rFonts w:ascii="Times New Roman" w:hAnsi="Times New Roman"/>
          <w:b/>
          <w:bCs/>
          <w:color w:val="000000"/>
          <w:sz w:val="24"/>
          <w:szCs w:val="24"/>
          <w:lang w:val="pt-BR"/>
        </w:rPr>
        <w:t>Resumo</w:t>
      </w:r>
    </w:p>
    <w:p w14:paraId="2AE14436" w14:textId="60065F09" w:rsidR="00AF6DBA" w:rsidRPr="00AF6DBA" w:rsidRDefault="00AF6DBA">
      <w:pPr>
        <w:spacing w:after="0" w:line="360" w:lineRule="auto"/>
        <w:rPr>
          <w:rFonts w:ascii="Times New Roman" w:hAnsi="Times New Roman"/>
          <w:lang w:val="pt-BR"/>
        </w:rPr>
      </w:pPr>
      <w:r w:rsidRPr="00AF6DBA">
        <w:rPr>
          <w:rFonts w:ascii="Times New Roman" w:hAnsi="Times New Roman"/>
          <w:lang w:val="pt-BR"/>
        </w:rPr>
        <w:t xml:space="preserve">Este trabalho analisa a série temporal mensal da superfície de água (ha) do município de Belo Horizonte (MG) no período de janeiro de 1985 a </w:t>
      </w:r>
      <w:r w:rsidRPr="00AA1DA8">
        <w:rPr>
          <w:rFonts w:ascii="Times New Roman" w:hAnsi="Times New Roman"/>
          <w:lang w:val="pt-BR"/>
        </w:rPr>
        <w:t>dezembro</w:t>
      </w:r>
      <w:r w:rsidRPr="00AF6DBA">
        <w:rPr>
          <w:rFonts w:ascii="Times New Roman" w:hAnsi="Times New Roman"/>
          <w:lang w:val="pt-BR"/>
        </w:rPr>
        <w:t xml:space="preserve"> de 2024, totalizando 480 observações provenientes do Projeto MapBiomas Água, Coleção 4. O </w:t>
      </w:r>
      <w:r w:rsidRPr="00AA1DA8">
        <w:rPr>
          <w:rFonts w:ascii="Times New Roman" w:hAnsi="Times New Roman"/>
          <w:lang w:val="pt-BR"/>
        </w:rPr>
        <w:t>objetivo</w:t>
      </w:r>
      <w:r w:rsidRPr="00AF6DBA">
        <w:rPr>
          <w:rFonts w:ascii="Times New Roman" w:hAnsi="Times New Roman"/>
          <w:lang w:val="pt-BR"/>
        </w:rPr>
        <w:t xml:space="preserve"> é comparar cinco modelos de previsão</w:t>
      </w:r>
      <w:r w:rsidR="00AA1DA8">
        <w:rPr>
          <w:rFonts w:ascii="Times New Roman" w:hAnsi="Times New Roman"/>
          <w:lang w:val="pt-BR"/>
        </w:rPr>
        <w:t xml:space="preserve">: </w:t>
      </w:r>
      <w:r w:rsidRPr="00AF6DBA">
        <w:rPr>
          <w:rFonts w:ascii="Times New Roman" w:hAnsi="Times New Roman"/>
          <w:lang w:val="pt-BR"/>
        </w:rPr>
        <w:t>Suavização Exponencial Simples (SES), Holt, Holt-Winters (HW), ARIMA e ETS</w:t>
      </w:r>
      <w:r w:rsidR="00AA1DA8">
        <w:rPr>
          <w:rFonts w:ascii="Times New Roman" w:hAnsi="Times New Roman"/>
          <w:lang w:val="pt-BR"/>
        </w:rPr>
        <w:t xml:space="preserve">. E avaliar a </w:t>
      </w:r>
      <w:r w:rsidRPr="00AF6DBA">
        <w:rPr>
          <w:rFonts w:ascii="Times New Roman" w:hAnsi="Times New Roman"/>
          <w:lang w:val="pt-BR"/>
        </w:rPr>
        <w:t xml:space="preserve">qualidade de ajuste (AIC) e </w:t>
      </w:r>
      <w:r w:rsidR="00AA1DA8">
        <w:rPr>
          <w:rFonts w:ascii="Times New Roman" w:hAnsi="Times New Roman"/>
          <w:lang w:val="pt-BR"/>
        </w:rPr>
        <w:t>medir</w:t>
      </w:r>
      <w:r w:rsidRPr="00AF6DBA">
        <w:rPr>
          <w:rFonts w:ascii="Times New Roman" w:hAnsi="Times New Roman"/>
          <w:lang w:val="pt-BR"/>
        </w:rPr>
        <w:t xml:space="preserve"> </w:t>
      </w:r>
      <w:r w:rsidR="00AA1DA8">
        <w:rPr>
          <w:rFonts w:ascii="Times New Roman" w:hAnsi="Times New Roman"/>
          <w:lang w:val="pt-BR"/>
        </w:rPr>
        <w:t xml:space="preserve">a </w:t>
      </w:r>
      <w:r w:rsidRPr="00AF6DBA">
        <w:rPr>
          <w:rFonts w:ascii="Times New Roman" w:hAnsi="Times New Roman"/>
          <w:lang w:val="pt-BR"/>
        </w:rPr>
        <w:t>acurácia preditiva</w:t>
      </w:r>
      <w:r w:rsidR="00AA1DA8">
        <w:rPr>
          <w:rFonts w:ascii="Times New Roman" w:hAnsi="Times New Roman"/>
          <w:lang w:val="pt-BR"/>
        </w:rPr>
        <w:t xml:space="preserve"> por meio da métrica de erro quadrático médio</w:t>
      </w:r>
      <w:r w:rsidRPr="00AF6DBA">
        <w:rPr>
          <w:rFonts w:ascii="Times New Roman" w:hAnsi="Times New Roman"/>
          <w:lang w:val="pt-BR"/>
        </w:rPr>
        <w:t xml:space="preserve"> (RMSE) em um horizonte de 60 meses (2020–2024). O Teste Dickey-Fuller Aumentado confirmou estacionariedade da série (DF = -4,07; p &lt; 0,01). A seleção automática por AIC indicou o modelo ARIMA(3,0,2)(0,1,1)</w:t>
      </w:r>
      <w:r w:rsidR="005D0EB3">
        <w:rPr>
          <w:rFonts w:ascii="Times New Roman" w:hAnsi="Times New Roman"/>
          <w:lang w:val="pt-BR"/>
        </w:rPr>
        <w:t>[12]</w:t>
      </w:r>
      <w:r w:rsidRPr="00AF6DBA">
        <w:rPr>
          <w:rFonts w:ascii="Times New Roman" w:hAnsi="Times New Roman"/>
          <w:lang w:val="pt-BR"/>
        </w:rPr>
        <w:t xml:space="preserve"> com constante como melhor ajuste na base de treino (AIC = 3094,43). Entretanto, na base de teste, o modelo SES apresentou menor RMSE (51,37 ha), superando o ARIMA (61,72 ha). A discrepância é atribuída a uma ruptura estrutural observada em 2023–2024, na qual a superfície de água atingiu máximas históricas de até 399 ha, extrapolando o padrão aprendido pelos modelos paramétricos. Conclui-se que o modelo de melhor ajuste pelo AIC não é necessariamente o mais acurado na previsão fora da amostra, ressaltando a importância da avaliação por desempenho preditivo em séries com mudanças de regime.</w:t>
      </w:r>
    </w:p>
    <w:p w14:paraId="7929848B" w14:textId="77777777" w:rsidR="00AF6DBA" w:rsidRPr="00AF6DBA" w:rsidRDefault="00AF6DBA">
      <w:pPr>
        <w:spacing w:after="0" w:line="360" w:lineRule="auto"/>
        <w:rPr>
          <w:rFonts w:ascii="Times New Roman" w:hAnsi="Times New Roman"/>
          <w:lang w:val="pt-BR"/>
        </w:rPr>
      </w:pPr>
      <w:r w:rsidRPr="00AF6DBA">
        <w:rPr>
          <w:rFonts w:ascii="Times New Roman" w:hAnsi="Times New Roman"/>
          <w:b/>
          <w:bCs/>
          <w:lang w:val="pt-BR"/>
        </w:rPr>
        <w:t>Palavras-chave:</w:t>
      </w:r>
      <w:r w:rsidRPr="00AF6DBA">
        <w:rPr>
          <w:rFonts w:ascii="Times New Roman" w:hAnsi="Times New Roman"/>
          <w:lang w:val="pt-BR"/>
        </w:rPr>
        <w:t xml:space="preserve"> séries temporais; superfície de água; ARIMA; ETS; previsão.</w:t>
      </w:r>
    </w:p>
    <w:p w14:paraId="0EC07C38" w14:textId="77777777" w:rsidR="00AF6DBA" w:rsidRDefault="00AF6DBA" w:rsidP="00AF6DBA">
      <w:pPr>
        <w:pStyle w:val="Ttulo1"/>
        <w:rPr>
          <w:rFonts w:ascii="Times New Roman" w:hAnsi="Times New Roman"/>
          <w:color w:val="000000"/>
          <w:sz w:val="24"/>
          <w:szCs w:val="24"/>
        </w:rPr>
      </w:pPr>
      <w:r>
        <w:rPr>
          <w:rFonts w:ascii="Times New Roman" w:hAnsi="Times New Roman"/>
          <w:b/>
          <w:bCs/>
          <w:color w:val="000000"/>
          <w:sz w:val="24"/>
          <w:szCs w:val="24"/>
        </w:rPr>
        <w:t>Abstract</w:t>
      </w:r>
    </w:p>
    <w:p w14:paraId="31CF744C" w14:textId="2CE91D33" w:rsidR="00AF6DBA" w:rsidRDefault="00AF6DBA">
      <w:pPr>
        <w:spacing w:after="0" w:line="360" w:lineRule="auto"/>
        <w:rPr>
          <w:rFonts w:ascii="Times New Roman" w:hAnsi="Times New Roman"/>
        </w:rPr>
      </w:pPr>
      <w:r>
        <w:rPr>
          <w:rFonts w:ascii="Times New Roman" w:hAnsi="Times New Roman"/>
        </w:rPr>
        <w:t xml:space="preserve">This study analyzes the monthly time series of water surface area (ha) in the municipality of Belo Horizonte (MG) from January 1985 to December 2024, comprising 480 observations from the </w:t>
      </w:r>
      <w:proofErr w:type="spellStart"/>
      <w:r>
        <w:rPr>
          <w:rFonts w:ascii="Times New Roman" w:hAnsi="Times New Roman"/>
        </w:rPr>
        <w:t>MapBiomas</w:t>
      </w:r>
      <w:proofErr w:type="spellEnd"/>
      <w:r>
        <w:rPr>
          <w:rFonts w:ascii="Times New Roman" w:hAnsi="Times New Roman"/>
        </w:rPr>
        <w:t xml:space="preserve"> Water Project, Collection 4. The objective is to compare five forecasting models</w:t>
      </w:r>
      <w:r w:rsidR="00D160A9">
        <w:rPr>
          <w:rFonts w:ascii="Times New Roman" w:hAnsi="Times New Roman"/>
        </w:rPr>
        <w:t>,</w:t>
      </w:r>
      <w:r>
        <w:rPr>
          <w:rFonts w:ascii="Times New Roman" w:hAnsi="Times New Roman"/>
        </w:rPr>
        <w:t xml:space="preserve"> Simple Exponential Smoothing (SES), Holt, Holt-Winters (HW), ARIMA, and ETS in terms of </w:t>
      </w:r>
      <w:r>
        <w:rPr>
          <w:rFonts w:ascii="Times New Roman" w:hAnsi="Times New Roman"/>
        </w:rPr>
        <w:lastRenderedPageBreak/>
        <w:t>goodness-of-fit (AIC) and predictive accuracy (RMSE) over a 60-month horizon (2020–2024). The Augmented Dickey-Fuller test confirmed series stationarity (DF = -4.07; p &lt; 0.01). Automatic AIC selection identified the ARIMA(3,0,2)(0,1,1)</w:t>
      </w:r>
      <w:r w:rsidR="005D0EB3">
        <w:rPr>
          <w:rFonts w:ascii="Times New Roman" w:hAnsi="Times New Roman"/>
        </w:rPr>
        <w:t>[12]</w:t>
      </w:r>
      <w:r>
        <w:rPr>
          <w:rFonts w:ascii="Times New Roman" w:hAnsi="Times New Roman"/>
        </w:rPr>
        <w:t xml:space="preserve"> with drift as the best-fitting model on the training set (AIC = 3094.43). </w:t>
      </w:r>
      <w:r w:rsidRPr="00D160A9">
        <w:rPr>
          <w:rFonts w:ascii="Times New Roman" w:hAnsi="Times New Roman"/>
        </w:rPr>
        <w:t>However</w:t>
      </w:r>
      <w:r>
        <w:rPr>
          <w:rFonts w:ascii="Times New Roman" w:hAnsi="Times New Roman"/>
        </w:rPr>
        <w:t>, on the test set, the SES model achieved the lowest RMSE (51.37 ha), outperforming ARIMA (61.72 ha). This discrepancy is attributed to a structural break observed in 2023–2024, when water surface area reached historical maxima of up to 399 ha, exceeding patterns learned by parametric models. It is concluded that the best AIC model is not necessarily the most accurate for out-of-sample forecasting.</w:t>
      </w:r>
    </w:p>
    <w:p w14:paraId="00B93E26" w14:textId="77777777" w:rsidR="00AF6DBA" w:rsidRDefault="00AF6DBA">
      <w:pPr>
        <w:spacing w:after="0" w:line="360" w:lineRule="auto"/>
        <w:rPr>
          <w:rFonts w:ascii="Times New Roman" w:hAnsi="Times New Roman"/>
        </w:rPr>
      </w:pPr>
      <w:r>
        <w:rPr>
          <w:rFonts w:ascii="Times New Roman" w:hAnsi="Times New Roman"/>
          <w:b/>
          <w:bCs/>
        </w:rPr>
        <w:t>Keywords:</w:t>
      </w:r>
      <w:r>
        <w:rPr>
          <w:rFonts w:ascii="Times New Roman" w:hAnsi="Times New Roman"/>
        </w:rPr>
        <w:t xml:space="preserve"> time series; water surface; ARIMA; ETS; forecasting.</w:t>
      </w:r>
    </w:p>
    <w:p w14:paraId="79736E16" w14:textId="77777777" w:rsidR="00AF6DBA" w:rsidRPr="00AF6DBA" w:rsidRDefault="00AF6DBA" w:rsidP="00AF6DBA">
      <w:pPr>
        <w:pStyle w:val="Ttulo1"/>
        <w:rPr>
          <w:rFonts w:ascii="Times New Roman" w:hAnsi="Times New Roman"/>
          <w:color w:val="000000"/>
          <w:sz w:val="24"/>
          <w:szCs w:val="24"/>
          <w:lang w:val="pt-BR"/>
        </w:rPr>
      </w:pPr>
      <w:r w:rsidRPr="00AF6DBA">
        <w:rPr>
          <w:rFonts w:ascii="Times New Roman" w:hAnsi="Times New Roman"/>
          <w:b/>
          <w:bCs/>
          <w:color w:val="000000"/>
          <w:sz w:val="24"/>
          <w:szCs w:val="24"/>
          <w:lang w:val="pt-BR"/>
        </w:rPr>
        <w:t>Introdução</w:t>
      </w:r>
    </w:p>
    <w:p w14:paraId="77007D54" w14:textId="1C2AEB89" w:rsidR="00AF6DBA" w:rsidRPr="00AF6DBA" w:rsidRDefault="00AF6DBA" w:rsidP="00A57478">
      <w:pPr>
        <w:spacing w:after="0" w:line="360" w:lineRule="auto"/>
        <w:jc w:val="both"/>
        <w:rPr>
          <w:rFonts w:ascii="Times New Roman" w:hAnsi="Times New Roman"/>
          <w:lang w:val="pt-BR"/>
        </w:rPr>
      </w:pPr>
      <w:r w:rsidRPr="00AF6DBA">
        <w:rPr>
          <w:rFonts w:ascii="Times New Roman" w:hAnsi="Times New Roman"/>
          <w:lang w:val="pt-BR"/>
        </w:rPr>
        <w:t xml:space="preserve">A superfície de água em ambientes urbanos é um indicador sensível de mudanças climáticas, uso do solo e eventos hidrológicos extremos. O monitoramento sistemático desse indicador ao longo do tempo permite identificar tendências, padrões sazonais e anomalias que subsidiam políticas de gestão hídrica e planejamento urbano. Belo Horizonte, capital do estado de Minas Gerais, constitui um contexto de análise relevante: trata-se de uma metrópole brasileira de grande porte, sujeita a variações climáticas significativas ao </w:t>
      </w:r>
      <w:r w:rsidRPr="00512B6D">
        <w:rPr>
          <w:rFonts w:ascii="Times New Roman" w:hAnsi="Times New Roman"/>
          <w:lang w:val="pt-BR"/>
        </w:rPr>
        <w:t>longo</w:t>
      </w:r>
      <w:r w:rsidRPr="00AF6DBA">
        <w:rPr>
          <w:rFonts w:ascii="Times New Roman" w:hAnsi="Times New Roman"/>
          <w:lang w:val="pt-BR"/>
        </w:rPr>
        <w:t xml:space="preserve"> do ano, com estação seca bem definida e episódios pluviométricos intensos no verã</w:t>
      </w:r>
      <w:r w:rsidR="001B5EA8">
        <w:rPr>
          <w:rFonts w:ascii="Times New Roman" w:hAnsi="Times New Roman"/>
          <w:lang w:val="pt-BR"/>
        </w:rPr>
        <w:t>o</w:t>
      </w:r>
      <w:r w:rsidRPr="00AF6DBA">
        <w:rPr>
          <w:rFonts w:ascii="Times New Roman" w:hAnsi="Times New Roman"/>
          <w:lang w:val="pt-BR"/>
        </w:rPr>
        <w:t>.</w:t>
      </w:r>
    </w:p>
    <w:p w14:paraId="7702B88E" w14:textId="57993B84" w:rsidR="009A55E7" w:rsidRPr="009A55E7" w:rsidRDefault="009A55E7" w:rsidP="00A57478">
      <w:pPr>
        <w:spacing w:after="0" w:line="360" w:lineRule="auto"/>
        <w:jc w:val="both"/>
        <w:rPr>
          <w:lang w:val="pt-BR"/>
        </w:rPr>
      </w:pPr>
      <w:r>
        <w:rPr>
          <w:rFonts w:ascii="Times New Roman" w:hAnsi="Times New Roman"/>
          <w:lang w:val="pt-BR"/>
        </w:rPr>
        <w:t xml:space="preserve">Nesse contexto, técnicas de análise de séries temporais oferecem </w:t>
      </w:r>
      <w:r w:rsidR="001B5EA8">
        <w:rPr>
          <w:rFonts w:ascii="Times New Roman" w:hAnsi="Times New Roman"/>
          <w:lang w:val="pt-BR"/>
        </w:rPr>
        <w:t>ferramentas</w:t>
      </w:r>
      <w:r>
        <w:rPr>
          <w:rFonts w:ascii="Times New Roman" w:hAnsi="Times New Roman"/>
          <w:lang w:val="pt-BR"/>
        </w:rPr>
        <w:t xml:space="preserve"> adequad</w:t>
      </w:r>
      <w:r w:rsidR="001B5EA8">
        <w:rPr>
          <w:rFonts w:ascii="Times New Roman" w:hAnsi="Times New Roman"/>
          <w:lang w:val="pt-BR"/>
        </w:rPr>
        <w:t>as</w:t>
      </w:r>
      <w:r>
        <w:rPr>
          <w:rFonts w:ascii="Times New Roman" w:hAnsi="Times New Roman"/>
          <w:lang w:val="pt-BR"/>
        </w:rPr>
        <w:t xml:space="preserve"> para modelar e prever o comportamento de variáveis hidrológicas mensais. A literatura apresenta uma diversidade de abordagens, desde os modelos clássicos de suavização exponencial (HOLT, 1957; WINTERS, 1960) até os modelos autorregressivos integrados de médias móveis (ARIMA), sistematizados por Box, Jenkins e Reinsel (1994), e os modelos de Espaço de Estados (ETS), discutidos por Hyndman e Khandakar (2008). Estudos recentes têm aplicado esses modelos a séries hidrológicas no Brasil, evidenciando tanto o potencial preditivo quanto as limitações frente a eventos extremos (</w:t>
      </w:r>
      <w:r w:rsidR="005D0EB3">
        <w:rPr>
          <w:rFonts w:ascii="Times New Roman" w:hAnsi="Times New Roman"/>
          <w:lang w:val="pt-BR"/>
        </w:rPr>
        <w:t>LUCAS, EDMUNDO</w:t>
      </w:r>
      <w:r>
        <w:rPr>
          <w:rFonts w:ascii="Times New Roman" w:hAnsi="Times New Roman"/>
          <w:lang w:val="pt-BR"/>
        </w:rPr>
        <w:t xml:space="preserve"> et al., 20</w:t>
      </w:r>
      <w:r w:rsidR="005D0EB3">
        <w:rPr>
          <w:rFonts w:ascii="Times New Roman" w:hAnsi="Times New Roman"/>
          <w:lang w:val="pt-BR"/>
        </w:rPr>
        <w:t>09</w:t>
      </w:r>
      <w:r>
        <w:rPr>
          <w:rFonts w:ascii="Times New Roman" w:hAnsi="Times New Roman"/>
          <w:lang w:val="pt-BR"/>
        </w:rPr>
        <w:t xml:space="preserve">; </w:t>
      </w:r>
      <w:r w:rsidR="005D0EB3">
        <w:rPr>
          <w:rFonts w:ascii="Times New Roman" w:hAnsi="Times New Roman"/>
          <w:lang w:val="pt-BR"/>
        </w:rPr>
        <w:t>CAMINHA, A. R.</w:t>
      </w:r>
      <w:r>
        <w:rPr>
          <w:rFonts w:ascii="Times New Roman" w:hAnsi="Times New Roman"/>
          <w:lang w:val="pt-BR"/>
        </w:rPr>
        <w:t xml:space="preserve"> et al., 20</w:t>
      </w:r>
      <w:r w:rsidR="005D0EB3">
        <w:rPr>
          <w:rFonts w:ascii="Times New Roman" w:hAnsi="Times New Roman"/>
          <w:lang w:val="pt-BR"/>
        </w:rPr>
        <w:t>25</w:t>
      </w:r>
      <w:r>
        <w:rPr>
          <w:rFonts w:ascii="Times New Roman" w:hAnsi="Times New Roman"/>
          <w:lang w:val="pt-BR"/>
        </w:rPr>
        <w:t>).</w:t>
      </w:r>
    </w:p>
    <w:p w14:paraId="075D12FD" w14:textId="4CF6224B" w:rsidR="009A55E7" w:rsidRPr="009A55E7" w:rsidRDefault="009A55E7" w:rsidP="00A57478">
      <w:pPr>
        <w:spacing w:after="0" w:line="360" w:lineRule="auto"/>
        <w:jc w:val="both"/>
        <w:rPr>
          <w:lang w:val="pt-BR"/>
        </w:rPr>
      </w:pPr>
      <w:r>
        <w:rPr>
          <w:rFonts w:ascii="Times New Roman" w:hAnsi="Times New Roman"/>
          <w:lang w:val="pt-BR"/>
        </w:rPr>
        <w:t xml:space="preserve">Uma questão metodológica central na </w:t>
      </w:r>
      <w:r w:rsidRPr="00D6499C">
        <w:rPr>
          <w:rFonts w:ascii="Times New Roman" w:hAnsi="Times New Roman"/>
          <w:lang w:val="pt-BR"/>
        </w:rPr>
        <w:t>modelagem</w:t>
      </w:r>
      <w:r>
        <w:rPr>
          <w:rFonts w:ascii="Times New Roman" w:hAnsi="Times New Roman"/>
          <w:lang w:val="pt-BR"/>
        </w:rPr>
        <w:t xml:space="preserve"> de séries temporais é a relação entre a qualidade de ajuste dentro da amostra — habitualmente medida pelo Critério de Informação de Akaike (AIC) (AKAIKE, 1974) — e a acurácia preditiva fora da amostra, medida pelo Erro Quadrático Médio (RMSE) em um conjunto de teste. O AIC penaliza modelos com maior número de parâmetros, </w:t>
      </w:r>
      <w:r>
        <w:rPr>
          <w:rFonts w:ascii="Times New Roman" w:hAnsi="Times New Roman"/>
          <w:lang w:val="pt-BR"/>
        </w:rPr>
        <w:lastRenderedPageBreak/>
        <w:t xml:space="preserve">favorecendo a parcimônia; contudo, um modelo </w:t>
      </w:r>
      <w:r w:rsidR="001B5EA8">
        <w:rPr>
          <w:rFonts w:ascii="Times New Roman" w:hAnsi="Times New Roman"/>
          <w:lang w:val="pt-BR"/>
        </w:rPr>
        <w:t>conservador</w:t>
      </w:r>
      <w:r>
        <w:rPr>
          <w:rFonts w:ascii="Times New Roman" w:hAnsi="Times New Roman"/>
          <w:lang w:val="pt-BR"/>
        </w:rPr>
        <w:t xml:space="preserve"> e bem ajustado ao período de treino pode não generalizar adequadamente diante de mudanças estruturais na série.</w:t>
      </w:r>
    </w:p>
    <w:p w14:paraId="48358D24" w14:textId="77777777" w:rsidR="00AF6DBA" w:rsidRPr="00AF6DBA" w:rsidRDefault="00AF6DBA" w:rsidP="00A57478">
      <w:pPr>
        <w:spacing w:after="0" w:line="360" w:lineRule="auto"/>
        <w:jc w:val="both"/>
        <w:rPr>
          <w:rFonts w:ascii="Times New Roman" w:hAnsi="Times New Roman"/>
          <w:lang w:val="pt-BR"/>
        </w:rPr>
      </w:pPr>
      <w:r w:rsidRPr="00AF6DBA">
        <w:rPr>
          <w:rFonts w:ascii="Times New Roman" w:hAnsi="Times New Roman"/>
          <w:lang w:val="pt-BR"/>
        </w:rPr>
        <w:t xml:space="preserve">Esta é a </w:t>
      </w:r>
      <w:r w:rsidRPr="00AF6DBA">
        <w:rPr>
          <w:rFonts w:ascii="Times New Roman" w:hAnsi="Times New Roman"/>
          <w:b/>
          <w:bCs/>
          <w:lang w:val="pt-BR"/>
        </w:rPr>
        <w:t>questão de pesquisa</w:t>
      </w:r>
      <w:r w:rsidRPr="00AF6DBA">
        <w:rPr>
          <w:rFonts w:ascii="Times New Roman" w:hAnsi="Times New Roman"/>
          <w:lang w:val="pt-BR"/>
        </w:rPr>
        <w:t xml:space="preserve"> que motiva o presente trabalho: </w:t>
      </w:r>
      <w:r w:rsidRPr="00AF6DBA">
        <w:rPr>
          <w:rFonts w:ascii="Times New Roman" w:hAnsi="Times New Roman"/>
          <w:i/>
          <w:iCs/>
          <w:lang w:val="pt-BR"/>
        </w:rPr>
        <w:t>o modelo com melhor AIC na base de treino também apresenta o menor RMSE na base de teste?</w:t>
      </w:r>
    </w:p>
    <w:p w14:paraId="1B61C4FD" w14:textId="77777777" w:rsidR="00AF6DBA" w:rsidRPr="00AF6DBA" w:rsidRDefault="00AF6DBA" w:rsidP="00A57478">
      <w:pPr>
        <w:spacing w:after="0" w:line="360" w:lineRule="auto"/>
        <w:jc w:val="both"/>
        <w:rPr>
          <w:rFonts w:ascii="Times New Roman" w:hAnsi="Times New Roman"/>
          <w:lang w:val="pt-BR"/>
        </w:rPr>
      </w:pPr>
      <w:r w:rsidRPr="00AF6DBA">
        <w:rPr>
          <w:rFonts w:ascii="Times New Roman" w:hAnsi="Times New Roman"/>
          <w:lang w:val="pt-BR"/>
        </w:rPr>
        <w:t>O objetivo geral é modelar a série temporal mensal da superfície de água em Belo Horizonte (MG) no período de 1985 a 2024 e comparar cinco modelos quanto ao AIC e ao RMSE, discutindo as implicações da discrepância entre os dois critérios.</w:t>
      </w:r>
    </w:p>
    <w:p w14:paraId="3AED00DB" w14:textId="77777777" w:rsidR="00AF6DBA" w:rsidRPr="00AF6DBA" w:rsidRDefault="00AF6DBA" w:rsidP="00AF6DBA">
      <w:pPr>
        <w:pStyle w:val="Ttulo1"/>
        <w:rPr>
          <w:rFonts w:ascii="Times New Roman" w:hAnsi="Times New Roman"/>
          <w:color w:val="000000"/>
          <w:sz w:val="24"/>
          <w:szCs w:val="24"/>
          <w:lang w:val="pt-BR"/>
        </w:rPr>
      </w:pPr>
      <w:r w:rsidRPr="00AF6DBA">
        <w:rPr>
          <w:rFonts w:ascii="Times New Roman" w:hAnsi="Times New Roman"/>
          <w:b/>
          <w:bCs/>
          <w:color w:val="000000"/>
          <w:sz w:val="24"/>
          <w:szCs w:val="24"/>
          <w:lang w:val="pt-BR"/>
        </w:rPr>
        <w:t>Metodologia</w:t>
      </w:r>
    </w:p>
    <w:p w14:paraId="1CB86E3F" w14:textId="77777777" w:rsidR="00AF6DBA" w:rsidRPr="00AF6DBA" w:rsidRDefault="00AF6DBA" w:rsidP="00AF6DBA">
      <w:pPr>
        <w:pStyle w:val="Ttulo2"/>
        <w:rPr>
          <w:rFonts w:ascii="Times New Roman" w:hAnsi="Times New Roman"/>
          <w:color w:val="000000"/>
          <w:sz w:val="24"/>
          <w:szCs w:val="24"/>
          <w:lang w:val="pt-BR"/>
        </w:rPr>
      </w:pPr>
      <w:r w:rsidRPr="00AF6DBA">
        <w:rPr>
          <w:rFonts w:ascii="Times New Roman" w:hAnsi="Times New Roman"/>
          <w:b/>
          <w:bCs/>
          <w:color w:val="000000"/>
          <w:sz w:val="24"/>
          <w:szCs w:val="24"/>
          <w:lang w:val="pt-BR"/>
        </w:rPr>
        <w:t>Dados</w:t>
      </w:r>
    </w:p>
    <w:p w14:paraId="4AEE6F15" w14:textId="198E743C" w:rsidR="009A55E7" w:rsidRPr="009A55E7" w:rsidRDefault="009A55E7" w:rsidP="00A57478">
      <w:pPr>
        <w:spacing w:after="0" w:line="360" w:lineRule="auto"/>
        <w:jc w:val="both"/>
        <w:rPr>
          <w:lang w:val="pt-BR"/>
        </w:rPr>
      </w:pPr>
      <w:r>
        <w:rPr>
          <w:rFonts w:ascii="Times New Roman" w:hAnsi="Times New Roman"/>
          <w:lang w:val="pt-BR"/>
        </w:rPr>
        <w:t xml:space="preserve">Os dados utilizados provêm do Projeto MapBiomas Água, Coleção 4 (MAPBIOMAS, 2024), que disponibiliza estimativas mensais de área de superfície de água (em hectares) para todos os municípios brasileiros a partir de imagens de sensoriamento remoto </w:t>
      </w:r>
      <w:proofErr w:type="spellStart"/>
      <w:r>
        <w:rPr>
          <w:rFonts w:ascii="Times New Roman" w:hAnsi="Times New Roman"/>
          <w:lang w:val="pt-BR"/>
        </w:rPr>
        <w:t>Landsat</w:t>
      </w:r>
      <w:proofErr w:type="spellEnd"/>
      <w:r>
        <w:rPr>
          <w:rFonts w:ascii="Times New Roman" w:hAnsi="Times New Roman"/>
          <w:lang w:val="pt-BR"/>
        </w:rPr>
        <w:t>. Para Belo Horizonte (código IBGE 3106200), foram obtidas 480 observações mensais, cobrindo o período de janeiro de 1985 a dezembro de 2024.</w:t>
      </w:r>
    </w:p>
    <w:p w14:paraId="06A427F1" w14:textId="6518BEC9" w:rsidR="00C6126F" w:rsidRDefault="009A55E7" w:rsidP="00A57478">
      <w:pPr>
        <w:spacing w:after="0" w:line="360" w:lineRule="auto"/>
        <w:jc w:val="both"/>
        <w:rPr>
          <w:rFonts w:ascii="Times New Roman" w:hAnsi="Times New Roman"/>
          <w:lang w:val="pt-BR"/>
        </w:rPr>
      </w:pPr>
      <w:r>
        <w:rPr>
          <w:rFonts w:ascii="Times New Roman" w:hAnsi="Times New Roman"/>
          <w:lang w:val="pt-BR"/>
        </w:rPr>
        <w:t xml:space="preserve">A série foi estruturada como objeto de série </w:t>
      </w:r>
      <w:r w:rsidRPr="0001071F">
        <w:rPr>
          <w:rFonts w:ascii="Times New Roman" w:hAnsi="Times New Roman"/>
          <w:lang w:val="pt-BR"/>
        </w:rPr>
        <w:t>temporal</w:t>
      </w:r>
      <w:r>
        <w:rPr>
          <w:rFonts w:ascii="Times New Roman" w:hAnsi="Times New Roman"/>
          <w:lang w:val="pt-BR"/>
        </w:rPr>
        <w:t xml:space="preserve"> no software R (R CORE TEAM, 2025) com frequência 12 (mensal). O conjunto foi dividido em base de treino</w:t>
      </w:r>
      <w:r w:rsidR="001B5EA8">
        <w:rPr>
          <w:rFonts w:ascii="Times New Roman" w:hAnsi="Times New Roman"/>
          <w:lang w:val="pt-BR"/>
        </w:rPr>
        <w:t xml:space="preserve"> e base de testes</w:t>
      </w:r>
      <w:r w:rsidR="00C6126F">
        <w:rPr>
          <w:rFonts w:ascii="Times New Roman" w:hAnsi="Times New Roman"/>
          <w:lang w:val="pt-BR"/>
        </w:rPr>
        <w:t xml:space="preserve"> com as seguintes configurações:</w:t>
      </w:r>
    </w:p>
    <w:p w14:paraId="5708B934" w14:textId="1F7F599E" w:rsidR="00C6126F" w:rsidRPr="00C6126F" w:rsidRDefault="00C6126F" w:rsidP="00C6126F">
      <w:pPr>
        <w:pStyle w:val="PargrafodaLista"/>
        <w:numPr>
          <w:ilvl w:val="0"/>
          <w:numId w:val="1"/>
        </w:numPr>
        <w:spacing w:after="0" w:line="360" w:lineRule="auto"/>
        <w:rPr>
          <w:rFonts w:ascii="Times New Roman" w:hAnsi="Times New Roman"/>
          <w:lang w:val="pt-BR"/>
        </w:rPr>
      </w:pPr>
      <w:r w:rsidRPr="00C6126F">
        <w:rPr>
          <w:rFonts w:ascii="Times New Roman" w:hAnsi="Times New Roman"/>
          <w:b/>
          <w:bCs/>
          <w:lang w:val="pt-BR"/>
        </w:rPr>
        <w:t>Conjunto de Treino</w:t>
      </w:r>
      <w:r w:rsidRPr="00C6126F">
        <w:rPr>
          <w:rFonts w:ascii="Times New Roman" w:hAnsi="Times New Roman"/>
          <w:lang w:val="pt-BR"/>
        </w:rPr>
        <w:t>:</w:t>
      </w:r>
      <w:r w:rsidR="009A55E7" w:rsidRPr="00C6126F">
        <w:rPr>
          <w:rFonts w:ascii="Times New Roman" w:hAnsi="Times New Roman"/>
          <w:lang w:val="pt-BR"/>
        </w:rPr>
        <w:t xml:space="preserve"> de janeiro de 1985 a dezembro de 2019, totalizando 420 observações</w:t>
      </w:r>
      <w:r>
        <w:rPr>
          <w:rFonts w:ascii="Times New Roman" w:hAnsi="Times New Roman"/>
          <w:lang w:val="pt-BR"/>
        </w:rPr>
        <w:t xml:space="preserve"> (35 anos);</w:t>
      </w:r>
    </w:p>
    <w:p w14:paraId="72FDE726" w14:textId="72445E58" w:rsidR="009A55E7" w:rsidRPr="00C6126F" w:rsidRDefault="00C6126F" w:rsidP="00C6126F">
      <w:pPr>
        <w:pStyle w:val="PargrafodaLista"/>
        <w:numPr>
          <w:ilvl w:val="0"/>
          <w:numId w:val="1"/>
        </w:numPr>
        <w:spacing w:after="0" w:line="360" w:lineRule="auto"/>
        <w:rPr>
          <w:lang w:val="pt-BR"/>
        </w:rPr>
      </w:pPr>
      <w:r w:rsidRPr="00C6126F">
        <w:rPr>
          <w:rFonts w:ascii="Times New Roman" w:hAnsi="Times New Roman"/>
          <w:b/>
          <w:bCs/>
          <w:lang w:val="pt-BR"/>
        </w:rPr>
        <w:t>Conjunto</w:t>
      </w:r>
      <w:r w:rsidR="009A55E7" w:rsidRPr="00C6126F">
        <w:rPr>
          <w:rFonts w:ascii="Times New Roman" w:hAnsi="Times New Roman"/>
          <w:b/>
          <w:bCs/>
          <w:lang w:val="pt-BR"/>
        </w:rPr>
        <w:t xml:space="preserve"> de </w:t>
      </w:r>
      <w:r w:rsidRPr="00C6126F">
        <w:rPr>
          <w:rFonts w:ascii="Times New Roman" w:hAnsi="Times New Roman"/>
          <w:b/>
          <w:bCs/>
          <w:lang w:val="pt-BR"/>
        </w:rPr>
        <w:t>T</w:t>
      </w:r>
      <w:r w:rsidR="009A55E7" w:rsidRPr="00C6126F">
        <w:rPr>
          <w:rFonts w:ascii="Times New Roman" w:hAnsi="Times New Roman"/>
          <w:b/>
          <w:bCs/>
          <w:lang w:val="pt-BR"/>
        </w:rPr>
        <w:t>este</w:t>
      </w:r>
      <w:r w:rsidRPr="00C6126F">
        <w:rPr>
          <w:rFonts w:ascii="Times New Roman" w:hAnsi="Times New Roman"/>
          <w:lang w:val="pt-BR"/>
        </w:rPr>
        <w:t>:</w:t>
      </w:r>
      <w:r w:rsidR="009A55E7" w:rsidRPr="00C6126F">
        <w:rPr>
          <w:rFonts w:ascii="Times New Roman" w:hAnsi="Times New Roman"/>
          <w:lang w:val="pt-BR"/>
        </w:rPr>
        <w:t xml:space="preserve"> de janeiro de 2020 a dezembro de 2024, totalizando 60 observações</w:t>
      </w:r>
      <w:r>
        <w:rPr>
          <w:rFonts w:ascii="Times New Roman" w:hAnsi="Times New Roman"/>
          <w:lang w:val="pt-BR"/>
        </w:rPr>
        <w:t xml:space="preserve"> (5 anos)</w:t>
      </w:r>
      <w:r w:rsidR="009A55E7" w:rsidRPr="00C6126F">
        <w:rPr>
          <w:rFonts w:ascii="Times New Roman" w:hAnsi="Times New Roman"/>
          <w:lang w:val="pt-BR"/>
        </w:rPr>
        <w:t>.</w:t>
      </w:r>
    </w:p>
    <w:p w14:paraId="174C5358" w14:textId="77777777" w:rsidR="00AF6DBA" w:rsidRPr="00C6126F" w:rsidRDefault="00AF6DBA" w:rsidP="00AF6DBA">
      <w:pPr>
        <w:pStyle w:val="Ttulo2"/>
        <w:rPr>
          <w:rFonts w:ascii="Times New Roman" w:hAnsi="Times New Roman"/>
          <w:color w:val="000000"/>
          <w:sz w:val="24"/>
          <w:szCs w:val="24"/>
          <w:lang w:val="pt-BR"/>
        </w:rPr>
      </w:pPr>
      <w:r w:rsidRPr="00AF6DBA">
        <w:rPr>
          <w:rFonts w:ascii="Times New Roman" w:hAnsi="Times New Roman"/>
          <w:b/>
          <w:bCs/>
          <w:color w:val="000000"/>
          <w:sz w:val="24"/>
          <w:szCs w:val="24"/>
          <w:lang w:val="pt-BR"/>
        </w:rPr>
        <w:t>Análise Exploratória</w:t>
      </w:r>
    </w:p>
    <w:p w14:paraId="60F4B07A" w14:textId="6940B4A1" w:rsidR="009A55E7" w:rsidRPr="00A57478" w:rsidRDefault="009A55E7" w:rsidP="00A57478">
      <w:pPr>
        <w:spacing w:after="0" w:line="360" w:lineRule="auto"/>
        <w:jc w:val="both"/>
        <w:rPr>
          <w:u w:val="single"/>
          <w:lang w:val="pt-BR"/>
        </w:rPr>
      </w:pPr>
      <w:r>
        <w:rPr>
          <w:rFonts w:ascii="Times New Roman" w:hAnsi="Times New Roman"/>
          <w:lang w:val="pt-BR"/>
        </w:rPr>
        <w:t>A análise exploratória incluiu a inspeção visual da série, o periodograma integrado e a decomposição clássica aditiva. Para avaliar a estacionariedade, foi aplicado o Teste Dickey-Fuller Aumentado (DICKEY; FULLER, 1979). A hipótese nula</w:t>
      </w:r>
      <w:r w:rsidR="00BC36C0" w:rsidRPr="00BC36C0">
        <w:rPr>
          <w:lang w:val="pt-BR"/>
        </w:rPr>
        <w:t xml:space="preserve"> </w:t>
      </w:r>
      <w:r w:rsidR="00BC36C0">
        <w:rPr>
          <w:lang w:val="pt-BR"/>
        </w:rPr>
        <w:t>(</w:t>
      </w:r>
      <m:oMath>
        <m:sSub>
          <m:sSubPr>
            <m:ctrlPr>
              <w:rPr>
                <w:rFonts w:ascii="Cambria Math" w:hAnsi="Cambria Math"/>
                <w:i/>
                <w:lang w:val="pt-BR"/>
              </w:rPr>
            </m:ctrlPr>
          </m:sSubPr>
          <m:e>
            <m:r>
              <w:rPr>
                <w:rFonts w:ascii="Cambria Math" w:hAnsi="Cambria Math"/>
                <w:lang w:val="pt-BR"/>
              </w:rPr>
              <m:t>H</m:t>
            </m:r>
          </m:e>
          <m:sub>
            <m:r>
              <w:rPr>
                <w:rFonts w:ascii="Cambria Math" w:hAnsi="Cambria Math"/>
                <w:lang w:val="pt-BR"/>
              </w:rPr>
              <m:t>0</m:t>
            </m:r>
          </m:sub>
        </m:sSub>
      </m:oMath>
      <w:r w:rsidR="00BC36C0">
        <w:rPr>
          <w:rFonts w:eastAsiaTheme="minorEastAsia"/>
          <w:lang w:val="pt-BR"/>
        </w:rPr>
        <w:t>)</w:t>
      </w:r>
      <w:r w:rsidR="00BC36C0">
        <w:rPr>
          <w:rFonts w:ascii="Times New Roman" w:hAnsi="Times New Roman"/>
          <w:lang w:val="pt-BR"/>
        </w:rPr>
        <w:t xml:space="preserve"> </w:t>
      </w:r>
      <w:r>
        <w:rPr>
          <w:rFonts w:ascii="Times New Roman" w:hAnsi="Times New Roman"/>
          <w:lang w:val="pt-BR"/>
        </w:rPr>
        <w:t>é a presença de raiz unitária; rejeita-se essa hipótese quando p &lt; 0,05.</w:t>
      </w:r>
    </w:p>
    <w:p w14:paraId="6A1321F3" w14:textId="77777777" w:rsidR="00AF6DBA" w:rsidRPr="00AF6DBA" w:rsidRDefault="00AF6DBA" w:rsidP="00AF6DBA">
      <w:pPr>
        <w:pStyle w:val="Ttulo2"/>
        <w:rPr>
          <w:rFonts w:ascii="Times New Roman" w:hAnsi="Times New Roman"/>
          <w:color w:val="000000"/>
          <w:sz w:val="24"/>
          <w:szCs w:val="24"/>
          <w:lang w:val="pt-BR"/>
        </w:rPr>
      </w:pPr>
      <w:r w:rsidRPr="00AF6DBA">
        <w:rPr>
          <w:rFonts w:ascii="Times New Roman" w:hAnsi="Times New Roman"/>
          <w:b/>
          <w:bCs/>
          <w:color w:val="000000"/>
          <w:sz w:val="24"/>
          <w:szCs w:val="24"/>
          <w:lang w:val="pt-BR"/>
        </w:rPr>
        <w:lastRenderedPageBreak/>
        <w:t>Modelos Utilizados</w:t>
      </w:r>
    </w:p>
    <w:p w14:paraId="541C43E7" w14:textId="77777777" w:rsidR="009A55E7" w:rsidRPr="00A57478" w:rsidRDefault="009A55E7" w:rsidP="00A57478">
      <w:pPr>
        <w:spacing w:after="0" w:line="360" w:lineRule="auto"/>
        <w:jc w:val="both"/>
        <w:rPr>
          <w:rFonts w:ascii="Times New Roman" w:hAnsi="Times New Roman"/>
          <w:u w:val="single"/>
          <w:lang w:val="pt-BR"/>
        </w:rPr>
      </w:pPr>
      <w:r>
        <w:rPr>
          <w:rFonts w:ascii="Times New Roman" w:hAnsi="Times New Roman"/>
          <w:lang w:val="pt-BR"/>
        </w:rPr>
        <w:t>Foram ajustados cinco modelos à base de treino, todos implementados pelo pacote forecast do R (HYNDMAN; KHANDAKAR, 2008): Suavização Exponencial Simples (SES), Holt, Holt-Winters, ARIMA e ETS.</w:t>
      </w:r>
    </w:p>
    <w:p w14:paraId="25A62FAA" w14:textId="77777777" w:rsidR="00AD7683" w:rsidRPr="009A55E7" w:rsidRDefault="00AD7683">
      <w:pPr>
        <w:spacing w:after="0" w:line="360" w:lineRule="auto"/>
        <w:rPr>
          <w:lang w:val="pt-BR"/>
        </w:rPr>
      </w:pPr>
    </w:p>
    <w:p w14:paraId="28393839" w14:textId="77777777" w:rsidR="00AF6DBA" w:rsidRPr="00AF6DBA" w:rsidRDefault="00AF6DBA">
      <w:pPr>
        <w:spacing w:after="0" w:line="240" w:lineRule="auto"/>
        <w:jc w:val="center"/>
        <w:rPr>
          <w:rFonts w:ascii="Times New Roman" w:hAnsi="Times New Roman"/>
          <w:sz w:val="20"/>
          <w:szCs w:val="20"/>
          <w:lang w:val="pt-BR"/>
        </w:rPr>
      </w:pPr>
      <w:r w:rsidRPr="00AF6DBA">
        <w:rPr>
          <w:rFonts w:ascii="Times New Roman" w:hAnsi="Times New Roman"/>
          <w:i/>
          <w:iCs/>
          <w:sz w:val="20"/>
          <w:szCs w:val="20"/>
          <w:lang w:val="pt-BR"/>
        </w:rPr>
        <w:t>Tabela 1. Modelos ajustados e respectivas funções no R</w:t>
      </w:r>
    </w:p>
    <w:tbl>
      <w:tblPr>
        <w:tblW w:w="5000" w:type="pct"/>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86"/>
        <w:gridCol w:w="6610"/>
        <w:gridCol w:w="1764"/>
      </w:tblGrid>
      <w:tr w:rsidR="009A55E7" w14:paraId="79FF6AE8" w14:textId="77777777" w:rsidTr="009A55E7">
        <w:trPr>
          <w:tblCellSpacing w:w="15" w:type="dxa"/>
        </w:trPr>
        <w:tc>
          <w:tcPr>
            <w:tcW w:w="0" w:type="auto"/>
            <w:vAlign w:val="center"/>
            <w:hideMark/>
          </w:tcPr>
          <w:p w14:paraId="3ACDEF8D" w14:textId="77777777" w:rsidR="009A55E7" w:rsidRDefault="009A55E7">
            <w:r>
              <w:rPr>
                <w:b/>
                <w:bCs/>
              </w:rPr>
              <w:t>Sigla</w:t>
            </w:r>
          </w:p>
        </w:tc>
        <w:tc>
          <w:tcPr>
            <w:tcW w:w="0" w:type="auto"/>
            <w:vAlign w:val="center"/>
            <w:hideMark/>
          </w:tcPr>
          <w:p w14:paraId="096BD3E9" w14:textId="77777777" w:rsidR="009A55E7" w:rsidRDefault="009A55E7">
            <w:r>
              <w:rPr>
                <w:b/>
                <w:bCs/>
              </w:rPr>
              <w:t>Modelo</w:t>
            </w:r>
          </w:p>
        </w:tc>
        <w:tc>
          <w:tcPr>
            <w:tcW w:w="0" w:type="auto"/>
            <w:vAlign w:val="center"/>
            <w:hideMark/>
          </w:tcPr>
          <w:p w14:paraId="08AD4367" w14:textId="77777777" w:rsidR="009A55E7" w:rsidRDefault="009A55E7">
            <w:proofErr w:type="spellStart"/>
            <w:r>
              <w:rPr>
                <w:b/>
                <w:bCs/>
              </w:rPr>
              <w:t>Função</w:t>
            </w:r>
            <w:proofErr w:type="spellEnd"/>
            <w:r>
              <w:rPr>
                <w:b/>
                <w:bCs/>
              </w:rPr>
              <w:t xml:space="preserve"> R</w:t>
            </w:r>
          </w:p>
        </w:tc>
      </w:tr>
      <w:tr w:rsidR="009A55E7" w14:paraId="59F687A3" w14:textId="77777777" w:rsidTr="009A55E7">
        <w:trPr>
          <w:tblCellSpacing w:w="15" w:type="dxa"/>
        </w:trPr>
        <w:tc>
          <w:tcPr>
            <w:tcW w:w="0" w:type="auto"/>
            <w:vAlign w:val="center"/>
            <w:hideMark/>
          </w:tcPr>
          <w:p w14:paraId="56B531BA" w14:textId="77777777" w:rsidR="009A55E7" w:rsidRDefault="009A55E7">
            <w:r>
              <w:t>SES</w:t>
            </w:r>
          </w:p>
        </w:tc>
        <w:tc>
          <w:tcPr>
            <w:tcW w:w="0" w:type="auto"/>
            <w:vAlign w:val="center"/>
            <w:hideMark/>
          </w:tcPr>
          <w:p w14:paraId="004198B2" w14:textId="77777777" w:rsidR="009A55E7" w:rsidRDefault="009A55E7">
            <w:proofErr w:type="spellStart"/>
            <w:r>
              <w:t>Suavização</w:t>
            </w:r>
            <w:proofErr w:type="spellEnd"/>
            <w:r>
              <w:t xml:space="preserve"> </w:t>
            </w:r>
            <w:proofErr w:type="spellStart"/>
            <w:r>
              <w:t>Exponencial</w:t>
            </w:r>
            <w:proofErr w:type="spellEnd"/>
            <w:r>
              <w:t xml:space="preserve"> Simples</w:t>
            </w:r>
          </w:p>
        </w:tc>
        <w:tc>
          <w:tcPr>
            <w:tcW w:w="0" w:type="auto"/>
            <w:vAlign w:val="center"/>
            <w:hideMark/>
          </w:tcPr>
          <w:p w14:paraId="6F8B9C42" w14:textId="77777777" w:rsidR="009A55E7" w:rsidRDefault="009A55E7">
            <w:proofErr w:type="spellStart"/>
            <w:r>
              <w:t>ses</w:t>
            </w:r>
            <w:proofErr w:type="spellEnd"/>
            <w:r>
              <w:t>()</w:t>
            </w:r>
          </w:p>
        </w:tc>
      </w:tr>
      <w:tr w:rsidR="009A55E7" w14:paraId="3C4B1552" w14:textId="77777777" w:rsidTr="009A55E7">
        <w:trPr>
          <w:tblCellSpacing w:w="15" w:type="dxa"/>
        </w:trPr>
        <w:tc>
          <w:tcPr>
            <w:tcW w:w="0" w:type="auto"/>
            <w:vAlign w:val="center"/>
            <w:hideMark/>
          </w:tcPr>
          <w:p w14:paraId="61BE6396" w14:textId="77777777" w:rsidR="009A55E7" w:rsidRDefault="009A55E7">
            <w:r>
              <w:t>Holt</w:t>
            </w:r>
          </w:p>
        </w:tc>
        <w:tc>
          <w:tcPr>
            <w:tcW w:w="0" w:type="auto"/>
            <w:vAlign w:val="center"/>
            <w:hideMark/>
          </w:tcPr>
          <w:p w14:paraId="5FFF567E" w14:textId="77777777" w:rsidR="009A55E7" w:rsidRDefault="009A55E7">
            <w:proofErr w:type="spellStart"/>
            <w:r>
              <w:t>Suavização</w:t>
            </w:r>
            <w:proofErr w:type="spellEnd"/>
            <w:r>
              <w:t xml:space="preserve"> com </w:t>
            </w:r>
            <w:proofErr w:type="spellStart"/>
            <w:r>
              <w:t>Tendência</w:t>
            </w:r>
            <w:proofErr w:type="spellEnd"/>
            <w:r>
              <w:t xml:space="preserve"> (Holt)</w:t>
            </w:r>
          </w:p>
        </w:tc>
        <w:tc>
          <w:tcPr>
            <w:tcW w:w="0" w:type="auto"/>
            <w:vAlign w:val="center"/>
            <w:hideMark/>
          </w:tcPr>
          <w:p w14:paraId="61A61A48" w14:textId="77777777" w:rsidR="009A55E7" w:rsidRDefault="009A55E7">
            <w:r>
              <w:t>holt()</w:t>
            </w:r>
          </w:p>
        </w:tc>
      </w:tr>
      <w:tr w:rsidR="009A55E7" w14:paraId="7B334A8F" w14:textId="77777777" w:rsidTr="009A55E7">
        <w:trPr>
          <w:tblCellSpacing w:w="15" w:type="dxa"/>
        </w:trPr>
        <w:tc>
          <w:tcPr>
            <w:tcW w:w="0" w:type="auto"/>
            <w:vAlign w:val="center"/>
            <w:hideMark/>
          </w:tcPr>
          <w:p w14:paraId="277DCA79" w14:textId="77777777" w:rsidR="009A55E7" w:rsidRDefault="009A55E7">
            <w:r>
              <w:t>HW</w:t>
            </w:r>
          </w:p>
        </w:tc>
        <w:tc>
          <w:tcPr>
            <w:tcW w:w="0" w:type="auto"/>
            <w:vAlign w:val="center"/>
            <w:hideMark/>
          </w:tcPr>
          <w:p w14:paraId="1FCD5C13" w14:textId="77777777" w:rsidR="009A55E7" w:rsidRPr="009A55E7" w:rsidRDefault="009A55E7">
            <w:pPr>
              <w:rPr>
                <w:lang w:val="pt-BR"/>
              </w:rPr>
            </w:pPr>
            <w:r w:rsidRPr="009A55E7">
              <w:rPr>
                <w:lang w:val="pt-BR"/>
              </w:rPr>
              <w:t>Holt-Winters (Tendência + Sazonalidade Aditiva)</w:t>
            </w:r>
          </w:p>
        </w:tc>
        <w:tc>
          <w:tcPr>
            <w:tcW w:w="0" w:type="auto"/>
            <w:vAlign w:val="center"/>
            <w:hideMark/>
          </w:tcPr>
          <w:p w14:paraId="24520FC2" w14:textId="77777777" w:rsidR="009A55E7" w:rsidRDefault="009A55E7">
            <w:proofErr w:type="spellStart"/>
            <w:r>
              <w:t>hw</w:t>
            </w:r>
            <w:proofErr w:type="spellEnd"/>
            <w:r>
              <w:t>()</w:t>
            </w:r>
          </w:p>
        </w:tc>
      </w:tr>
      <w:tr w:rsidR="009A55E7" w14:paraId="4D7EF760" w14:textId="77777777" w:rsidTr="009A55E7">
        <w:trPr>
          <w:tblCellSpacing w:w="15" w:type="dxa"/>
        </w:trPr>
        <w:tc>
          <w:tcPr>
            <w:tcW w:w="0" w:type="auto"/>
            <w:vAlign w:val="center"/>
            <w:hideMark/>
          </w:tcPr>
          <w:p w14:paraId="79C03BEB" w14:textId="77777777" w:rsidR="009A55E7" w:rsidRDefault="009A55E7">
            <w:r>
              <w:t>ARIMA</w:t>
            </w:r>
          </w:p>
        </w:tc>
        <w:tc>
          <w:tcPr>
            <w:tcW w:w="0" w:type="auto"/>
            <w:vAlign w:val="center"/>
            <w:hideMark/>
          </w:tcPr>
          <w:p w14:paraId="5EC79CD5" w14:textId="77777777" w:rsidR="009A55E7" w:rsidRPr="009A55E7" w:rsidRDefault="009A55E7">
            <w:pPr>
              <w:rPr>
                <w:lang w:val="pt-BR"/>
              </w:rPr>
            </w:pPr>
            <w:r w:rsidRPr="009A55E7">
              <w:rPr>
                <w:lang w:val="pt-BR"/>
              </w:rPr>
              <w:t>Box-Jenkins com seleção automática</w:t>
            </w:r>
          </w:p>
        </w:tc>
        <w:tc>
          <w:tcPr>
            <w:tcW w:w="0" w:type="auto"/>
            <w:vAlign w:val="center"/>
            <w:hideMark/>
          </w:tcPr>
          <w:p w14:paraId="2AD877F7" w14:textId="77777777" w:rsidR="009A55E7" w:rsidRDefault="009A55E7">
            <w:proofErr w:type="spellStart"/>
            <w:r>
              <w:t>auto.arima</w:t>
            </w:r>
            <w:proofErr w:type="spellEnd"/>
            <w:r>
              <w:t>()</w:t>
            </w:r>
          </w:p>
        </w:tc>
      </w:tr>
      <w:tr w:rsidR="009A55E7" w14:paraId="1AE56B6E" w14:textId="77777777" w:rsidTr="009A55E7">
        <w:trPr>
          <w:tblCellSpacing w:w="15" w:type="dxa"/>
        </w:trPr>
        <w:tc>
          <w:tcPr>
            <w:tcW w:w="0" w:type="auto"/>
            <w:vAlign w:val="center"/>
            <w:hideMark/>
          </w:tcPr>
          <w:p w14:paraId="1AE50401" w14:textId="77777777" w:rsidR="009A55E7" w:rsidRDefault="009A55E7">
            <w:r>
              <w:t>ETS</w:t>
            </w:r>
          </w:p>
        </w:tc>
        <w:tc>
          <w:tcPr>
            <w:tcW w:w="0" w:type="auto"/>
            <w:vAlign w:val="center"/>
            <w:hideMark/>
          </w:tcPr>
          <w:p w14:paraId="5ED763F1" w14:textId="77777777" w:rsidR="009A55E7" w:rsidRDefault="009A55E7">
            <w:proofErr w:type="spellStart"/>
            <w:r>
              <w:t>Espaço</w:t>
            </w:r>
            <w:proofErr w:type="spellEnd"/>
            <w:r>
              <w:t xml:space="preserve"> de </w:t>
            </w:r>
            <w:proofErr w:type="spellStart"/>
            <w:r>
              <w:t>Estados</w:t>
            </w:r>
            <w:proofErr w:type="spellEnd"/>
          </w:p>
        </w:tc>
        <w:tc>
          <w:tcPr>
            <w:tcW w:w="0" w:type="auto"/>
            <w:vAlign w:val="center"/>
            <w:hideMark/>
          </w:tcPr>
          <w:p w14:paraId="0821FCA1" w14:textId="77777777" w:rsidR="009A55E7" w:rsidRDefault="009A55E7">
            <w:proofErr w:type="spellStart"/>
            <w:r>
              <w:t>ets</w:t>
            </w:r>
            <w:proofErr w:type="spellEnd"/>
            <w:r>
              <w:t>()</w:t>
            </w:r>
          </w:p>
        </w:tc>
      </w:tr>
    </w:tbl>
    <w:p w14:paraId="7DA0337B" w14:textId="77777777" w:rsidR="008544C0" w:rsidRDefault="008544C0" w:rsidP="008544C0">
      <w:pPr>
        <w:spacing w:after="0" w:line="360" w:lineRule="auto"/>
        <w:jc w:val="center"/>
        <w:rPr>
          <w:rFonts w:ascii="Times New Roman" w:hAnsi="Times New Roman"/>
          <w:i/>
          <w:iCs/>
          <w:sz w:val="20"/>
          <w:szCs w:val="20"/>
          <w:lang w:val="pt-BR"/>
        </w:rPr>
      </w:pPr>
      <w:r>
        <w:rPr>
          <w:rFonts w:ascii="Times New Roman" w:hAnsi="Times New Roman"/>
          <w:i/>
          <w:iCs/>
          <w:sz w:val="20"/>
          <w:szCs w:val="20"/>
          <w:lang w:val="pt-BR"/>
        </w:rPr>
        <w:t>Fonte: Autoria própria (2026)</w:t>
      </w:r>
    </w:p>
    <w:p w14:paraId="7711A9F6" w14:textId="77777777" w:rsidR="00AD7683" w:rsidRDefault="00AD7683">
      <w:pPr>
        <w:spacing w:after="0" w:line="360" w:lineRule="auto"/>
        <w:rPr>
          <w:rFonts w:ascii="Times New Roman" w:hAnsi="Times New Roman"/>
          <w:lang w:val="pt-BR"/>
        </w:rPr>
      </w:pPr>
    </w:p>
    <w:p w14:paraId="0C934434" w14:textId="737F55F6" w:rsidR="009A55E7" w:rsidRPr="009A55E7" w:rsidRDefault="009A55E7" w:rsidP="00A57478">
      <w:pPr>
        <w:spacing w:after="0" w:line="360" w:lineRule="auto"/>
        <w:jc w:val="both"/>
        <w:rPr>
          <w:rFonts w:ascii="Times New Roman" w:hAnsi="Times New Roman"/>
          <w:lang w:val="pt-BR"/>
        </w:rPr>
      </w:pPr>
      <w:r w:rsidRPr="009A55E7">
        <w:rPr>
          <w:rFonts w:ascii="Times New Roman" w:hAnsi="Times New Roman"/>
          <w:lang w:val="pt-BR"/>
        </w:rPr>
        <w:t xml:space="preserve">O modelo SES modela apenas o nível da série com parâmetro de suavização </w:t>
      </w:r>
      <w:r>
        <w:rPr>
          <w:rFonts w:ascii="Times New Roman" w:hAnsi="Times New Roman"/>
        </w:rPr>
        <w:t>α</w:t>
      </w:r>
      <w:r w:rsidRPr="009A55E7">
        <w:rPr>
          <w:rFonts w:ascii="Times New Roman" w:hAnsi="Times New Roman"/>
          <w:lang w:val="pt-BR"/>
        </w:rPr>
        <w:t xml:space="preserve">. O modelo Holt adiciona um componente de tendência com parâmetro </w:t>
      </w:r>
      <w:r>
        <w:rPr>
          <w:rFonts w:ascii="Times New Roman" w:hAnsi="Times New Roman"/>
        </w:rPr>
        <w:t>β</w:t>
      </w:r>
      <w:r w:rsidRPr="009A55E7">
        <w:rPr>
          <w:rFonts w:ascii="Times New Roman" w:hAnsi="Times New Roman"/>
          <w:lang w:val="pt-BR"/>
        </w:rPr>
        <w:t xml:space="preserve">. O Holt-Winters aditivo incorpora ainda a sazonalidade com parâmetro </w:t>
      </w:r>
      <w:r>
        <w:rPr>
          <w:rFonts w:ascii="Times New Roman" w:hAnsi="Times New Roman"/>
        </w:rPr>
        <w:t>γ</w:t>
      </w:r>
      <w:r w:rsidRPr="009A55E7">
        <w:rPr>
          <w:rFonts w:ascii="Times New Roman" w:hAnsi="Times New Roman"/>
          <w:lang w:val="pt-BR"/>
        </w:rPr>
        <w:t>. A função auto.arima() seleciona automaticamente as ordens do modelo ARIMA que minimizam o AICc, considerando diferenciação e termos sazonais. A função ets() seleciona automaticamente combinações de componentes de erro, tendência e sazonalidade pelo AIC.</w:t>
      </w:r>
    </w:p>
    <w:p w14:paraId="470B3A43" w14:textId="77777777" w:rsidR="00AF6DBA" w:rsidRPr="00AF6DBA" w:rsidRDefault="00AF6DBA" w:rsidP="00AF6DBA">
      <w:pPr>
        <w:pStyle w:val="Ttulo2"/>
        <w:rPr>
          <w:rFonts w:ascii="Times New Roman" w:hAnsi="Times New Roman"/>
          <w:color w:val="000000"/>
          <w:sz w:val="24"/>
          <w:szCs w:val="24"/>
          <w:lang w:val="pt-BR"/>
        </w:rPr>
      </w:pPr>
      <w:r w:rsidRPr="00AF6DBA">
        <w:rPr>
          <w:rFonts w:ascii="Times New Roman" w:hAnsi="Times New Roman"/>
          <w:b/>
          <w:bCs/>
          <w:color w:val="000000"/>
          <w:sz w:val="24"/>
          <w:szCs w:val="24"/>
          <w:lang w:val="pt-BR"/>
        </w:rPr>
        <w:t>Critérios de Avaliação</w:t>
      </w:r>
    </w:p>
    <w:p w14:paraId="2A83609C" w14:textId="77777777" w:rsidR="00BC36C0" w:rsidRDefault="009A55E7" w:rsidP="00A57478">
      <w:pPr>
        <w:spacing w:after="0" w:line="360" w:lineRule="auto"/>
        <w:jc w:val="both"/>
        <w:rPr>
          <w:rFonts w:ascii="Times New Roman" w:hAnsi="Times New Roman"/>
          <w:lang w:val="pt-BR"/>
        </w:rPr>
      </w:pPr>
      <w:r w:rsidRPr="009A55E7">
        <w:rPr>
          <w:rFonts w:ascii="Times New Roman" w:hAnsi="Times New Roman"/>
          <w:b/>
          <w:bCs/>
          <w:lang w:val="pt-BR"/>
        </w:rPr>
        <w:t>Ajuste na amostra:</w:t>
      </w:r>
      <w:r w:rsidRPr="009A55E7">
        <w:rPr>
          <w:rFonts w:ascii="Times New Roman" w:hAnsi="Times New Roman"/>
          <w:lang w:val="pt-BR"/>
        </w:rPr>
        <w:t xml:space="preserve"> foi utilizado o Critério de Informação de Akaike (AIC), em que menores valores indicam melhor equilíbrio entre ajuste e parcimônia. </w:t>
      </w:r>
    </w:p>
    <w:p w14:paraId="112A5B08" w14:textId="1DA9EBA9" w:rsidR="00B53AF1" w:rsidRPr="00995359" w:rsidRDefault="00B53AF1">
      <w:pPr>
        <w:spacing w:after="0" w:line="360" w:lineRule="auto"/>
        <w:rPr>
          <w:rFonts w:ascii="Times New Roman" w:eastAsiaTheme="minorEastAsia" w:hAnsi="Times New Roman"/>
          <w:lang w:val="pt-BR"/>
        </w:rPr>
      </w:pPr>
      <m:oMathPara>
        <m:oMath>
          <m:r>
            <w:rPr>
              <w:rFonts w:ascii="Cambria Math" w:eastAsiaTheme="minorEastAsia" w:hAnsi="Cambria Math"/>
              <w:lang w:val="pt-BR"/>
            </w:rPr>
            <m:t>AIC = 2k - 2ln</m:t>
          </m:r>
          <m:acc>
            <m:accPr>
              <m:ctrlPr>
                <w:rPr>
                  <w:rFonts w:ascii="Cambria Math" w:eastAsiaTheme="minorEastAsia" w:hAnsi="Cambria Math"/>
                  <w:i/>
                  <w:lang w:val="pt-BR"/>
                </w:rPr>
              </m:ctrlPr>
            </m:accPr>
            <m:e>
              <m:r>
                <w:rPr>
                  <w:rFonts w:ascii="Cambria Math" w:eastAsiaTheme="minorEastAsia" w:hAnsi="Cambria Math"/>
                  <w:lang w:val="pt-BR"/>
                </w:rPr>
                <m:t>L</m:t>
              </m:r>
            </m:e>
          </m:acc>
        </m:oMath>
      </m:oMathPara>
    </w:p>
    <w:p w14:paraId="57EF59B1" w14:textId="77777777" w:rsidR="00995359" w:rsidRPr="00B53AF1" w:rsidRDefault="00995359">
      <w:pPr>
        <w:spacing w:after="0" w:line="360" w:lineRule="auto"/>
        <w:rPr>
          <w:rFonts w:ascii="Times New Roman" w:eastAsiaTheme="minorEastAsia" w:hAnsi="Times New Roman"/>
          <w:lang w:val="pt-BR"/>
        </w:rPr>
      </w:pPr>
    </w:p>
    <w:p w14:paraId="2DE5C7A5" w14:textId="0D1E0F6D" w:rsidR="009A55E7" w:rsidRDefault="009A55E7" w:rsidP="00A57478">
      <w:pPr>
        <w:spacing w:after="0" w:line="360" w:lineRule="auto"/>
        <w:jc w:val="both"/>
        <w:rPr>
          <w:rFonts w:ascii="Times New Roman" w:hAnsi="Times New Roman"/>
          <w:lang w:val="pt-BR"/>
        </w:rPr>
      </w:pPr>
      <w:r w:rsidRPr="009A55E7">
        <w:rPr>
          <w:rFonts w:ascii="Times New Roman" w:hAnsi="Times New Roman"/>
          <w:b/>
          <w:bCs/>
          <w:lang w:val="pt-BR"/>
        </w:rPr>
        <w:t>Acurácia preditiva:</w:t>
      </w:r>
      <w:r w:rsidRPr="009A55E7">
        <w:rPr>
          <w:rFonts w:ascii="Times New Roman" w:hAnsi="Times New Roman"/>
          <w:lang w:val="pt-BR"/>
        </w:rPr>
        <w:t xml:space="preserve"> foi utilizada a Raiz do Erro Quadrático Médio (RMSE), calculada na base de teste. Menores valores de RMSE indicam maior acurácia preditiva. O horizonte de previsão considerado foi de 60 meses.</w:t>
      </w:r>
    </w:p>
    <w:p w14:paraId="2F88A526" w14:textId="435E1967" w:rsidR="00B53AF1" w:rsidRPr="009A55E7" w:rsidRDefault="00995359">
      <w:pPr>
        <w:spacing w:after="0" w:line="360" w:lineRule="auto"/>
        <w:rPr>
          <w:rFonts w:ascii="Times New Roman" w:hAnsi="Times New Roman"/>
          <w:lang w:val="pt-BR"/>
        </w:rPr>
      </w:pPr>
      <m:oMathPara>
        <m:oMath>
          <m:r>
            <w:rPr>
              <w:rFonts w:ascii="Cambria Math" w:hAnsi="Cambria Math"/>
              <w:lang w:val="pt-BR"/>
            </w:rPr>
            <w:lastRenderedPageBreak/>
            <m:t xml:space="preserve">RMSE = </m:t>
          </m:r>
          <m:rad>
            <m:radPr>
              <m:degHide m:val="1"/>
              <m:ctrlPr>
                <w:rPr>
                  <w:rFonts w:ascii="Cambria Math" w:hAnsi="Cambria Math"/>
                  <w:i/>
                  <w:lang w:val="pt-BR"/>
                </w:rPr>
              </m:ctrlPr>
            </m:radPr>
            <m:deg/>
            <m:e>
              <m:f>
                <m:fPr>
                  <m:ctrlPr>
                    <w:rPr>
                      <w:rFonts w:ascii="Cambria Math" w:hAnsi="Cambria Math"/>
                      <w:i/>
                      <w:lang w:val="pt-BR"/>
                    </w:rPr>
                  </m:ctrlPr>
                </m:fPr>
                <m:num>
                  <m:r>
                    <w:rPr>
                      <w:rFonts w:ascii="Cambria Math" w:hAnsi="Cambria Math"/>
                      <w:lang w:val="pt-BR"/>
                    </w:rPr>
                    <m:t>1</m:t>
                  </m:r>
                </m:num>
                <m:den>
                  <m:r>
                    <w:rPr>
                      <w:rFonts w:ascii="Cambria Math" w:hAnsi="Cambria Math"/>
                      <w:lang w:val="pt-BR"/>
                    </w:rPr>
                    <m:t>h</m:t>
                  </m:r>
                </m:den>
              </m:f>
              <m:nary>
                <m:naryPr>
                  <m:chr m:val="∑"/>
                  <m:limLoc m:val="undOvr"/>
                  <m:ctrlPr>
                    <w:rPr>
                      <w:rFonts w:ascii="Cambria Math" w:hAnsi="Cambria Math"/>
                      <w:i/>
                      <w:lang w:val="pt-BR"/>
                    </w:rPr>
                  </m:ctrlPr>
                </m:naryPr>
                <m:sub>
                  <m:r>
                    <w:rPr>
                      <w:rFonts w:ascii="Cambria Math" w:hAnsi="Cambria Math"/>
                      <w:lang w:val="pt-BR"/>
                    </w:rPr>
                    <m:t>t = 1</m:t>
                  </m:r>
                </m:sub>
                <m:sup>
                  <m:r>
                    <w:rPr>
                      <w:rFonts w:ascii="Cambria Math" w:hAnsi="Cambria Math"/>
                      <w:lang w:val="pt-BR"/>
                    </w:rPr>
                    <m:t>h</m:t>
                  </m:r>
                </m:sup>
                <m:e>
                  <m:d>
                    <m:dPr>
                      <m:ctrlPr>
                        <w:rPr>
                          <w:rFonts w:ascii="Cambria Math" w:hAnsi="Cambria Math"/>
                          <w:i/>
                          <w:lang w:val="pt-BR"/>
                        </w:rPr>
                      </m:ctrlPr>
                    </m:dPr>
                    <m:e>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t</m:t>
                          </m:r>
                        </m:sub>
                      </m:sSub>
                      <m:r>
                        <w:rPr>
                          <w:rFonts w:ascii="Cambria Math" w:hAnsi="Cambria Math"/>
                          <w:lang w:val="pt-BR"/>
                        </w:rPr>
                        <m:t xml:space="preserve">- </m:t>
                      </m:r>
                      <m:acc>
                        <m:accPr>
                          <m:ctrlPr>
                            <w:rPr>
                              <w:rFonts w:ascii="Cambria Math" w:hAnsi="Cambria Math"/>
                              <w:i/>
                              <w:lang w:val="pt-BR"/>
                            </w:rPr>
                          </m:ctrlPr>
                        </m:accPr>
                        <m:e>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t</m:t>
                              </m:r>
                            </m:sub>
                          </m:sSub>
                        </m:e>
                      </m:acc>
                    </m:e>
                  </m:d>
                </m:e>
              </m:nary>
            </m:e>
          </m:rad>
          <m:r>
            <w:rPr>
              <w:rFonts w:ascii="Cambria Math" w:hAnsi="Cambria Math"/>
              <w:lang w:val="pt-BR"/>
            </w:rPr>
            <m:t>²</m:t>
          </m:r>
        </m:oMath>
      </m:oMathPara>
    </w:p>
    <w:p w14:paraId="3684C335" w14:textId="77777777" w:rsidR="00AF6DBA" w:rsidRPr="00AF6DBA" w:rsidRDefault="00AF6DBA" w:rsidP="00AF6DBA">
      <w:pPr>
        <w:pStyle w:val="Ttulo1"/>
        <w:rPr>
          <w:rFonts w:ascii="Times New Roman" w:hAnsi="Times New Roman"/>
          <w:color w:val="000000"/>
          <w:sz w:val="24"/>
          <w:szCs w:val="24"/>
          <w:lang w:val="pt-BR"/>
        </w:rPr>
      </w:pPr>
      <w:r w:rsidRPr="00AF6DBA">
        <w:rPr>
          <w:rFonts w:ascii="Times New Roman" w:hAnsi="Times New Roman"/>
          <w:b/>
          <w:bCs/>
          <w:color w:val="000000"/>
          <w:sz w:val="24"/>
          <w:szCs w:val="24"/>
          <w:lang w:val="pt-BR"/>
        </w:rPr>
        <w:t>Resultados e Discussão</w:t>
      </w:r>
    </w:p>
    <w:p w14:paraId="3114BEC7" w14:textId="77777777" w:rsidR="00AF6DBA" w:rsidRPr="00AF6DBA" w:rsidRDefault="00AF6DBA" w:rsidP="00AF6DBA">
      <w:pPr>
        <w:pStyle w:val="Ttulo2"/>
        <w:rPr>
          <w:rFonts w:ascii="Times New Roman" w:hAnsi="Times New Roman"/>
          <w:color w:val="000000"/>
          <w:sz w:val="24"/>
          <w:szCs w:val="24"/>
          <w:lang w:val="pt-BR"/>
        </w:rPr>
      </w:pPr>
      <w:r w:rsidRPr="00AF6DBA">
        <w:rPr>
          <w:rFonts w:ascii="Times New Roman" w:hAnsi="Times New Roman"/>
          <w:b/>
          <w:bCs/>
          <w:color w:val="000000"/>
          <w:sz w:val="24"/>
          <w:szCs w:val="24"/>
          <w:lang w:val="pt-BR"/>
        </w:rPr>
        <w:t>Análise Exploratória</w:t>
      </w:r>
    </w:p>
    <w:p w14:paraId="097DE5BF" w14:textId="31CE847A" w:rsidR="009A55E7" w:rsidRDefault="00995359" w:rsidP="00A57478">
      <w:pPr>
        <w:spacing w:after="0" w:line="360" w:lineRule="auto"/>
        <w:jc w:val="both"/>
        <w:rPr>
          <w:rFonts w:ascii="Times New Roman" w:hAnsi="Times New Roman"/>
          <w:lang w:val="pt-BR"/>
        </w:rPr>
      </w:pPr>
      <w:r>
        <w:rPr>
          <w:rFonts w:ascii="Times New Roman" w:hAnsi="Times New Roman"/>
          <w:lang w:val="pt-BR"/>
        </w:rPr>
        <w:t>A figura 1 apresenta a serie temporal completa e pode-se observar</w:t>
      </w:r>
      <w:r w:rsidR="009A55E7" w:rsidRPr="009A55E7">
        <w:rPr>
          <w:rFonts w:ascii="Times New Roman" w:hAnsi="Times New Roman"/>
          <w:lang w:val="pt-BR"/>
        </w:rPr>
        <w:t xml:space="preserve"> uma tendência de decrescimento suave no período de 1985 a 2019, com valores médios em torno de 230 a 250 ha e padrão sazonal regular associado às chuvas de verão. A partir de 2022, e especialmente em 2023 e 2024, a série exibe uma </w:t>
      </w:r>
      <w:r w:rsidR="009A55E7" w:rsidRPr="009A55E7">
        <w:rPr>
          <w:rFonts w:ascii="Times New Roman" w:hAnsi="Times New Roman"/>
          <w:b/>
          <w:bCs/>
          <w:lang w:val="pt-BR"/>
        </w:rPr>
        <w:t>ruptura estrutural</w:t>
      </w:r>
      <w:r w:rsidR="009A55E7" w:rsidRPr="009A55E7">
        <w:rPr>
          <w:rFonts w:ascii="Times New Roman" w:hAnsi="Times New Roman"/>
          <w:lang w:val="pt-BR"/>
        </w:rPr>
        <w:t xml:space="preserve"> marcante, com picos de até 399,18 ha, valor historicamente inédito.</w:t>
      </w:r>
    </w:p>
    <w:p w14:paraId="48F622AE" w14:textId="77777777" w:rsidR="00A57478" w:rsidRDefault="00A57478" w:rsidP="00A57478">
      <w:pPr>
        <w:spacing w:after="0" w:line="360" w:lineRule="auto"/>
        <w:jc w:val="both"/>
        <w:rPr>
          <w:rFonts w:ascii="Times New Roman" w:hAnsi="Times New Roman"/>
          <w:lang w:val="pt-BR"/>
        </w:rPr>
      </w:pPr>
    </w:p>
    <w:p w14:paraId="3BF6EE26" w14:textId="5E2A77F1" w:rsidR="00AD7683" w:rsidRPr="00320CD6" w:rsidRDefault="00AD7683" w:rsidP="00AD7683">
      <w:pPr>
        <w:pStyle w:val="Legenda"/>
        <w:keepNext/>
        <w:jc w:val="center"/>
        <w:rPr>
          <w:color w:val="auto"/>
          <w:sz w:val="20"/>
          <w:szCs w:val="20"/>
          <w:u w:val="single"/>
          <w:lang w:val="pt-BR"/>
        </w:rPr>
      </w:pPr>
      <w:r w:rsidRPr="00320CD6">
        <w:rPr>
          <w:color w:val="auto"/>
          <w:sz w:val="20"/>
          <w:szCs w:val="20"/>
          <w:lang w:val="pt-BR"/>
        </w:rPr>
        <w:t xml:space="preserve">Figura </w:t>
      </w:r>
      <w:r w:rsidRPr="00320CD6">
        <w:rPr>
          <w:color w:val="auto"/>
          <w:sz w:val="20"/>
          <w:szCs w:val="20"/>
        </w:rPr>
        <w:fldChar w:fldCharType="begin"/>
      </w:r>
      <w:r w:rsidRPr="00320CD6">
        <w:rPr>
          <w:color w:val="auto"/>
          <w:sz w:val="20"/>
          <w:szCs w:val="20"/>
          <w:lang w:val="pt-BR"/>
        </w:rPr>
        <w:instrText xml:space="preserve"> SEQ Figura \* ARABIC </w:instrText>
      </w:r>
      <w:r w:rsidRPr="00320CD6">
        <w:rPr>
          <w:color w:val="auto"/>
          <w:sz w:val="20"/>
          <w:szCs w:val="20"/>
        </w:rPr>
        <w:fldChar w:fldCharType="separate"/>
      </w:r>
      <w:r w:rsidR="001462AD" w:rsidRPr="00320CD6">
        <w:rPr>
          <w:noProof/>
          <w:color w:val="auto"/>
          <w:sz w:val="20"/>
          <w:szCs w:val="20"/>
          <w:lang w:val="pt-BR"/>
        </w:rPr>
        <w:t>1</w:t>
      </w:r>
      <w:r w:rsidRPr="00320CD6">
        <w:rPr>
          <w:color w:val="auto"/>
          <w:sz w:val="20"/>
          <w:szCs w:val="20"/>
        </w:rPr>
        <w:fldChar w:fldCharType="end"/>
      </w:r>
      <w:r w:rsidRPr="00320CD6">
        <w:rPr>
          <w:color w:val="auto"/>
          <w:sz w:val="20"/>
          <w:szCs w:val="20"/>
          <w:lang w:val="pt-BR"/>
        </w:rPr>
        <w:t xml:space="preserve">: </w:t>
      </w:r>
      <w:proofErr w:type="spellStart"/>
      <w:r w:rsidRPr="00320CD6">
        <w:rPr>
          <w:color w:val="auto"/>
          <w:sz w:val="20"/>
          <w:szCs w:val="20"/>
          <w:lang w:val="pt-BR"/>
        </w:rPr>
        <w:t>Superficies</w:t>
      </w:r>
      <w:proofErr w:type="spellEnd"/>
      <w:r w:rsidRPr="00320CD6">
        <w:rPr>
          <w:color w:val="auto"/>
          <w:sz w:val="20"/>
          <w:szCs w:val="20"/>
          <w:lang w:val="pt-BR"/>
        </w:rPr>
        <w:t xml:space="preserve"> de água mensal em Belo Horizonte</w:t>
      </w:r>
    </w:p>
    <w:p w14:paraId="7FBF37A5" w14:textId="6A2A39F0" w:rsidR="00AD7683" w:rsidRPr="009A55E7" w:rsidRDefault="00AD7683">
      <w:pPr>
        <w:spacing w:after="0" w:line="360" w:lineRule="auto"/>
        <w:rPr>
          <w:rFonts w:ascii="Times New Roman" w:hAnsi="Times New Roman"/>
          <w:lang w:val="pt-BR"/>
        </w:rPr>
      </w:pPr>
      <w:r w:rsidRPr="00AD7683">
        <w:rPr>
          <w:rFonts w:ascii="Times New Roman" w:hAnsi="Times New Roman"/>
          <w:lang w:val="pt-BR"/>
        </w:rPr>
        <w:drawing>
          <wp:inline distT="0" distB="0" distL="0" distR="0" wp14:anchorId="70FDA86A" wp14:editId="3214AF10">
            <wp:extent cx="5798820" cy="3009067"/>
            <wp:effectExtent l="0" t="0" r="0" b="127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02933" cy="3011201"/>
                    </a:xfrm>
                    <a:prstGeom prst="rect">
                      <a:avLst/>
                    </a:prstGeom>
                  </pic:spPr>
                </pic:pic>
              </a:graphicData>
            </a:graphic>
          </wp:inline>
        </w:drawing>
      </w:r>
    </w:p>
    <w:p w14:paraId="42A8BC01" w14:textId="6DB18F77" w:rsidR="00AD7683" w:rsidRDefault="00C2053B" w:rsidP="00C2053B">
      <w:pPr>
        <w:spacing w:after="0" w:line="360" w:lineRule="auto"/>
        <w:jc w:val="center"/>
        <w:rPr>
          <w:rFonts w:ascii="Times New Roman" w:hAnsi="Times New Roman"/>
          <w:i/>
          <w:iCs/>
          <w:sz w:val="20"/>
          <w:szCs w:val="20"/>
          <w:lang w:val="pt-BR"/>
        </w:rPr>
      </w:pPr>
      <w:r>
        <w:rPr>
          <w:rFonts w:ascii="Times New Roman" w:hAnsi="Times New Roman"/>
          <w:i/>
          <w:iCs/>
          <w:sz w:val="20"/>
          <w:szCs w:val="20"/>
          <w:lang w:val="pt-BR"/>
        </w:rPr>
        <w:t>Fonte: Autoria própria (2026)</w:t>
      </w:r>
    </w:p>
    <w:p w14:paraId="5FE957BA" w14:textId="64206F8C" w:rsidR="009A55E7" w:rsidRPr="009A55E7" w:rsidRDefault="009A55E7" w:rsidP="00A57478">
      <w:pPr>
        <w:spacing w:after="0" w:line="360" w:lineRule="auto"/>
        <w:jc w:val="both"/>
        <w:rPr>
          <w:rFonts w:ascii="Times New Roman" w:hAnsi="Times New Roman"/>
          <w:lang w:val="pt-BR"/>
        </w:rPr>
      </w:pPr>
      <w:r w:rsidRPr="009A55E7">
        <w:rPr>
          <w:rFonts w:ascii="Times New Roman" w:hAnsi="Times New Roman"/>
          <w:lang w:val="pt-BR"/>
        </w:rPr>
        <w:t xml:space="preserve">As estatísticas descritivas da série </w:t>
      </w:r>
      <w:r w:rsidR="001B5EA8">
        <w:rPr>
          <w:rFonts w:ascii="Times New Roman" w:hAnsi="Times New Roman"/>
          <w:lang w:val="pt-BR"/>
        </w:rPr>
        <w:t xml:space="preserve">temporal </w:t>
      </w:r>
      <w:r w:rsidRPr="009A55E7">
        <w:rPr>
          <w:rFonts w:ascii="Times New Roman" w:hAnsi="Times New Roman"/>
          <w:lang w:val="pt-BR"/>
        </w:rPr>
        <w:t>completa são: média = 276,07 ha; desvio padrão = 44,27 ha; mínimo = 213,33 ha; máximo = 399,18 ha; mediana = 258,01 ha. A diferença entre média e mediana reflete a assimetria introduzida pelos picos extremos de 2023 e 2024.</w:t>
      </w:r>
    </w:p>
    <w:p w14:paraId="6B0EC328" w14:textId="53F3DA7D" w:rsidR="009A55E7" w:rsidRPr="00A57478" w:rsidRDefault="009A55E7" w:rsidP="00A57478">
      <w:pPr>
        <w:spacing w:after="0" w:line="360" w:lineRule="auto"/>
        <w:jc w:val="both"/>
        <w:rPr>
          <w:rFonts w:ascii="Times New Roman" w:hAnsi="Times New Roman"/>
          <w:u w:val="single"/>
          <w:lang w:val="pt-BR"/>
        </w:rPr>
      </w:pPr>
      <w:r w:rsidRPr="009A55E7">
        <w:rPr>
          <w:rFonts w:ascii="Times New Roman" w:hAnsi="Times New Roman"/>
          <w:lang w:val="pt-BR"/>
        </w:rPr>
        <w:t>O periodograma integrado</w:t>
      </w:r>
      <w:r w:rsidR="00A57478">
        <w:rPr>
          <w:rFonts w:ascii="Times New Roman" w:hAnsi="Times New Roman"/>
          <w:lang w:val="pt-BR"/>
        </w:rPr>
        <w:t>, apresentado pela figura 2,</w:t>
      </w:r>
      <w:r w:rsidRPr="009A55E7">
        <w:rPr>
          <w:rFonts w:ascii="Times New Roman" w:hAnsi="Times New Roman"/>
          <w:lang w:val="pt-BR"/>
        </w:rPr>
        <w:t xml:space="preserve"> revela picos nas frequências correspondentes a ciclos anuais e semianuais, confirmando sazonalidade com período de 12 meses.</w:t>
      </w:r>
    </w:p>
    <w:p w14:paraId="65D5DA28" w14:textId="285BCC01" w:rsidR="00AD7683" w:rsidRPr="00A57478" w:rsidRDefault="00AD7683" w:rsidP="00AD7683">
      <w:pPr>
        <w:pStyle w:val="Legenda"/>
        <w:keepNext/>
        <w:jc w:val="center"/>
        <w:rPr>
          <w:color w:val="auto"/>
          <w:lang w:val="pt-BR"/>
        </w:rPr>
      </w:pPr>
      <w:r w:rsidRPr="008544C0">
        <w:rPr>
          <w:color w:val="auto"/>
          <w:sz w:val="20"/>
          <w:szCs w:val="20"/>
          <w:lang w:val="pt-BR"/>
        </w:rPr>
        <w:lastRenderedPageBreak/>
        <w:t xml:space="preserve">Figura </w:t>
      </w:r>
      <w:r w:rsidRPr="008544C0">
        <w:rPr>
          <w:color w:val="auto"/>
          <w:sz w:val="20"/>
          <w:szCs w:val="20"/>
        </w:rPr>
        <w:fldChar w:fldCharType="begin"/>
      </w:r>
      <w:r w:rsidRPr="008544C0">
        <w:rPr>
          <w:color w:val="auto"/>
          <w:sz w:val="20"/>
          <w:szCs w:val="20"/>
          <w:lang w:val="pt-BR"/>
        </w:rPr>
        <w:instrText xml:space="preserve"> SEQ Figura \* ARABIC </w:instrText>
      </w:r>
      <w:r w:rsidRPr="008544C0">
        <w:rPr>
          <w:color w:val="auto"/>
          <w:sz w:val="20"/>
          <w:szCs w:val="20"/>
        </w:rPr>
        <w:fldChar w:fldCharType="separate"/>
      </w:r>
      <w:r w:rsidR="001462AD" w:rsidRPr="008544C0">
        <w:rPr>
          <w:noProof/>
          <w:color w:val="auto"/>
          <w:sz w:val="20"/>
          <w:szCs w:val="20"/>
          <w:lang w:val="pt-BR"/>
        </w:rPr>
        <w:t>2</w:t>
      </w:r>
      <w:r w:rsidRPr="008544C0">
        <w:rPr>
          <w:color w:val="auto"/>
          <w:sz w:val="20"/>
          <w:szCs w:val="20"/>
        </w:rPr>
        <w:fldChar w:fldCharType="end"/>
      </w:r>
      <w:r w:rsidRPr="008544C0">
        <w:rPr>
          <w:color w:val="auto"/>
          <w:sz w:val="20"/>
          <w:szCs w:val="20"/>
          <w:lang w:val="pt-BR"/>
        </w:rPr>
        <w:t xml:space="preserve">: </w:t>
      </w:r>
      <w:proofErr w:type="spellStart"/>
      <w:r w:rsidRPr="008544C0">
        <w:rPr>
          <w:color w:val="auto"/>
          <w:sz w:val="20"/>
          <w:szCs w:val="20"/>
          <w:lang w:val="pt-BR"/>
        </w:rPr>
        <w:t>Periodograma</w:t>
      </w:r>
      <w:proofErr w:type="spellEnd"/>
      <w:r w:rsidRPr="008544C0">
        <w:rPr>
          <w:color w:val="auto"/>
          <w:sz w:val="20"/>
          <w:szCs w:val="20"/>
          <w:lang w:val="pt-BR"/>
        </w:rPr>
        <w:t xml:space="preserve"> integrado da série temporal</w:t>
      </w:r>
    </w:p>
    <w:p w14:paraId="1A48BD3A" w14:textId="77777777" w:rsidR="00AD7683" w:rsidRDefault="00AD7683" w:rsidP="00AD7683">
      <w:pPr>
        <w:spacing w:after="0" w:line="360" w:lineRule="auto"/>
        <w:jc w:val="center"/>
        <w:rPr>
          <w:rFonts w:ascii="Times New Roman" w:hAnsi="Times New Roman"/>
          <w:lang w:val="pt-BR"/>
        </w:rPr>
      </w:pPr>
      <w:r w:rsidRPr="00AD7683">
        <w:rPr>
          <w:rFonts w:ascii="Times New Roman" w:hAnsi="Times New Roman"/>
          <w:lang w:val="pt-BR"/>
        </w:rPr>
        <w:drawing>
          <wp:inline distT="0" distB="0" distL="0" distR="0" wp14:anchorId="07F56EBA" wp14:editId="7146709E">
            <wp:extent cx="3688080" cy="3001688"/>
            <wp:effectExtent l="0" t="0" r="7620" b="825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12285" cy="3021388"/>
                    </a:xfrm>
                    <a:prstGeom prst="rect">
                      <a:avLst/>
                    </a:prstGeom>
                  </pic:spPr>
                </pic:pic>
              </a:graphicData>
            </a:graphic>
          </wp:inline>
        </w:drawing>
      </w:r>
    </w:p>
    <w:p w14:paraId="1AB4AD14" w14:textId="77777777" w:rsidR="008544C0" w:rsidRDefault="008544C0" w:rsidP="008544C0">
      <w:pPr>
        <w:spacing w:after="0" w:line="360" w:lineRule="auto"/>
        <w:jc w:val="center"/>
        <w:rPr>
          <w:rFonts w:ascii="Times New Roman" w:hAnsi="Times New Roman"/>
          <w:i/>
          <w:iCs/>
          <w:sz w:val="20"/>
          <w:szCs w:val="20"/>
          <w:lang w:val="pt-BR"/>
        </w:rPr>
      </w:pPr>
      <w:r>
        <w:rPr>
          <w:rFonts w:ascii="Times New Roman" w:hAnsi="Times New Roman"/>
          <w:i/>
          <w:iCs/>
          <w:sz w:val="20"/>
          <w:szCs w:val="20"/>
          <w:lang w:val="pt-BR"/>
        </w:rPr>
        <w:t>Fonte: Autoria própria (2026)</w:t>
      </w:r>
    </w:p>
    <w:p w14:paraId="3BB58385" w14:textId="77777777" w:rsidR="00995359" w:rsidRDefault="00995359" w:rsidP="00AD7683">
      <w:pPr>
        <w:spacing w:after="0" w:line="360" w:lineRule="auto"/>
        <w:jc w:val="center"/>
        <w:rPr>
          <w:rFonts w:ascii="Times New Roman" w:hAnsi="Times New Roman"/>
          <w:lang w:val="pt-BR"/>
        </w:rPr>
      </w:pPr>
    </w:p>
    <w:p w14:paraId="6548FF65" w14:textId="77777777" w:rsidR="00A57478" w:rsidRDefault="009A55E7" w:rsidP="00A57478">
      <w:pPr>
        <w:spacing w:after="0" w:line="360" w:lineRule="auto"/>
        <w:jc w:val="both"/>
        <w:rPr>
          <w:rFonts w:ascii="Times New Roman" w:hAnsi="Times New Roman"/>
          <w:lang w:val="pt-BR"/>
        </w:rPr>
      </w:pPr>
      <w:r w:rsidRPr="009A55E7">
        <w:rPr>
          <w:rFonts w:ascii="Times New Roman" w:hAnsi="Times New Roman"/>
          <w:lang w:val="pt-BR"/>
        </w:rPr>
        <w:t>A decomposição clássica</w:t>
      </w:r>
      <w:r w:rsidR="00A57478">
        <w:rPr>
          <w:rFonts w:ascii="Times New Roman" w:hAnsi="Times New Roman"/>
          <w:lang w:val="pt-BR"/>
        </w:rPr>
        <w:t>, apresentado no gráfico da figura 3,</w:t>
      </w:r>
      <w:r w:rsidRPr="009A55E7">
        <w:rPr>
          <w:rFonts w:ascii="Times New Roman" w:hAnsi="Times New Roman"/>
          <w:lang w:val="pt-BR"/>
        </w:rPr>
        <w:t xml:space="preserve"> evidencia a tendência declinante de longo prazo e uma sazonalidade estável ao longo da maior parte do período. O componente residual mostra aumento de amplitude a partir de 2022. </w:t>
      </w:r>
    </w:p>
    <w:p w14:paraId="119D403E" w14:textId="290FBA3C" w:rsidR="009A55E7" w:rsidRPr="00580B64" w:rsidRDefault="009A55E7" w:rsidP="00A57478">
      <w:pPr>
        <w:spacing w:after="0" w:line="360" w:lineRule="auto"/>
        <w:jc w:val="both"/>
        <w:rPr>
          <w:rFonts w:ascii="Times New Roman" w:hAnsi="Times New Roman"/>
          <w:lang w:val="pt-BR"/>
        </w:rPr>
      </w:pPr>
      <w:r w:rsidRPr="009A55E7">
        <w:rPr>
          <w:rFonts w:ascii="Times New Roman" w:hAnsi="Times New Roman"/>
          <w:lang w:val="pt-BR"/>
        </w:rPr>
        <w:t>O Teste ADF resultou em DF = -4,07 (lag = 7; p &lt; 0,01), rejeitando a hipótese nula de raiz unitária. A série é, portanto, estacionária ao nível de 1% de significância.</w:t>
      </w:r>
      <w:r w:rsidR="00580B64">
        <w:rPr>
          <w:rFonts w:ascii="Times New Roman" w:hAnsi="Times New Roman"/>
          <w:lang w:val="pt-BR"/>
        </w:rPr>
        <w:t xml:space="preserve"> A função de </w:t>
      </w:r>
      <w:proofErr w:type="spellStart"/>
      <w:r w:rsidR="00580B64" w:rsidRPr="00580B64">
        <w:rPr>
          <w:rFonts w:ascii="Times New Roman" w:hAnsi="Times New Roman"/>
          <w:i/>
          <w:iCs/>
          <w:lang w:val="pt-BR"/>
        </w:rPr>
        <w:t>auto.arrima</w:t>
      </w:r>
      <w:proofErr w:type="spellEnd"/>
      <w:r w:rsidR="00580B64" w:rsidRPr="00580B64">
        <w:rPr>
          <w:rFonts w:ascii="Times New Roman" w:hAnsi="Times New Roman"/>
          <w:i/>
          <w:iCs/>
          <w:lang w:val="pt-BR"/>
        </w:rPr>
        <w:t>()</w:t>
      </w:r>
      <w:r w:rsidR="00580B64">
        <w:rPr>
          <w:rFonts w:ascii="Times New Roman" w:hAnsi="Times New Roman"/>
          <w:lang w:val="pt-BR"/>
        </w:rPr>
        <w:t xml:space="preserve"> aplicada captou esse resultado selecionando d = 0 para a componente não sazonal.</w:t>
      </w:r>
    </w:p>
    <w:p w14:paraId="6FC19D78" w14:textId="26BFDAD9" w:rsidR="00AD7683" w:rsidRPr="008544C0" w:rsidRDefault="00AD7683" w:rsidP="00AD7683">
      <w:pPr>
        <w:pStyle w:val="Legenda"/>
        <w:keepNext/>
        <w:jc w:val="center"/>
        <w:rPr>
          <w:color w:val="auto"/>
          <w:sz w:val="20"/>
          <w:szCs w:val="20"/>
          <w:lang w:val="pt-BR"/>
        </w:rPr>
      </w:pPr>
      <w:r w:rsidRPr="008544C0">
        <w:rPr>
          <w:color w:val="auto"/>
          <w:sz w:val="20"/>
          <w:szCs w:val="20"/>
          <w:lang w:val="pt-BR"/>
        </w:rPr>
        <w:lastRenderedPageBreak/>
        <w:t xml:space="preserve">Figura </w:t>
      </w:r>
      <w:r w:rsidRPr="008544C0">
        <w:rPr>
          <w:color w:val="auto"/>
          <w:sz w:val="20"/>
          <w:szCs w:val="20"/>
        </w:rPr>
        <w:fldChar w:fldCharType="begin"/>
      </w:r>
      <w:r w:rsidRPr="008544C0">
        <w:rPr>
          <w:color w:val="auto"/>
          <w:sz w:val="20"/>
          <w:szCs w:val="20"/>
          <w:lang w:val="pt-BR"/>
        </w:rPr>
        <w:instrText xml:space="preserve"> SEQ Figura \* ARABIC </w:instrText>
      </w:r>
      <w:r w:rsidRPr="008544C0">
        <w:rPr>
          <w:color w:val="auto"/>
          <w:sz w:val="20"/>
          <w:szCs w:val="20"/>
        </w:rPr>
        <w:fldChar w:fldCharType="separate"/>
      </w:r>
      <w:r w:rsidR="001462AD" w:rsidRPr="008544C0">
        <w:rPr>
          <w:noProof/>
          <w:color w:val="auto"/>
          <w:sz w:val="20"/>
          <w:szCs w:val="20"/>
          <w:lang w:val="pt-BR"/>
        </w:rPr>
        <w:t>3</w:t>
      </w:r>
      <w:r w:rsidRPr="008544C0">
        <w:rPr>
          <w:color w:val="auto"/>
          <w:sz w:val="20"/>
          <w:szCs w:val="20"/>
        </w:rPr>
        <w:fldChar w:fldCharType="end"/>
      </w:r>
      <w:r w:rsidRPr="008544C0">
        <w:rPr>
          <w:color w:val="auto"/>
          <w:sz w:val="20"/>
          <w:szCs w:val="20"/>
          <w:lang w:val="pt-BR"/>
        </w:rPr>
        <w:t>: Decomposição da série Temporal</w:t>
      </w:r>
    </w:p>
    <w:p w14:paraId="3C6E6F2B" w14:textId="2348A867" w:rsidR="00AD7683" w:rsidRDefault="00AD7683" w:rsidP="00FC0BB0">
      <w:pPr>
        <w:spacing w:after="0" w:line="360" w:lineRule="auto"/>
        <w:jc w:val="center"/>
        <w:rPr>
          <w:rFonts w:ascii="Times New Roman" w:hAnsi="Times New Roman"/>
          <w:lang w:val="pt-BR"/>
        </w:rPr>
      </w:pPr>
      <w:r w:rsidRPr="00AD7683">
        <w:rPr>
          <w:rFonts w:ascii="Times New Roman" w:hAnsi="Times New Roman"/>
          <w:lang w:val="pt-BR"/>
        </w:rPr>
        <w:drawing>
          <wp:inline distT="0" distB="0" distL="0" distR="0" wp14:anchorId="50F81A96" wp14:editId="61F1765B">
            <wp:extent cx="5943600" cy="388874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888740"/>
                    </a:xfrm>
                    <a:prstGeom prst="rect">
                      <a:avLst/>
                    </a:prstGeom>
                  </pic:spPr>
                </pic:pic>
              </a:graphicData>
            </a:graphic>
          </wp:inline>
        </w:drawing>
      </w:r>
    </w:p>
    <w:p w14:paraId="0C89AB01" w14:textId="77777777" w:rsidR="008544C0" w:rsidRDefault="008544C0" w:rsidP="008544C0">
      <w:pPr>
        <w:spacing w:after="0" w:line="360" w:lineRule="auto"/>
        <w:jc w:val="center"/>
        <w:rPr>
          <w:rFonts w:ascii="Times New Roman" w:hAnsi="Times New Roman"/>
          <w:i/>
          <w:iCs/>
          <w:sz w:val="20"/>
          <w:szCs w:val="20"/>
          <w:lang w:val="pt-BR"/>
        </w:rPr>
      </w:pPr>
      <w:r>
        <w:rPr>
          <w:rFonts w:ascii="Times New Roman" w:hAnsi="Times New Roman"/>
          <w:i/>
          <w:iCs/>
          <w:sz w:val="20"/>
          <w:szCs w:val="20"/>
          <w:lang w:val="pt-BR"/>
        </w:rPr>
        <w:t>Fonte: Autoria própria (2026)</w:t>
      </w:r>
    </w:p>
    <w:p w14:paraId="07FCE92A" w14:textId="77777777" w:rsidR="008544C0" w:rsidRPr="00FC0BB0" w:rsidRDefault="008544C0" w:rsidP="00FC0BB0">
      <w:pPr>
        <w:spacing w:after="0" w:line="360" w:lineRule="auto"/>
        <w:jc w:val="center"/>
        <w:rPr>
          <w:rFonts w:ascii="Times New Roman" w:hAnsi="Times New Roman"/>
          <w:lang w:val="pt-BR"/>
        </w:rPr>
      </w:pPr>
    </w:p>
    <w:p w14:paraId="24EA7F28" w14:textId="41BAF5A4" w:rsidR="00AF6DBA" w:rsidRPr="00AF6DBA" w:rsidRDefault="00AF6DBA" w:rsidP="00AF6DBA">
      <w:pPr>
        <w:pStyle w:val="Ttulo2"/>
        <w:rPr>
          <w:rFonts w:ascii="Times New Roman" w:hAnsi="Times New Roman"/>
          <w:color w:val="000000"/>
          <w:sz w:val="24"/>
          <w:szCs w:val="24"/>
          <w:lang w:val="pt-BR"/>
        </w:rPr>
      </w:pPr>
      <w:r w:rsidRPr="00AF6DBA">
        <w:rPr>
          <w:rFonts w:ascii="Times New Roman" w:hAnsi="Times New Roman"/>
          <w:b/>
          <w:bCs/>
          <w:color w:val="000000"/>
          <w:sz w:val="24"/>
          <w:szCs w:val="24"/>
          <w:lang w:val="pt-BR"/>
        </w:rPr>
        <w:t>Modelos e Parâmetros Estimados</w:t>
      </w:r>
    </w:p>
    <w:p w14:paraId="7ED12C49" w14:textId="77777777" w:rsidR="009A55E7" w:rsidRDefault="009A55E7" w:rsidP="00A94CA1">
      <w:pPr>
        <w:spacing w:after="0" w:line="360" w:lineRule="auto"/>
        <w:jc w:val="both"/>
        <w:rPr>
          <w:rFonts w:ascii="Times New Roman" w:hAnsi="Times New Roman"/>
          <w:lang w:val="pt-BR"/>
        </w:rPr>
      </w:pPr>
      <w:r w:rsidRPr="009A55E7">
        <w:rPr>
          <w:rFonts w:ascii="Times New Roman" w:hAnsi="Times New Roman"/>
          <w:lang w:val="pt-BR"/>
        </w:rPr>
        <w:t>A Tabela 2 apresenta os parâmetros estimados dos cinco modelos ajustados à base de treino.</w:t>
      </w:r>
    </w:p>
    <w:p w14:paraId="6D4363E2" w14:textId="77777777" w:rsidR="00A94CA1" w:rsidRPr="009A55E7" w:rsidRDefault="00A94CA1" w:rsidP="00A94CA1">
      <w:pPr>
        <w:spacing w:after="0" w:line="360" w:lineRule="auto"/>
        <w:jc w:val="both"/>
        <w:rPr>
          <w:rFonts w:ascii="Times New Roman" w:hAnsi="Times New Roman"/>
          <w:lang w:val="pt-BR"/>
        </w:rPr>
      </w:pPr>
    </w:p>
    <w:p w14:paraId="7FCDDC6B" w14:textId="77777777" w:rsidR="00AF6DBA" w:rsidRPr="00AF6DBA" w:rsidRDefault="00AF6DBA">
      <w:pPr>
        <w:spacing w:after="0" w:line="240" w:lineRule="auto"/>
        <w:jc w:val="center"/>
        <w:rPr>
          <w:rFonts w:ascii="Times New Roman" w:hAnsi="Times New Roman"/>
          <w:sz w:val="20"/>
          <w:szCs w:val="20"/>
          <w:lang w:val="pt-BR"/>
        </w:rPr>
      </w:pPr>
      <w:r w:rsidRPr="00AF6DBA">
        <w:rPr>
          <w:rFonts w:ascii="Times New Roman" w:hAnsi="Times New Roman"/>
          <w:i/>
          <w:iCs/>
          <w:sz w:val="20"/>
          <w:szCs w:val="20"/>
          <w:lang w:val="pt-BR"/>
        </w:rPr>
        <w:t>Tabela 2. Parâmetros estimados dos modelos (base de treino: 1985–2019)</w:t>
      </w:r>
    </w:p>
    <w:tbl>
      <w:tblPr>
        <w:tblW w:w="5000" w:type="pct"/>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214"/>
        <w:gridCol w:w="7146"/>
      </w:tblGrid>
      <w:tr w:rsidR="009A55E7" w14:paraId="3CB2E5D6" w14:textId="77777777" w:rsidTr="009A55E7">
        <w:trPr>
          <w:tblCellSpacing w:w="15" w:type="dxa"/>
        </w:trPr>
        <w:tc>
          <w:tcPr>
            <w:tcW w:w="0" w:type="auto"/>
            <w:vAlign w:val="center"/>
            <w:hideMark/>
          </w:tcPr>
          <w:p w14:paraId="716D8642" w14:textId="77777777" w:rsidR="009A55E7" w:rsidRDefault="009A55E7">
            <w:r>
              <w:rPr>
                <w:b/>
                <w:bCs/>
              </w:rPr>
              <w:t>Modelo</w:t>
            </w:r>
          </w:p>
        </w:tc>
        <w:tc>
          <w:tcPr>
            <w:tcW w:w="0" w:type="auto"/>
            <w:vAlign w:val="center"/>
            <w:hideMark/>
          </w:tcPr>
          <w:p w14:paraId="11C48F1C" w14:textId="77777777" w:rsidR="009A55E7" w:rsidRDefault="009A55E7">
            <w:proofErr w:type="spellStart"/>
            <w:r>
              <w:rPr>
                <w:b/>
                <w:bCs/>
              </w:rPr>
              <w:t>Parâmetros</w:t>
            </w:r>
            <w:proofErr w:type="spellEnd"/>
            <w:r>
              <w:rPr>
                <w:b/>
                <w:bCs/>
              </w:rPr>
              <w:t xml:space="preserve"> </w:t>
            </w:r>
            <w:proofErr w:type="spellStart"/>
            <w:r>
              <w:rPr>
                <w:b/>
                <w:bCs/>
              </w:rPr>
              <w:t>estimados</w:t>
            </w:r>
            <w:proofErr w:type="spellEnd"/>
          </w:p>
        </w:tc>
      </w:tr>
      <w:tr w:rsidR="009A55E7" w14:paraId="5C364A87" w14:textId="77777777" w:rsidTr="009A55E7">
        <w:trPr>
          <w:tblCellSpacing w:w="15" w:type="dxa"/>
        </w:trPr>
        <w:tc>
          <w:tcPr>
            <w:tcW w:w="0" w:type="auto"/>
            <w:vAlign w:val="center"/>
            <w:hideMark/>
          </w:tcPr>
          <w:p w14:paraId="36281337" w14:textId="77777777" w:rsidR="009A55E7" w:rsidRDefault="009A55E7">
            <w:r>
              <w:t>SES</w:t>
            </w:r>
          </w:p>
        </w:tc>
        <w:tc>
          <w:tcPr>
            <w:tcW w:w="0" w:type="auto"/>
            <w:vAlign w:val="center"/>
            <w:hideMark/>
          </w:tcPr>
          <w:p w14:paraId="3A7601F8" w14:textId="77777777" w:rsidR="009A55E7" w:rsidRDefault="009A55E7">
            <w:r>
              <w:t>α = 0,7385</w:t>
            </w:r>
          </w:p>
        </w:tc>
      </w:tr>
      <w:tr w:rsidR="009A55E7" w14:paraId="5DD32BA4" w14:textId="77777777" w:rsidTr="009A55E7">
        <w:trPr>
          <w:tblCellSpacing w:w="15" w:type="dxa"/>
        </w:trPr>
        <w:tc>
          <w:tcPr>
            <w:tcW w:w="0" w:type="auto"/>
            <w:vAlign w:val="center"/>
            <w:hideMark/>
          </w:tcPr>
          <w:p w14:paraId="29D6092B" w14:textId="77777777" w:rsidR="009A55E7" w:rsidRDefault="009A55E7">
            <w:r>
              <w:t>Holt</w:t>
            </w:r>
          </w:p>
        </w:tc>
        <w:tc>
          <w:tcPr>
            <w:tcW w:w="0" w:type="auto"/>
            <w:vAlign w:val="center"/>
            <w:hideMark/>
          </w:tcPr>
          <w:p w14:paraId="132A6E39" w14:textId="77777777" w:rsidR="009A55E7" w:rsidRDefault="009A55E7">
            <w:r>
              <w:t>α = 0,7287; β ≈ 0,0001</w:t>
            </w:r>
          </w:p>
        </w:tc>
      </w:tr>
      <w:tr w:rsidR="009A55E7" w14:paraId="6AD34167" w14:textId="77777777" w:rsidTr="009A55E7">
        <w:trPr>
          <w:tblCellSpacing w:w="15" w:type="dxa"/>
        </w:trPr>
        <w:tc>
          <w:tcPr>
            <w:tcW w:w="0" w:type="auto"/>
            <w:vAlign w:val="center"/>
            <w:hideMark/>
          </w:tcPr>
          <w:p w14:paraId="093E0F7E" w14:textId="77777777" w:rsidR="009A55E7" w:rsidRDefault="009A55E7">
            <w:r>
              <w:t>Holt-Winters (</w:t>
            </w:r>
            <w:proofErr w:type="spellStart"/>
            <w:r>
              <w:t>aditivo</w:t>
            </w:r>
            <w:proofErr w:type="spellEnd"/>
            <w:r>
              <w:t>)</w:t>
            </w:r>
          </w:p>
        </w:tc>
        <w:tc>
          <w:tcPr>
            <w:tcW w:w="0" w:type="auto"/>
            <w:vAlign w:val="center"/>
            <w:hideMark/>
          </w:tcPr>
          <w:p w14:paraId="2CE5113E" w14:textId="77777777" w:rsidR="009A55E7" w:rsidRDefault="009A55E7">
            <w:r>
              <w:t>α = 0,3957; β ≈ 0,0001; γ = 0,3462</w:t>
            </w:r>
          </w:p>
        </w:tc>
      </w:tr>
      <w:tr w:rsidR="009A55E7" w:rsidRPr="00AD7683" w14:paraId="31099F19" w14:textId="77777777" w:rsidTr="009A55E7">
        <w:trPr>
          <w:tblCellSpacing w:w="15" w:type="dxa"/>
        </w:trPr>
        <w:tc>
          <w:tcPr>
            <w:tcW w:w="0" w:type="auto"/>
            <w:vAlign w:val="center"/>
            <w:hideMark/>
          </w:tcPr>
          <w:p w14:paraId="4580EA01" w14:textId="77777777" w:rsidR="009A55E7" w:rsidRDefault="009A55E7">
            <w:r>
              <w:t>ARIMA</w:t>
            </w:r>
          </w:p>
        </w:tc>
        <w:tc>
          <w:tcPr>
            <w:tcW w:w="0" w:type="auto"/>
            <w:vAlign w:val="center"/>
            <w:hideMark/>
          </w:tcPr>
          <w:p w14:paraId="7D9DFD41" w14:textId="77777777" w:rsidR="009A55E7" w:rsidRPr="009A55E7" w:rsidRDefault="009A55E7">
            <w:pPr>
              <w:rPr>
                <w:lang w:val="pt-BR"/>
              </w:rPr>
            </w:pPr>
            <w:r w:rsidRPr="009A55E7">
              <w:rPr>
                <w:lang w:val="pt-BR"/>
              </w:rPr>
              <w:t xml:space="preserve">ARIMA(3,0,2)(0,1,1)[12] com constante; </w:t>
            </w:r>
            <w:r>
              <w:t>σ</w:t>
            </w:r>
            <w:r w:rsidRPr="009A55E7">
              <w:rPr>
                <w:lang w:val="pt-BR"/>
              </w:rPr>
              <w:t>² = 111,2; drift = -0,29 ha/mês</w:t>
            </w:r>
          </w:p>
        </w:tc>
      </w:tr>
      <w:tr w:rsidR="009A55E7" w14:paraId="4C3F80CC" w14:textId="77777777" w:rsidTr="009A55E7">
        <w:trPr>
          <w:tblCellSpacing w:w="15" w:type="dxa"/>
        </w:trPr>
        <w:tc>
          <w:tcPr>
            <w:tcW w:w="0" w:type="auto"/>
            <w:vAlign w:val="center"/>
            <w:hideMark/>
          </w:tcPr>
          <w:p w14:paraId="59295EEB" w14:textId="77777777" w:rsidR="009A55E7" w:rsidRDefault="009A55E7">
            <w:r>
              <w:lastRenderedPageBreak/>
              <w:t>ETS</w:t>
            </w:r>
          </w:p>
        </w:tc>
        <w:tc>
          <w:tcPr>
            <w:tcW w:w="0" w:type="auto"/>
            <w:vAlign w:val="center"/>
            <w:hideMark/>
          </w:tcPr>
          <w:p w14:paraId="232B393C" w14:textId="77777777" w:rsidR="009A55E7" w:rsidRDefault="009A55E7">
            <w:r>
              <w:t>ETS(M,N,M): α = 0,3354; γ = 0,3939; σ = 0,041</w:t>
            </w:r>
          </w:p>
        </w:tc>
      </w:tr>
    </w:tbl>
    <w:p w14:paraId="7B5E101B" w14:textId="77777777" w:rsidR="008544C0" w:rsidRDefault="008544C0" w:rsidP="008544C0">
      <w:pPr>
        <w:spacing w:after="0" w:line="360" w:lineRule="auto"/>
        <w:jc w:val="center"/>
        <w:rPr>
          <w:rFonts w:ascii="Times New Roman" w:hAnsi="Times New Roman"/>
          <w:i/>
          <w:iCs/>
          <w:sz w:val="20"/>
          <w:szCs w:val="20"/>
          <w:lang w:val="pt-BR"/>
        </w:rPr>
      </w:pPr>
      <w:r>
        <w:rPr>
          <w:rFonts w:ascii="Times New Roman" w:hAnsi="Times New Roman"/>
          <w:i/>
          <w:iCs/>
          <w:sz w:val="20"/>
          <w:szCs w:val="20"/>
          <w:lang w:val="pt-BR"/>
        </w:rPr>
        <w:t>Fonte: Autoria própria (2026)</w:t>
      </w:r>
    </w:p>
    <w:p w14:paraId="778318DF" w14:textId="77777777" w:rsidR="008544C0" w:rsidRDefault="008544C0" w:rsidP="00A94CA1">
      <w:pPr>
        <w:spacing w:after="0" w:line="360" w:lineRule="auto"/>
        <w:jc w:val="both"/>
        <w:rPr>
          <w:rFonts w:ascii="Times New Roman" w:hAnsi="Times New Roman"/>
          <w:lang w:val="pt-BR"/>
        </w:rPr>
      </w:pPr>
    </w:p>
    <w:p w14:paraId="4519D7ED" w14:textId="5592B052" w:rsidR="009A55E7" w:rsidRPr="009A55E7" w:rsidRDefault="009A55E7" w:rsidP="00A94CA1">
      <w:pPr>
        <w:spacing w:after="0" w:line="360" w:lineRule="auto"/>
        <w:jc w:val="both"/>
        <w:rPr>
          <w:rFonts w:ascii="Times New Roman" w:hAnsi="Times New Roman"/>
          <w:lang w:val="pt-BR"/>
        </w:rPr>
      </w:pPr>
      <w:r w:rsidRPr="009A55E7">
        <w:rPr>
          <w:rFonts w:ascii="Times New Roman" w:hAnsi="Times New Roman"/>
          <w:lang w:val="pt-BR"/>
        </w:rPr>
        <w:t xml:space="preserve">O valor de </w:t>
      </w:r>
      <w:r>
        <w:rPr>
          <w:rFonts w:ascii="Times New Roman" w:hAnsi="Times New Roman"/>
        </w:rPr>
        <w:t>β</w:t>
      </w:r>
      <w:r w:rsidRPr="009A55E7">
        <w:rPr>
          <w:rFonts w:ascii="Times New Roman" w:hAnsi="Times New Roman"/>
          <w:lang w:val="pt-BR"/>
        </w:rPr>
        <w:t xml:space="preserve"> praticamente nulo nos modelos </w:t>
      </w:r>
      <w:r w:rsidRPr="00FC0BB0">
        <w:rPr>
          <w:rFonts w:ascii="Times New Roman" w:hAnsi="Times New Roman"/>
          <w:lang w:val="pt-BR"/>
        </w:rPr>
        <w:t>Holt</w:t>
      </w:r>
      <w:r w:rsidRPr="009A55E7">
        <w:rPr>
          <w:rFonts w:ascii="Times New Roman" w:hAnsi="Times New Roman"/>
          <w:lang w:val="pt-BR"/>
        </w:rPr>
        <w:t xml:space="preserve"> e Holt-Winters indica que o componente de tendência tem peso muito reduzido na série de treino. O modelo ARIMA selecionado inclui diferenciação sazonal de ordem 1 e componente sazonal de médias móveis, capturando o ciclo anual. Já o modelo ETS(M,N,M) é compatível com uma estrutura sem tendência e sazonalidade multiplicativa.</w:t>
      </w:r>
    </w:p>
    <w:p w14:paraId="41F31400" w14:textId="77777777" w:rsidR="00AF6DBA" w:rsidRPr="00AF6DBA" w:rsidRDefault="00AF6DBA" w:rsidP="00AF6DBA">
      <w:pPr>
        <w:pStyle w:val="Ttulo2"/>
        <w:rPr>
          <w:rFonts w:ascii="Times New Roman" w:hAnsi="Times New Roman"/>
          <w:color w:val="000000"/>
          <w:sz w:val="24"/>
          <w:szCs w:val="24"/>
          <w:lang w:val="pt-BR"/>
        </w:rPr>
      </w:pPr>
      <w:r w:rsidRPr="00AF6DBA">
        <w:rPr>
          <w:rFonts w:ascii="Times New Roman" w:hAnsi="Times New Roman"/>
          <w:b/>
          <w:bCs/>
          <w:color w:val="000000"/>
          <w:sz w:val="24"/>
          <w:szCs w:val="24"/>
          <w:lang w:val="pt-BR"/>
        </w:rPr>
        <w:t>Comparação por AIC</w:t>
      </w:r>
    </w:p>
    <w:p w14:paraId="34EBC412" w14:textId="77777777" w:rsidR="009A55E7" w:rsidRPr="009A55E7" w:rsidRDefault="009A55E7">
      <w:pPr>
        <w:spacing w:after="0" w:line="360" w:lineRule="auto"/>
        <w:rPr>
          <w:rFonts w:ascii="Times New Roman" w:hAnsi="Times New Roman"/>
          <w:lang w:val="pt-BR"/>
        </w:rPr>
      </w:pPr>
      <w:r w:rsidRPr="009A55E7">
        <w:rPr>
          <w:rFonts w:ascii="Times New Roman" w:hAnsi="Times New Roman"/>
          <w:lang w:val="pt-BR"/>
        </w:rPr>
        <w:t>A Tabela 3 apresenta os valores de AIC obtidos, ordenados do menor para o maior.</w:t>
      </w:r>
    </w:p>
    <w:p w14:paraId="275CD687" w14:textId="77777777" w:rsidR="00AF6DBA" w:rsidRPr="00AF6DBA" w:rsidRDefault="00AF6DBA">
      <w:pPr>
        <w:spacing w:after="0" w:line="240" w:lineRule="auto"/>
        <w:jc w:val="center"/>
        <w:rPr>
          <w:rFonts w:ascii="Times New Roman" w:hAnsi="Times New Roman"/>
          <w:sz w:val="20"/>
          <w:szCs w:val="20"/>
          <w:lang w:val="pt-BR"/>
        </w:rPr>
      </w:pPr>
      <w:r w:rsidRPr="00AF6DBA">
        <w:rPr>
          <w:rFonts w:ascii="Times New Roman" w:hAnsi="Times New Roman"/>
          <w:i/>
          <w:iCs/>
          <w:sz w:val="20"/>
          <w:szCs w:val="20"/>
          <w:lang w:val="pt-BR"/>
        </w:rPr>
        <w:t>Tabela 3. Comparação dos modelos pelo AIC — base de treino (1985–2019)</w:t>
      </w:r>
    </w:p>
    <w:tbl>
      <w:tblPr>
        <w:tblW w:w="5000" w:type="pct"/>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637"/>
        <w:gridCol w:w="3953"/>
        <w:gridCol w:w="2770"/>
      </w:tblGrid>
      <w:tr w:rsidR="009A55E7" w14:paraId="15A03C7A" w14:textId="77777777" w:rsidTr="009A55E7">
        <w:trPr>
          <w:tblCellSpacing w:w="15" w:type="dxa"/>
        </w:trPr>
        <w:tc>
          <w:tcPr>
            <w:tcW w:w="0" w:type="auto"/>
            <w:vAlign w:val="center"/>
            <w:hideMark/>
          </w:tcPr>
          <w:p w14:paraId="2306A515" w14:textId="77777777" w:rsidR="009A55E7" w:rsidRDefault="009A55E7">
            <w:proofErr w:type="spellStart"/>
            <w:r>
              <w:rPr>
                <w:b/>
                <w:bCs/>
              </w:rPr>
              <w:t>Posição</w:t>
            </w:r>
            <w:proofErr w:type="spellEnd"/>
          </w:p>
        </w:tc>
        <w:tc>
          <w:tcPr>
            <w:tcW w:w="0" w:type="auto"/>
            <w:vAlign w:val="center"/>
            <w:hideMark/>
          </w:tcPr>
          <w:p w14:paraId="50F7DAF6" w14:textId="77777777" w:rsidR="009A55E7" w:rsidRDefault="009A55E7">
            <w:r>
              <w:rPr>
                <w:b/>
                <w:bCs/>
              </w:rPr>
              <w:t>Modelo</w:t>
            </w:r>
          </w:p>
        </w:tc>
        <w:tc>
          <w:tcPr>
            <w:tcW w:w="0" w:type="auto"/>
            <w:vAlign w:val="center"/>
            <w:hideMark/>
          </w:tcPr>
          <w:p w14:paraId="4F980262" w14:textId="77777777" w:rsidR="009A55E7" w:rsidRDefault="009A55E7">
            <w:r>
              <w:rPr>
                <w:b/>
                <w:bCs/>
              </w:rPr>
              <w:t>AIC</w:t>
            </w:r>
          </w:p>
        </w:tc>
      </w:tr>
      <w:tr w:rsidR="009A55E7" w14:paraId="197F97A3" w14:textId="77777777" w:rsidTr="009A55E7">
        <w:trPr>
          <w:tblCellSpacing w:w="15" w:type="dxa"/>
        </w:trPr>
        <w:tc>
          <w:tcPr>
            <w:tcW w:w="0" w:type="auto"/>
            <w:vAlign w:val="center"/>
            <w:hideMark/>
          </w:tcPr>
          <w:p w14:paraId="3F3CC3C0" w14:textId="77777777" w:rsidR="009A55E7" w:rsidRDefault="009A55E7">
            <w:r>
              <w:t>1º</w:t>
            </w:r>
          </w:p>
        </w:tc>
        <w:tc>
          <w:tcPr>
            <w:tcW w:w="0" w:type="auto"/>
            <w:vAlign w:val="center"/>
            <w:hideMark/>
          </w:tcPr>
          <w:p w14:paraId="192E75C4" w14:textId="77777777" w:rsidR="009A55E7" w:rsidRDefault="009A55E7">
            <w:r>
              <w:t>ARIMA</w:t>
            </w:r>
          </w:p>
        </w:tc>
        <w:tc>
          <w:tcPr>
            <w:tcW w:w="0" w:type="auto"/>
            <w:vAlign w:val="center"/>
            <w:hideMark/>
          </w:tcPr>
          <w:p w14:paraId="2668B1F4" w14:textId="77777777" w:rsidR="009A55E7" w:rsidRDefault="009A55E7">
            <w:r>
              <w:t>3.094,43</w:t>
            </w:r>
          </w:p>
        </w:tc>
      </w:tr>
      <w:tr w:rsidR="009A55E7" w14:paraId="08460B4C" w14:textId="77777777" w:rsidTr="009A55E7">
        <w:trPr>
          <w:tblCellSpacing w:w="15" w:type="dxa"/>
        </w:trPr>
        <w:tc>
          <w:tcPr>
            <w:tcW w:w="0" w:type="auto"/>
            <w:vAlign w:val="center"/>
            <w:hideMark/>
          </w:tcPr>
          <w:p w14:paraId="4EE91251" w14:textId="77777777" w:rsidR="009A55E7" w:rsidRDefault="009A55E7">
            <w:r>
              <w:t>2º</w:t>
            </w:r>
          </w:p>
        </w:tc>
        <w:tc>
          <w:tcPr>
            <w:tcW w:w="0" w:type="auto"/>
            <w:vAlign w:val="center"/>
            <w:hideMark/>
          </w:tcPr>
          <w:p w14:paraId="5E709FEA" w14:textId="77777777" w:rsidR="009A55E7" w:rsidRDefault="009A55E7">
            <w:r>
              <w:t>ETS</w:t>
            </w:r>
          </w:p>
        </w:tc>
        <w:tc>
          <w:tcPr>
            <w:tcW w:w="0" w:type="auto"/>
            <w:vAlign w:val="center"/>
            <w:hideMark/>
          </w:tcPr>
          <w:p w14:paraId="21B3C2D4" w14:textId="77777777" w:rsidR="009A55E7" w:rsidRDefault="009A55E7">
            <w:r>
              <w:t>4.583,30</w:t>
            </w:r>
          </w:p>
        </w:tc>
      </w:tr>
      <w:tr w:rsidR="009A55E7" w14:paraId="76B687B4" w14:textId="77777777" w:rsidTr="009A55E7">
        <w:trPr>
          <w:tblCellSpacing w:w="15" w:type="dxa"/>
        </w:trPr>
        <w:tc>
          <w:tcPr>
            <w:tcW w:w="0" w:type="auto"/>
            <w:vAlign w:val="center"/>
            <w:hideMark/>
          </w:tcPr>
          <w:p w14:paraId="022C12A4" w14:textId="77777777" w:rsidR="009A55E7" w:rsidRDefault="009A55E7">
            <w:r>
              <w:t>3º</w:t>
            </w:r>
          </w:p>
        </w:tc>
        <w:tc>
          <w:tcPr>
            <w:tcW w:w="0" w:type="auto"/>
            <w:vAlign w:val="center"/>
            <w:hideMark/>
          </w:tcPr>
          <w:p w14:paraId="6FD3E19C" w14:textId="77777777" w:rsidR="009A55E7" w:rsidRDefault="009A55E7">
            <w:r>
              <w:t>Holt-Winters</w:t>
            </w:r>
          </w:p>
        </w:tc>
        <w:tc>
          <w:tcPr>
            <w:tcW w:w="0" w:type="auto"/>
            <w:vAlign w:val="center"/>
            <w:hideMark/>
          </w:tcPr>
          <w:p w14:paraId="2E831B2E" w14:textId="77777777" w:rsidR="009A55E7" w:rsidRDefault="009A55E7">
            <w:r>
              <w:t>4.681,66</w:t>
            </w:r>
          </w:p>
        </w:tc>
      </w:tr>
      <w:tr w:rsidR="009A55E7" w14:paraId="296FFB08" w14:textId="77777777" w:rsidTr="009A55E7">
        <w:trPr>
          <w:tblCellSpacing w:w="15" w:type="dxa"/>
        </w:trPr>
        <w:tc>
          <w:tcPr>
            <w:tcW w:w="0" w:type="auto"/>
            <w:vAlign w:val="center"/>
            <w:hideMark/>
          </w:tcPr>
          <w:p w14:paraId="5380F5FB" w14:textId="77777777" w:rsidR="009A55E7" w:rsidRDefault="009A55E7">
            <w:r>
              <w:t>4º</w:t>
            </w:r>
          </w:p>
        </w:tc>
        <w:tc>
          <w:tcPr>
            <w:tcW w:w="0" w:type="auto"/>
            <w:vAlign w:val="center"/>
            <w:hideMark/>
          </w:tcPr>
          <w:p w14:paraId="1569861D" w14:textId="77777777" w:rsidR="009A55E7" w:rsidRDefault="009A55E7">
            <w:r>
              <w:t>SES</w:t>
            </w:r>
          </w:p>
        </w:tc>
        <w:tc>
          <w:tcPr>
            <w:tcW w:w="0" w:type="auto"/>
            <w:vAlign w:val="center"/>
            <w:hideMark/>
          </w:tcPr>
          <w:p w14:paraId="0C4AB78B" w14:textId="77777777" w:rsidR="009A55E7" w:rsidRDefault="009A55E7">
            <w:r>
              <w:t>4.831,17</w:t>
            </w:r>
          </w:p>
        </w:tc>
      </w:tr>
      <w:tr w:rsidR="009A55E7" w14:paraId="7AFFBE04" w14:textId="77777777" w:rsidTr="009A55E7">
        <w:trPr>
          <w:tblCellSpacing w:w="15" w:type="dxa"/>
        </w:trPr>
        <w:tc>
          <w:tcPr>
            <w:tcW w:w="0" w:type="auto"/>
            <w:vAlign w:val="center"/>
            <w:hideMark/>
          </w:tcPr>
          <w:p w14:paraId="47FE29D6" w14:textId="77777777" w:rsidR="009A55E7" w:rsidRDefault="009A55E7">
            <w:r>
              <w:t>5º</w:t>
            </w:r>
          </w:p>
        </w:tc>
        <w:tc>
          <w:tcPr>
            <w:tcW w:w="0" w:type="auto"/>
            <w:vAlign w:val="center"/>
            <w:hideMark/>
          </w:tcPr>
          <w:p w14:paraId="7C97DEF7" w14:textId="77777777" w:rsidR="009A55E7" w:rsidRDefault="009A55E7">
            <w:r>
              <w:t>Holt</w:t>
            </w:r>
          </w:p>
        </w:tc>
        <w:tc>
          <w:tcPr>
            <w:tcW w:w="0" w:type="auto"/>
            <w:vAlign w:val="center"/>
            <w:hideMark/>
          </w:tcPr>
          <w:p w14:paraId="69519CF8" w14:textId="77777777" w:rsidR="009A55E7" w:rsidRDefault="009A55E7">
            <w:r>
              <w:t>4.836,41</w:t>
            </w:r>
          </w:p>
        </w:tc>
      </w:tr>
    </w:tbl>
    <w:p w14:paraId="4D0E5EAD" w14:textId="77777777" w:rsidR="008544C0" w:rsidRDefault="008544C0" w:rsidP="008544C0">
      <w:pPr>
        <w:spacing w:after="0" w:line="360" w:lineRule="auto"/>
        <w:jc w:val="center"/>
        <w:rPr>
          <w:rFonts w:ascii="Times New Roman" w:hAnsi="Times New Roman"/>
          <w:i/>
          <w:iCs/>
          <w:sz w:val="20"/>
          <w:szCs w:val="20"/>
          <w:lang w:val="pt-BR"/>
        </w:rPr>
      </w:pPr>
      <w:r>
        <w:rPr>
          <w:rFonts w:ascii="Times New Roman" w:hAnsi="Times New Roman"/>
          <w:i/>
          <w:iCs/>
          <w:sz w:val="20"/>
          <w:szCs w:val="20"/>
          <w:lang w:val="pt-BR"/>
        </w:rPr>
        <w:t>Fonte: Autoria própria (2026)</w:t>
      </w:r>
    </w:p>
    <w:p w14:paraId="7B94A5F5" w14:textId="77777777" w:rsidR="00995359" w:rsidRDefault="00995359">
      <w:pPr>
        <w:spacing w:after="0" w:line="360" w:lineRule="auto"/>
        <w:rPr>
          <w:rFonts w:ascii="Times New Roman" w:hAnsi="Times New Roman"/>
          <w:lang w:val="pt-BR"/>
        </w:rPr>
      </w:pPr>
    </w:p>
    <w:p w14:paraId="7BD75DD3" w14:textId="667CAEDD" w:rsidR="009A55E7" w:rsidRPr="00587DA3" w:rsidRDefault="009A55E7" w:rsidP="00587DA3">
      <w:pPr>
        <w:spacing w:after="0" w:line="360" w:lineRule="auto"/>
        <w:rPr>
          <w:rFonts w:ascii="Times New Roman" w:hAnsi="Times New Roman"/>
          <w:lang w:val="pt-BR"/>
        </w:rPr>
      </w:pPr>
      <w:r w:rsidRPr="009A55E7">
        <w:rPr>
          <w:rFonts w:ascii="Times New Roman" w:hAnsi="Times New Roman"/>
          <w:lang w:val="pt-BR"/>
        </w:rPr>
        <w:t>O modelo ARIMA apresentou AIC</w:t>
      </w:r>
      <w:r w:rsidR="00A62346">
        <w:rPr>
          <w:rFonts w:ascii="Times New Roman" w:hAnsi="Times New Roman"/>
          <w:lang w:val="pt-BR"/>
        </w:rPr>
        <w:t xml:space="preserve"> de 3094,43 que é</w:t>
      </w:r>
      <w:r w:rsidRPr="009A55E7">
        <w:rPr>
          <w:rFonts w:ascii="Times New Roman" w:hAnsi="Times New Roman"/>
          <w:lang w:val="pt-BR"/>
        </w:rPr>
        <w:t xml:space="preserve"> consideravelmente menor que os demais, indicando melhor ajuste na base de treino. Dentro da família dos modelos de suavização, o ETS superou o Holt-Winters aditivo em termos de ajuste.</w:t>
      </w:r>
      <w:r w:rsidR="00587DA3">
        <w:rPr>
          <w:rFonts w:ascii="Times New Roman" w:hAnsi="Times New Roman"/>
          <w:lang w:val="pt-BR"/>
        </w:rPr>
        <w:t xml:space="preserve"> Segundo </w:t>
      </w:r>
      <w:r w:rsidR="00587DA3">
        <w:rPr>
          <w:rFonts w:ascii="Times New Roman" w:hAnsi="Times New Roman"/>
          <w:lang w:val="pt-BR"/>
        </w:rPr>
        <w:t>(HYNDMAN; KHANDAKAR, 2008)</w:t>
      </w:r>
      <w:r w:rsidR="00587DA3">
        <w:rPr>
          <w:rFonts w:ascii="Times New Roman" w:hAnsi="Times New Roman"/>
          <w:lang w:val="pt-BR"/>
        </w:rPr>
        <w:t>, é importante</w:t>
      </w:r>
      <w:r w:rsidR="00587DA3" w:rsidRPr="00587DA3">
        <w:rPr>
          <w:rFonts w:ascii="Times New Roman" w:hAnsi="Times New Roman"/>
          <w:lang w:val="pt-BR"/>
        </w:rPr>
        <w:t xml:space="preserve"> ressalvar que comparações de AIC entre ARIMA e ETS devem ser</w:t>
      </w:r>
      <w:r w:rsidR="00587DA3">
        <w:rPr>
          <w:rFonts w:ascii="Times New Roman" w:hAnsi="Times New Roman"/>
          <w:lang w:val="pt-BR"/>
        </w:rPr>
        <w:t xml:space="preserve"> </w:t>
      </w:r>
      <w:r w:rsidR="00587DA3" w:rsidRPr="00587DA3">
        <w:rPr>
          <w:rFonts w:ascii="Times New Roman" w:hAnsi="Times New Roman"/>
          <w:lang w:val="pt-BR"/>
        </w:rPr>
        <w:t>interpretadas com cautela</w:t>
      </w:r>
      <w:r w:rsidR="00587DA3">
        <w:rPr>
          <w:rFonts w:ascii="Times New Roman" w:hAnsi="Times New Roman"/>
          <w:lang w:val="pt-BR"/>
        </w:rPr>
        <w:t xml:space="preserve"> pois</w:t>
      </w:r>
      <w:r w:rsidR="00587DA3" w:rsidRPr="00587DA3">
        <w:rPr>
          <w:rFonts w:ascii="Times New Roman" w:hAnsi="Times New Roman"/>
          <w:lang w:val="pt-BR"/>
        </w:rPr>
        <w:t xml:space="preserve"> modelos com erros multiplicativos operam em escalas distintas da</w:t>
      </w:r>
      <w:r w:rsidR="00587DA3">
        <w:rPr>
          <w:rFonts w:ascii="Times New Roman" w:hAnsi="Times New Roman"/>
          <w:lang w:val="pt-BR"/>
        </w:rPr>
        <w:t xml:space="preserve"> </w:t>
      </w:r>
      <w:r w:rsidR="00587DA3" w:rsidRPr="00587DA3">
        <w:rPr>
          <w:rFonts w:ascii="Times New Roman" w:hAnsi="Times New Roman"/>
          <w:lang w:val="pt-BR"/>
        </w:rPr>
        <w:t>log-verossimilhança, podendo tornar a comparação absoluta questionável</w:t>
      </w:r>
      <w:r w:rsidR="00587DA3">
        <w:rPr>
          <w:rFonts w:ascii="Times New Roman" w:hAnsi="Times New Roman"/>
          <w:lang w:val="pt-BR"/>
        </w:rPr>
        <w:t>.</w:t>
      </w:r>
    </w:p>
    <w:p w14:paraId="1EE4E3CB" w14:textId="77777777" w:rsidR="00AF6DBA" w:rsidRPr="00587DA3" w:rsidRDefault="00AF6DBA" w:rsidP="001B4C0D">
      <w:pPr>
        <w:pStyle w:val="Ttulo2"/>
        <w:jc w:val="both"/>
        <w:rPr>
          <w:rFonts w:ascii="Times New Roman" w:hAnsi="Times New Roman"/>
          <w:color w:val="000000"/>
          <w:sz w:val="24"/>
          <w:szCs w:val="24"/>
          <w:lang w:val="pt-BR"/>
        </w:rPr>
      </w:pPr>
      <w:r w:rsidRPr="00AF6DBA">
        <w:rPr>
          <w:rFonts w:ascii="Times New Roman" w:hAnsi="Times New Roman"/>
          <w:b/>
          <w:bCs/>
          <w:color w:val="000000"/>
          <w:sz w:val="24"/>
          <w:szCs w:val="24"/>
          <w:lang w:val="pt-BR"/>
        </w:rPr>
        <w:t>Comparação por RMSE na Base de Teste</w:t>
      </w:r>
    </w:p>
    <w:p w14:paraId="6AADE6A6" w14:textId="77777777" w:rsidR="009A55E7" w:rsidRPr="009A55E7" w:rsidRDefault="009A55E7" w:rsidP="001B4C0D">
      <w:pPr>
        <w:spacing w:after="0" w:line="360" w:lineRule="auto"/>
        <w:jc w:val="both"/>
        <w:rPr>
          <w:rFonts w:ascii="Times New Roman" w:hAnsi="Times New Roman"/>
          <w:lang w:val="pt-BR"/>
        </w:rPr>
      </w:pPr>
      <w:r w:rsidRPr="009A55E7">
        <w:rPr>
          <w:rFonts w:ascii="Times New Roman" w:hAnsi="Times New Roman"/>
          <w:lang w:val="pt-BR"/>
        </w:rPr>
        <w:t>A Tabela 4 apresenta o RMSE de previsão calculado na base de teste, correspondente ao período de janeiro de 2020 a dezembro de 2024.</w:t>
      </w:r>
    </w:p>
    <w:p w14:paraId="37E972F0" w14:textId="77777777" w:rsidR="00AF6DBA" w:rsidRPr="00AF6DBA" w:rsidRDefault="00AF6DBA">
      <w:pPr>
        <w:spacing w:after="0" w:line="240" w:lineRule="auto"/>
        <w:jc w:val="center"/>
        <w:rPr>
          <w:rFonts w:ascii="Times New Roman" w:hAnsi="Times New Roman"/>
          <w:sz w:val="20"/>
          <w:szCs w:val="20"/>
          <w:lang w:val="pt-BR"/>
        </w:rPr>
      </w:pPr>
      <w:r w:rsidRPr="00AF6DBA">
        <w:rPr>
          <w:rFonts w:ascii="Times New Roman" w:hAnsi="Times New Roman"/>
          <w:i/>
          <w:iCs/>
          <w:sz w:val="20"/>
          <w:szCs w:val="20"/>
          <w:lang w:val="pt-BR"/>
        </w:rPr>
        <w:lastRenderedPageBreak/>
        <w:t>Tabela 4. Comparação dos modelos pelo RMSE — base de teste (2020–2024)</w:t>
      </w:r>
    </w:p>
    <w:tbl>
      <w:tblPr>
        <w:tblW w:w="5000" w:type="pct"/>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493"/>
        <w:gridCol w:w="3738"/>
        <w:gridCol w:w="3129"/>
      </w:tblGrid>
      <w:tr w:rsidR="009A55E7" w14:paraId="2316C894" w14:textId="77777777" w:rsidTr="009A55E7">
        <w:trPr>
          <w:tblCellSpacing w:w="15" w:type="dxa"/>
        </w:trPr>
        <w:tc>
          <w:tcPr>
            <w:tcW w:w="0" w:type="auto"/>
            <w:vAlign w:val="center"/>
            <w:hideMark/>
          </w:tcPr>
          <w:p w14:paraId="7FCCFE21" w14:textId="77777777" w:rsidR="009A55E7" w:rsidRDefault="009A55E7">
            <w:proofErr w:type="spellStart"/>
            <w:r>
              <w:rPr>
                <w:b/>
                <w:bCs/>
              </w:rPr>
              <w:t>Posição</w:t>
            </w:r>
            <w:proofErr w:type="spellEnd"/>
          </w:p>
        </w:tc>
        <w:tc>
          <w:tcPr>
            <w:tcW w:w="0" w:type="auto"/>
            <w:vAlign w:val="center"/>
            <w:hideMark/>
          </w:tcPr>
          <w:p w14:paraId="763E3ABC" w14:textId="77777777" w:rsidR="009A55E7" w:rsidRDefault="009A55E7">
            <w:r>
              <w:rPr>
                <w:b/>
                <w:bCs/>
              </w:rPr>
              <w:t>Modelo</w:t>
            </w:r>
          </w:p>
        </w:tc>
        <w:tc>
          <w:tcPr>
            <w:tcW w:w="0" w:type="auto"/>
            <w:vAlign w:val="center"/>
            <w:hideMark/>
          </w:tcPr>
          <w:p w14:paraId="4C603D26" w14:textId="77777777" w:rsidR="009A55E7" w:rsidRDefault="009A55E7">
            <w:r>
              <w:rPr>
                <w:b/>
                <w:bCs/>
              </w:rPr>
              <w:t>RMSE (ha)</w:t>
            </w:r>
          </w:p>
        </w:tc>
      </w:tr>
      <w:tr w:rsidR="009A55E7" w14:paraId="2ACBF48F" w14:textId="77777777" w:rsidTr="009A55E7">
        <w:trPr>
          <w:tblCellSpacing w:w="15" w:type="dxa"/>
        </w:trPr>
        <w:tc>
          <w:tcPr>
            <w:tcW w:w="0" w:type="auto"/>
            <w:vAlign w:val="center"/>
            <w:hideMark/>
          </w:tcPr>
          <w:p w14:paraId="3C198D37" w14:textId="77777777" w:rsidR="009A55E7" w:rsidRDefault="009A55E7">
            <w:r>
              <w:t>1º</w:t>
            </w:r>
          </w:p>
        </w:tc>
        <w:tc>
          <w:tcPr>
            <w:tcW w:w="0" w:type="auto"/>
            <w:vAlign w:val="center"/>
            <w:hideMark/>
          </w:tcPr>
          <w:p w14:paraId="3B4B3A57" w14:textId="77777777" w:rsidR="009A55E7" w:rsidRDefault="009A55E7">
            <w:r>
              <w:t>SES</w:t>
            </w:r>
          </w:p>
        </w:tc>
        <w:tc>
          <w:tcPr>
            <w:tcW w:w="0" w:type="auto"/>
            <w:vAlign w:val="center"/>
            <w:hideMark/>
          </w:tcPr>
          <w:p w14:paraId="500A00C2" w14:textId="77777777" w:rsidR="009A55E7" w:rsidRDefault="009A55E7">
            <w:r>
              <w:t>51,37</w:t>
            </w:r>
          </w:p>
        </w:tc>
      </w:tr>
      <w:tr w:rsidR="009A55E7" w14:paraId="40A43E4A" w14:textId="77777777" w:rsidTr="009A55E7">
        <w:trPr>
          <w:tblCellSpacing w:w="15" w:type="dxa"/>
        </w:trPr>
        <w:tc>
          <w:tcPr>
            <w:tcW w:w="0" w:type="auto"/>
            <w:vAlign w:val="center"/>
            <w:hideMark/>
          </w:tcPr>
          <w:p w14:paraId="6D71E2DF" w14:textId="77777777" w:rsidR="009A55E7" w:rsidRDefault="009A55E7">
            <w:r>
              <w:t>2º</w:t>
            </w:r>
          </w:p>
        </w:tc>
        <w:tc>
          <w:tcPr>
            <w:tcW w:w="0" w:type="auto"/>
            <w:vAlign w:val="center"/>
            <w:hideMark/>
          </w:tcPr>
          <w:p w14:paraId="45196572" w14:textId="77777777" w:rsidR="009A55E7" w:rsidRDefault="009A55E7">
            <w:r>
              <w:t>ETS</w:t>
            </w:r>
          </w:p>
        </w:tc>
        <w:tc>
          <w:tcPr>
            <w:tcW w:w="0" w:type="auto"/>
            <w:vAlign w:val="center"/>
            <w:hideMark/>
          </w:tcPr>
          <w:p w14:paraId="7A55978F" w14:textId="77777777" w:rsidR="009A55E7" w:rsidRDefault="009A55E7">
            <w:r>
              <w:t>53,28</w:t>
            </w:r>
          </w:p>
        </w:tc>
      </w:tr>
      <w:tr w:rsidR="009A55E7" w14:paraId="25C71C2F" w14:textId="77777777" w:rsidTr="009A55E7">
        <w:trPr>
          <w:tblCellSpacing w:w="15" w:type="dxa"/>
        </w:trPr>
        <w:tc>
          <w:tcPr>
            <w:tcW w:w="0" w:type="auto"/>
            <w:vAlign w:val="center"/>
            <w:hideMark/>
          </w:tcPr>
          <w:p w14:paraId="77F661BD" w14:textId="77777777" w:rsidR="009A55E7" w:rsidRDefault="009A55E7">
            <w:r>
              <w:t>3º</w:t>
            </w:r>
          </w:p>
        </w:tc>
        <w:tc>
          <w:tcPr>
            <w:tcW w:w="0" w:type="auto"/>
            <w:vAlign w:val="center"/>
            <w:hideMark/>
          </w:tcPr>
          <w:p w14:paraId="42108D17" w14:textId="77777777" w:rsidR="009A55E7" w:rsidRDefault="009A55E7">
            <w:r>
              <w:t>Holt</w:t>
            </w:r>
          </w:p>
        </w:tc>
        <w:tc>
          <w:tcPr>
            <w:tcW w:w="0" w:type="auto"/>
            <w:vAlign w:val="center"/>
            <w:hideMark/>
          </w:tcPr>
          <w:p w14:paraId="100187E5" w14:textId="77777777" w:rsidR="009A55E7" w:rsidRDefault="009A55E7">
            <w:r>
              <w:t>57,73</w:t>
            </w:r>
          </w:p>
        </w:tc>
      </w:tr>
      <w:tr w:rsidR="009A55E7" w14:paraId="34F26500" w14:textId="77777777" w:rsidTr="009A55E7">
        <w:trPr>
          <w:tblCellSpacing w:w="15" w:type="dxa"/>
        </w:trPr>
        <w:tc>
          <w:tcPr>
            <w:tcW w:w="0" w:type="auto"/>
            <w:vAlign w:val="center"/>
            <w:hideMark/>
          </w:tcPr>
          <w:p w14:paraId="6290EF32" w14:textId="77777777" w:rsidR="009A55E7" w:rsidRDefault="009A55E7">
            <w:r>
              <w:t>4º</w:t>
            </w:r>
          </w:p>
        </w:tc>
        <w:tc>
          <w:tcPr>
            <w:tcW w:w="0" w:type="auto"/>
            <w:vAlign w:val="center"/>
            <w:hideMark/>
          </w:tcPr>
          <w:p w14:paraId="6D352CE0" w14:textId="77777777" w:rsidR="009A55E7" w:rsidRDefault="009A55E7">
            <w:r>
              <w:t>Holt-Winters</w:t>
            </w:r>
          </w:p>
        </w:tc>
        <w:tc>
          <w:tcPr>
            <w:tcW w:w="0" w:type="auto"/>
            <w:vAlign w:val="center"/>
            <w:hideMark/>
          </w:tcPr>
          <w:p w14:paraId="2C0773CE" w14:textId="77777777" w:rsidR="009A55E7" w:rsidRDefault="009A55E7">
            <w:r>
              <w:t>59,32</w:t>
            </w:r>
          </w:p>
        </w:tc>
      </w:tr>
      <w:tr w:rsidR="009A55E7" w14:paraId="3821A693" w14:textId="77777777" w:rsidTr="009A55E7">
        <w:trPr>
          <w:tblCellSpacing w:w="15" w:type="dxa"/>
        </w:trPr>
        <w:tc>
          <w:tcPr>
            <w:tcW w:w="0" w:type="auto"/>
            <w:vAlign w:val="center"/>
            <w:hideMark/>
          </w:tcPr>
          <w:p w14:paraId="52198F8F" w14:textId="77777777" w:rsidR="009A55E7" w:rsidRDefault="009A55E7">
            <w:r>
              <w:t>5º</w:t>
            </w:r>
          </w:p>
        </w:tc>
        <w:tc>
          <w:tcPr>
            <w:tcW w:w="0" w:type="auto"/>
            <w:vAlign w:val="center"/>
            <w:hideMark/>
          </w:tcPr>
          <w:p w14:paraId="39A543A1" w14:textId="77777777" w:rsidR="009A55E7" w:rsidRDefault="009A55E7">
            <w:r>
              <w:t>ARIMA</w:t>
            </w:r>
          </w:p>
        </w:tc>
        <w:tc>
          <w:tcPr>
            <w:tcW w:w="0" w:type="auto"/>
            <w:vAlign w:val="center"/>
            <w:hideMark/>
          </w:tcPr>
          <w:p w14:paraId="142059CC" w14:textId="77777777" w:rsidR="009A55E7" w:rsidRDefault="009A55E7">
            <w:r>
              <w:t>61,72</w:t>
            </w:r>
          </w:p>
        </w:tc>
      </w:tr>
    </w:tbl>
    <w:p w14:paraId="4F0326A7" w14:textId="77777777" w:rsidR="008544C0" w:rsidRDefault="008544C0" w:rsidP="008544C0">
      <w:pPr>
        <w:spacing w:after="0" w:line="360" w:lineRule="auto"/>
        <w:jc w:val="center"/>
        <w:rPr>
          <w:rFonts w:ascii="Times New Roman" w:hAnsi="Times New Roman"/>
          <w:i/>
          <w:iCs/>
          <w:sz w:val="20"/>
          <w:szCs w:val="20"/>
          <w:lang w:val="pt-BR"/>
        </w:rPr>
      </w:pPr>
      <w:r>
        <w:rPr>
          <w:rFonts w:ascii="Times New Roman" w:hAnsi="Times New Roman"/>
          <w:i/>
          <w:iCs/>
          <w:sz w:val="20"/>
          <w:szCs w:val="20"/>
          <w:lang w:val="pt-BR"/>
        </w:rPr>
        <w:t>Fonte: Autoria própria (2026)</w:t>
      </w:r>
    </w:p>
    <w:p w14:paraId="6848682A" w14:textId="31BAF7DC" w:rsidR="00466AEC" w:rsidRDefault="00466AEC" w:rsidP="00466AEC">
      <w:pPr>
        <w:rPr>
          <w:lang w:val="pt-BR"/>
        </w:rPr>
      </w:pPr>
    </w:p>
    <w:p w14:paraId="23F93227" w14:textId="74FABE0D" w:rsidR="00466AEC" w:rsidRPr="00466AEC" w:rsidRDefault="00466AEC" w:rsidP="00466AEC">
      <w:pPr>
        <w:spacing w:line="360" w:lineRule="auto"/>
        <w:jc w:val="both"/>
        <w:rPr>
          <w:rFonts w:ascii="Times New Roman" w:hAnsi="Times New Roman" w:cs="Times New Roman"/>
          <w:lang w:val="pt-BR"/>
        </w:rPr>
      </w:pPr>
      <w:r w:rsidRPr="00466AEC">
        <w:rPr>
          <w:rFonts w:ascii="Times New Roman" w:hAnsi="Times New Roman" w:cs="Times New Roman"/>
          <w:lang w:val="pt-BR"/>
        </w:rPr>
        <w:t xml:space="preserve">O modelo SES registrou o menor RMSE (51,37 ha), seguido pelo ETS (53,28 </w:t>
      </w:r>
      <w:proofErr w:type="spellStart"/>
      <w:r w:rsidRPr="00466AEC">
        <w:rPr>
          <w:rFonts w:ascii="Times New Roman" w:hAnsi="Times New Roman" w:cs="Times New Roman"/>
          <w:lang w:val="pt-BR"/>
        </w:rPr>
        <w:t>ha</w:t>
      </w:r>
      <w:proofErr w:type="spellEnd"/>
      <w:r w:rsidRPr="00466AEC">
        <w:rPr>
          <w:rFonts w:ascii="Times New Roman" w:hAnsi="Times New Roman" w:cs="Times New Roman"/>
          <w:lang w:val="pt-BR"/>
        </w:rPr>
        <w:t>).</w:t>
      </w:r>
      <w:r>
        <w:rPr>
          <w:rFonts w:ascii="Times New Roman" w:hAnsi="Times New Roman" w:cs="Times New Roman"/>
          <w:lang w:val="pt-BR"/>
        </w:rPr>
        <w:t xml:space="preserve"> </w:t>
      </w:r>
      <w:r w:rsidRPr="00466AEC">
        <w:rPr>
          <w:rFonts w:ascii="Times New Roman" w:hAnsi="Times New Roman" w:cs="Times New Roman"/>
          <w:lang w:val="pt-BR"/>
        </w:rPr>
        <w:t>Notavelmente, o ARIMA</w:t>
      </w:r>
      <w:r>
        <w:rPr>
          <w:rFonts w:ascii="Times New Roman" w:hAnsi="Times New Roman" w:cs="Times New Roman"/>
          <w:lang w:val="pt-BR"/>
        </w:rPr>
        <w:t xml:space="preserve"> (</w:t>
      </w:r>
      <w:r w:rsidRPr="00466AEC">
        <w:rPr>
          <w:rFonts w:ascii="Times New Roman" w:hAnsi="Times New Roman" w:cs="Times New Roman"/>
          <w:lang w:val="pt-BR"/>
        </w:rPr>
        <w:t>melhor modelo por AIC</w:t>
      </w:r>
      <w:r>
        <w:rPr>
          <w:rFonts w:ascii="Times New Roman" w:hAnsi="Times New Roman" w:cs="Times New Roman"/>
          <w:lang w:val="pt-BR"/>
        </w:rPr>
        <w:t>)</w:t>
      </w:r>
      <w:r w:rsidRPr="00466AEC">
        <w:rPr>
          <w:rFonts w:ascii="Times New Roman" w:hAnsi="Times New Roman" w:cs="Times New Roman"/>
          <w:lang w:val="pt-BR"/>
        </w:rPr>
        <w:t xml:space="preserve"> ocupou o último lugar em RMSE</w:t>
      </w:r>
      <w:r>
        <w:rPr>
          <w:rFonts w:ascii="Times New Roman" w:hAnsi="Times New Roman" w:cs="Times New Roman"/>
          <w:lang w:val="pt-BR"/>
        </w:rPr>
        <w:t xml:space="preserve"> </w:t>
      </w:r>
      <w:r w:rsidRPr="00466AEC">
        <w:rPr>
          <w:rFonts w:ascii="Times New Roman" w:hAnsi="Times New Roman" w:cs="Times New Roman"/>
          <w:lang w:val="pt-BR"/>
        </w:rPr>
        <w:t xml:space="preserve">(61,72 </w:t>
      </w:r>
      <w:proofErr w:type="spellStart"/>
      <w:r w:rsidRPr="00466AEC">
        <w:rPr>
          <w:rFonts w:ascii="Times New Roman" w:hAnsi="Times New Roman" w:cs="Times New Roman"/>
          <w:lang w:val="pt-BR"/>
        </w:rPr>
        <w:t>ha</w:t>
      </w:r>
      <w:proofErr w:type="spellEnd"/>
      <w:r w:rsidRPr="00466AEC">
        <w:rPr>
          <w:rFonts w:ascii="Times New Roman" w:hAnsi="Times New Roman" w:cs="Times New Roman"/>
          <w:lang w:val="pt-BR"/>
        </w:rPr>
        <w:t>).</w:t>
      </w:r>
    </w:p>
    <w:p w14:paraId="7BEFA0FB" w14:textId="3F8EE733" w:rsidR="00AF6DBA" w:rsidRPr="009A55E7" w:rsidRDefault="00AF6DBA" w:rsidP="00AF6DBA">
      <w:pPr>
        <w:pStyle w:val="Ttulo2"/>
        <w:rPr>
          <w:rFonts w:ascii="Times New Roman" w:hAnsi="Times New Roman"/>
          <w:color w:val="000000"/>
          <w:sz w:val="24"/>
          <w:szCs w:val="24"/>
          <w:lang w:val="pt-BR"/>
        </w:rPr>
      </w:pPr>
      <w:r w:rsidRPr="009A55E7">
        <w:rPr>
          <w:rFonts w:ascii="Times New Roman" w:hAnsi="Times New Roman"/>
          <w:b/>
          <w:bCs/>
          <w:color w:val="000000"/>
          <w:sz w:val="24"/>
          <w:szCs w:val="24"/>
          <w:lang w:val="pt-BR"/>
        </w:rPr>
        <w:t>Resposta à Questão de Pesquisa</w:t>
      </w:r>
    </w:p>
    <w:p w14:paraId="05EFE9C3" w14:textId="19539713" w:rsidR="009A55E7" w:rsidRPr="005C2A41" w:rsidRDefault="009A55E7" w:rsidP="005C2A41">
      <w:pPr>
        <w:spacing w:after="0" w:line="360" w:lineRule="auto"/>
        <w:jc w:val="both"/>
        <w:rPr>
          <w:rFonts w:ascii="Times New Roman" w:hAnsi="Times New Roman"/>
          <w:u w:val="single"/>
          <w:lang w:val="pt-BR"/>
        </w:rPr>
      </w:pPr>
      <w:r w:rsidRPr="009A55E7">
        <w:rPr>
          <w:rFonts w:ascii="Times New Roman" w:hAnsi="Times New Roman"/>
          <w:b/>
          <w:bCs/>
          <w:lang w:val="pt-BR"/>
        </w:rPr>
        <w:t>O modelo com melhor AIC (ARIMA) não foi o mesmo que apresentou o menor RMSE de previsão (SES).</w:t>
      </w:r>
      <w:r w:rsidRPr="009A55E7">
        <w:rPr>
          <w:rFonts w:ascii="Times New Roman" w:hAnsi="Times New Roman"/>
          <w:lang w:val="pt-BR"/>
        </w:rPr>
        <w:t xml:space="preserve"> </w:t>
      </w:r>
      <w:r w:rsidR="00302255" w:rsidRPr="00302255">
        <w:rPr>
          <w:rFonts w:ascii="Times New Roman" w:hAnsi="Times New Roman"/>
          <w:lang w:val="pt-BR"/>
        </w:rPr>
        <w:t>A Figura 4 compara a previsão do modelo SES com os valores reais no período de teste</w:t>
      </w:r>
      <w:r w:rsidR="00302255">
        <w:rPr>
          <w:rFonts w:ascii="Times New Roman" w:hAnsi="Times New Roman"/>
          <w:lang w:val="pt-BR"/>
        </w:rPr>
        <w:t xml:space="preserve">. </w:t>
      </w:r>
      <w:r w:rsidRPr="009A55E7">
        <w:rPr>
          <w:rFonts w:ascii="Times New Roman" w:hAnsi="Times New Roman"/>
          <w:lang w:val="pt-BR"/>
        </w:rPr>
        <w:t xml:space="preserve">Observa-se que todos os cinco modelos previram valores próximos ao nível médio da série de treino ao longo do horizonte de 60 meses. </w:t>
      </w:r>
      <w:r w:rsidRPr="00FC0BB0">
        <w:rPr>
          <w:rFonts w:ascii="Times New Roman" w:hAnsi="Times New Roman"/>
          <w:lang w:val="pt-BR"/>
        </w:rPr>
        <w:t>Contudo</w:t>
      </w:r>
      <w:r w:rsidRPr="009A55E7">
        <w:rPr>
          <w:rFonts w:ascii="Times New Roman" w:hAnsi="Times New Roman"/>
          <w:lang w:val="pt-BR"/>
        </w:rPr>
        <w:t>, os valores reais seguiram trajetória distinta, com elevação abrupta em 2023 e 2024.</w:t>
      </w:r>
    </w:p>
    <w:p w14:paraId="7C136F24" w14:textId="7E98F7D2" w:rsidR="001462AD" w:rsidRPr="008544C0" w:rsidRDefault="001462AD" w:rsidP="00FC0BB0">
      <w:pPr>
        <w:pStyle w:val="Legenda"/>
        <w:keepNext/>
        <w:jc w:val="center"/>
        <w:rPr>
          <w:color w:val="auto"/>
          <w:sz w:val="20"/>
          <w:szCs w:val="20"/>
          <w:lang w:val="pt-BR"/>
        </w:rPr>
      </w:pPr>
      <w:r w:rsidRPr="008544C0">
        <w:rPr>
          <w:color w:val="auto"/>
          <w:sz w:val="20"/>
          <w:szCs w:val="20"/>
          <w:lang w:val="pt-BR"/>
        </w:rPr>
        <w:lastRenderedPageBreak/>
        <w:t xml:space="preserve">Figura </w:t>
      </w:r>
      <w:r w:rsidRPr="008544C0">
        <w:rPr>
          <w:color w:val="auto"/>
          <w:sz w:val="20"/>
          <w:szCs w:val="20"/>
        </w:rPr>
        <w:fldChar w:fldCharType="begin"/>
      </w:r>
      <w:r w:rsidRPr="008544C0">
        <w:rPr>
          <w:color w:val="auto"/>
          <w:sz w:val="20"/>
          <w:szCs w:val="20"/>
          <w:lang w:val="pt-BR"/>
        </w:rPr>
        <w:instrText xml:space="preserve"> SEQ Figura \* ARABIC </w:instrText>
      </w:r>
      <w:r w:rsidRPr="008544C0">
        <w:rPr>
          <w:color w:val="auto"/>
          <w:sz w:val="20"/>
          <w:szCs w:val="20"/>
        </w:rPr>
        <w:fldChar w:fldCharType="separate"/>
      </w:r>
      <w:r w:rsidRPr="008544C0">
        <w:rPr>
          <w:noProof/>
          <w:color w:val="auto"/>
          <w:sz w:val="20"/>
          <w:szCs w:val="20"/>
          <w:lang w:val="pt-BR"/>
        </w:rPr>
        <w:t>4</w:t>
      </w:r>
      <w:r w:rsidRPr="008544C0">
        <w:rPr>
          <w:color w:val="auto"/>
          <w:sz w:val="20"/>
          <w:szCs w:val="20"/>
        </w:rPr>
        <w:fldChar w:fldCharType="end"/>
      </w:r>
      <w:r w:rsidRPr="008544C0">
        <w:rPr>
          <w:color w:val="auto"/>
          <w:sz w:val="20"/>
          <w:szCs w:val="20"/>
          <w:lang w:val="pt-BR"/>
        </w:rPr>
        <w:t>: Previsão SES versus valores reais no período de teste (2020–2024)</w:t>
      </w:r>
    </w:p>
    <w:p w14:paraId="0D5CAD91" w14:textId="07C9A48C" w:rsidR="001462AD" w:rsidRPr="009A55E7" w:rsidRDefault="001462AD">
      <w:pPr>
        <w:spacing w:after="0" w:line="360" w:lineRule="auto"/>
        <w:rPr>
          <w:rFonts w:ascii="Times New Roman" w:hAnsi="Times New Roman"/>
          <w:lang w:val="pt-BR"/>
        </w:rPr>
      </w:pPr>
      <w:r w:rsidRPr="001462AD">
        <w:rPr>
          <w:rFonts w:ascii="Times New Roman" w:hAnsi="Times New Roman"/>
          <w:lang w:val="pt-BR"/>
        </w:rPr>
        <w:drawing>
          <wp:inline distT="0" distB="0" distL="0" distR="0" wp14:anchorId="5DBA4B06" wp14:editId="1CB6A7B7">
            <wp:extent cx="5943600" cy="3213735"/>
            <wp:effectExtent l="0" t="0" r="0" b="571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13735"/>
                    </a:xfrm>
                    <a:prstGeom prst="rect">
                      <a:avLst/>
                    </a:prstGeom>
                  </pic:spPr>
                </pic:pic>
              </a:graphicData>
            </a:graphic>
          </wp:inline>
        </w:drawing>
      </w:r>
    </w:p>
    <w:p w14:paraId="06B802C3" w14:textId="77777777" w:rsidR="008544C0" w:rsidRDefault="008544C0" w:rsidP="008544C0">
      <w:pPr>
        <w:spacing w:after="0" w:line="360" w:lineRule="auto"/>
        <w:jc w:val="center"/>
        <w:rPr>
          <w:rFonts w:ascii="Times New Roman" w:hAnsi="Times New Roman"/>
          <w:i/>
          <w:iCs/>
          <w:sz w:val="20"/>
          <w:szCs w:val="20"/>
          <w:lang w:val="pt-BR"/>
        </w:rPr>
      </w:pPr>
      <w:r>
        <w:rPr>
          <w:rFonts w:ascii="Times New Roman" w:hAnsi="Times New Roman"/>
          <w:i/>
          <w:iCs/>
          <w:sz w:val="20"/>
          <w:szCs w:val="20"/>
          <w:lang w:val="pt-BR"/>
        </w:rPr>
        <w:t>Fonte: Autoria própria (2026)</w:t>
      </w:r>
    </w:p>
    <w:p w14:paraId="45C39884" w14:textId="77777777" w:rsidR="001462AD" w:rsidRDefault="001462AD">
      <w:pPr>
        <w:spacing w:after="0" w:line="240" w:lineRule="auto"/>
        <w:jc w:val="center"/>
        <w:rPr>
          <w:rFonts w:ascii="Times New Roman" w:hAnsi="Times New Roman"/>
          <w:i/>
          <w:iCs/>
          <w:sz w:val="20"/>
          <w:szCs w:val="20"/>
          <w:lang w:val="pt-BR"/>
        </w:rPr>
      </w:pPr>
    </w:p>
    <w:p w14:paraId="31EB4190" w14:textId="77777777" w:rsidR="001462AD" w:rsidRDefault="001462AD">
      <w:pPr>
        <w:spacing w:after="0" w:line="240" w:lineRule="auto"/>
        <w:jc w:val="center"/>
        <w:rPr>
          <w:rFonts w:ascii="Times New Roman" w:hAnsi="Times New Roman"/>
          <w:i/>
          <w:iCs/>
          <w:sz w:val="20"/>
          <w:szCs w:val="20"/>
          <w:lang w:val="pt-BR"/>
        </w:rPr>
      </w:pPr>
    </w:p>
    <w:p w14:paraId="4D060F44" w14:textId="45339523" w:rsidR="001462AD" w:rsidRPr="008544C0" w:rsidRDefault="001462AD" w:rsidP="001462AD">
      <w:pPr>
        <w:pStyle w:val="Legenda"/>
        <w:keepNext/>
        <w:jc w:val="center"/>
        <w:rPr>
          <w:color w:val="auto"/>
          <w:sz w:val="20"/>
          <w:szCs w:val="20"/>
          <w:lang w:val="pt-BR"/>
        </w:rPr>
      </w:pPr>
      <w:r w:rsidRPr="008544C0">
        <w:rPr>
          <w:color w:val="auto"/>
          <w:sz w:val="20"/>
          <w:szCs w:val="20"/>
          <w:lang w:val="pt-BR"/>
        </w:rPr>
        <w:t xml:space="preserve">Figura </w:t>
      </w:r>
      <w:r w:rsidRPr="008544C0">
        <w:rPr>
          <w:color w:val="auto"/>
          <w:sz w:val="20"/>
          <w:szCs w:val="20"/>
        </w:rPr>
        <w:fldChar w:fldCharType="begin"/>
      </w:r>
      <w:r w:rsidRPr="008544C0">
        <w:rPr>
          <w:color w:val="auto"/>
          <w:sz w:val="20"/>
          <w:szCs w:val="20"/>
          <w:lang w:val="pt-BR"/>
        </w:rPr>
        <w:instrText xml:space="preserve"> SEQ Figura \* ARABIC </w:instrText>
      </w:r>
      <w:r w:rsidRPr="008544C0">
        <w:rPr>
          <w:color w:val="auto"/>
          <w:sz w:val="20"/>
          <w:szCs w:val="20"/>
        </w:rPr>
        <w:fldChar w:fldCharType="separate"/>
      </w:r>
      <w:r w:rsidRPr="008544C0">
        <w:rPr>
          <w:noProof/>
          <w:color w:val="auto"/>
          <w:sz w:val="20"/>
          <w:szCs w:val="20"/>
          <w:lang w:val="pt-BR"/>
        </w:rPr>
        <w:t>5</w:t>
      </w:r>
      <w:r w:rsidRPr="008544C0">
        <w:rPr>
          <w:color w:val="auto"/>
          <w:sz w:val="20"/>
          <w:szCs w:val="20"/>
        </w:rPr>
        <w:fldChar w:fldCharType="end"/>
      </w:r>
      <w:r w:rsidRPr="008544C0">
        <w:rPr>
          <w:color w:val="auto"/>
          <w:sz w:val="20"/>
          <w:szCs w:val="20"/>
          <w:lang w:val="pt-BR"/>
        </w:rPr>
        <w:t>: Comparativo de todos os modelos versus valores reais (2020-2024)</w:t>
      </w:r>
    </w:p>
    <w:p w14:paraId="600241B8" w14:textId="720D42F7" w:rsidR="001462AD" w:rsidRDefault="001462AD">
      <w:pPr>
        <w:spacing w:after="0" w:line="240" w:lineRule="auto"/>
        <w:jc w:val="center"/>
        <w:rPr>
          <w:rFonts w:ascii="Times New Roman" w:hAnsi="Times New Roman"/>
          <w:i/>
          <w:iCs/>
          <w:sz w:val="20"/>
          <w:szCs w:val="20"/>
          <w:lang w:val="pt-BR"/>
        </w:rPr>
      </w:pPr>
      <w:r w:rsidRPr="001462AD">
        <w:rPr>
          <w:rFonts w:ascii="Times New Roman" w:hAnsi="Times New Roman"/>
          <w:i/>
          <w:iCs/>
          <w:sz w:val="20"/>
          <w:szCs w:val="20"/>
          <w:lang w:val="pt-BR"/>
        </w:rPr>
        <w:drawing>
          <wp:inline distT="0" distB="0" distL="0" distR="0" wp14:anchorId="01CEE762" wp14:editId="3ECD8653">
            <wp:extent cx="5943600" cy="299466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94660"/>
                    </a:xfrm>
                    <a:prstGeom prst="rect">
                      <a:avLst/>
                    </a:prstGeom>
                  </pic:spPr>
                </pic:pic>
              </a:graphicData>
            </a:graphic>
          </wp:inline>
        </w:drawing>
      </w:r>
    </w:p>
    <w:p w14:paraId="29DBF4F8" w14:textId="77777777" w:rsidR="008544C0" w:rsidRDefault="008544C0" w:rsidP="008544C0">
      <w:pPr>
        <w:spacing w:after="0" w:line="360" w:lineRule="auto"/>
        <w:jc w:val="center"/>
        <w:rPr>
          <w:rFonts w:ascii="Times New Roman" w:hAnsi="Times New Roman"/>
          <w:i/>
          <w:iCs/>
          <w:sz w:val="20"/>
          <w:szCs w:val="20"/>
          <w:lang w:val="pt-BR"/>
        </w:rPr>
      </w:pPr>
      <w:r>
        <w:rPr>
          <w:rFonts w:ascii="Times New Roman" w:hAnsi="Times New Roman"/>
          <w:i/>
          <w:iCs/>
          <w:sz w:val="20"/>
          <w:szCs w:val="20"/>
          <w:lang w:val="pt-BR"/>
        </w:rPr>
        <w:t>Fonte: Autoria própria (2026)</w:t>
      </w:r>
    </w:p>
    <w:p w14:paraId="370A9FA5" w14:textId="77777777" w:rsidR="001462AD" w:rsidRDefault="001462AD">
      <w:pPr>
        <w:spacing w:after="0" w:line="360" w:lineRule="auto"/>
        <w:rPr>
          <w:rFonts w:ascii="Times New Roman" w:hAnsi="Times New Roman"/>
          <w:i/>
          <w:iCs/>
          <w:sz w:val="20"/>
          <w:szCs w:val="20"/>
          <w:lang w:val="pt-BR"/>
        </w:rPr>
      </w:pPr>
    </w:p>
    <w:p w14:paraId="7901AE49" w14:textId="66ED4205" w:rsidR="009A55E7" w:rsidRPr="001462AD" w:rsidRDefault="009A55E7" w:rsidP="005C2A41">
      <w:pPr>
        <w:spacing w:after="0" w:line="360" w:lineRule="auto"/>
        <w:jc w:val="both"/>
        <w:rPr>
          <w:rFonts w:ascii="Times New Roman" w:hAnsi="Times New Roman"/>
          <w:u w:val="single"/>
          <w:lang w:val="pt-BR"/>
        </w:rPr>
      </w:pPr>
      <w:r w:rsidRPr="009A55E7">
        <w:rPr>
          <w:rFonts w:ascii="Times New Roman" w:hAnsi="Times New Roman"/>
          <w:lang w:val="pt-BR"/>
        </w:rPr>
        <w:lastRenderedPageBreak/>
        <w:t xml:space="preserve">A ruptura estrutural observada em 2023 e 2024 é o principal fator explicativo da discrepância entre AIC e RMSE. Os picos históricos registrados extrapolam o regime aprendido pelos modelos na fase de treino. Nesse cenário, o SES mostrou-se mais eficaz por sua simplicidade estrutural, enquanto o ARIMA, embora superior em ajuste na amostra, apresentou menor capacidade de generalização fora da </w:t>
      </w:r>
      <w:r w:rsidRPr="001D5291">
        <w:rPr>
          <w:rFonts w:ascii="Times New Roman" w:hAnsi="Times New Roman"/>
          <w:lang w:val="pt-BR"/>
        </w:rPr>
        <w:t>amostra</w:t>
      </w:r>
      <w:r w:rsidRPr="009A55E7">
        <w:rPr>
          <w:rFonts w:ascii="Times New Roman" w:hAnsi="Times New Roman"/>
          <w:lang w:val="pt-BR"/>
        </w:rPr>
        <w:t>.</w:t>
      </w:r>
    </w:p>
    <w:p w14:paraId="6457F4F9" w14:textId="77777777" w:rsidR="00AF6DBA" w:rsidRPr="00AF6DBA" w:rsidRDefault="00AF6DBA" w:rsidP="00AF6DBA">
      <w:pPr>
        <w:pStyle w:val="Ttulo1"/>
        <w:rPr>
          <w:rFonts w:ascii="Times New Roman" w:hAnsi="Times New Roman"/>
          <w:color w:val="000000"/>
          <w:sz w:val="24"/>
          <w:szCs w:val="24"/>
          <w:lang w:val="pt-BR"/>
        </w:rPr>
      </w:pPr>
      <w:r w:rsidRPr="00AF6DBA">
        <w:rPr>
          <w:rFonts w:ascii="Times New Roman" w:hAnsi="Times New Roman"/>
          <w:b/>
          <w:bCs/>
          <w:color w:val="000000"/>
          <w:sz w:val="24"/>
          <w:szCs w:val="24"/>
          <w:lang w:val="pt-BR"/>
        </w:rPr>
        <w:t>Considerações Finais</w:t>
      </w:r>
    </w:p>
    <w:p w14:paraId="4DC9B9EE" w14:textId="0956CCC9" w:rsidR="009A55E7" w:rsidRPr="009A55E7" w:rsidRDefault="009A55E7" w:rsidP="00845897">
      <w:pPr>
        <w:spacing w:after="0" w:line="360" w:lineRule="auto"/>
        <w:jc w:val="both"/>
        <w:rPr>
          <w:rFonts w:ascii="Times New Roman" w:hAnsi="Times New Roman"/>
          <w:lang w:val="pt-BR"/>
        </w:rPr>
      </w:pPr>
      <w:r w:rsidRPr="009A55E7">
        <w:rPr>
          <w:rFonts w:ascii="Times New Roman" w:hAnsi="Times New Roman"/>
          <w:lang w:val="pt-BR"/>
        </w:rPr>
        <w:t>Este trabalho comparou cinco modelos de séries temporais para a previsão da superfície de água mensal em Belo Horizonte (MG) no período de 2020 a 2024, utilizando dados do Projeto MapBiomas Água, Coleção 4. A questão central</w:t>
      </w:r>
      <w:r w:rsidR="00302255">
        <w:rPr>
          <w:rFonts w:ascii="Times New Roman" w:hAnsi="Times New Roman"/>
          <w:lang w:val="pt-BR"/>
        </w:rPr>
        <w:t xml:space="preserve">, </w:t>
      </w:r>
      <w:r w:rsidRPr="009A55E7">
        <w:rPr>
          <w:rFonts w:ascii="Times New Roman" w:hAnsi="Times New Roman"/>
          <w:lang w:val="pt-BR"/>
        </w:rPr>
        <w:t>se o melhor modelo em AIC também seria o melhor em RMSE</w:t>
      </w:r>
      <w:r w:rsidR="00302255">
        <w:rPr>
          <w:rFonts w:ascii="Times New Roman" w:hAnsi="Times New Roman"/>
          <w:lang w:val="pt-BR"/>
        </w:rPr>
        <w:t>,</w:t>
      </w:r>
      <w:r w:rsidRPr="009A55E7">
        <w:rPr>
          <w:rFonts w:ascii="Times New Roman" w:hAnsi="Times New Roman"/>
          <w:lang w:val="pt-BR"/>
        </w:rPr>
        <w:t xml:space="preserve"> foi respondida negativamente: o ARIMA(3,0,2)(0,1,1)[12] com constante, selecionado pelo AIC como melhor ajuste à base de treino</w:t>
      </w:r>
      <w:r w:rsidR="00466AEC">
        <w:rPr>
          <w:rFonts w:ascii="Times New Roman" w:hAnsi="Times New Roman"/>
          <w:lang w:val="pt-BR"/>
        </w:rPr>
        <w:t xml:space="preserve"> (AIC = 3094,43)</w:t>
      </w:r>
      <w:r w:rsidRPr="009A55E7">
        <w:rPr>
          <w:rFonts w:ascii="Times New Roman" w:hAnsi="Times New Roman"/>
          <w:lang w:val="pt-BR"/>
        </w:rPr>
        <w:t>, apresentou o maior RMSE na base de teste</w:t>
      </w:r>
      <w:r w:rsidR="00466AEC">
        <w:rPr>
          <w:rFonts w:ascii="Times New Roman" w:hAnsi="Times New Roman"/>
          <w:lang w:val="pt-BR"/>
        </w:rPr>
        <w:t xml:space="preserve"> (61,72 ha)</w:t>
      </w:r>
      <w:r w:rsidRPr="009A55E7">
        <w:rPr>
          <w:rFonts w:ascii="Times New Roman" w:hAnsi="Times New Roman"/>
          <w:lang w:val="pt-BR"/>
        </w:rPr>
        <w:t>, enquanto o modelo SES, mais simples, obteve o menor RMSE</w:t>
      </w:r>
      <w:r w:rsidR="00466AEC">
        <w:rPr>
          <w:rFonts w:ascii="Times New Roman" w:hAnsi="Times New Roman"/>
          <w:lang w:val="pt-BR"/>
        </w:rPr>
        <w:t xml:space="preserve"> (51,37 </w:t>
      </w:r>
      <w:proofErr w:type="spellStart"/>
      <w:r w:rsidR="00466AEC">
        <w:rPr>
          <w:rFonts w:ascii="Times New Roman" w:hAnsi="Times New Roman"/>
          <w:lang w:val="pt-BR"/>
        </w:rPr>
        <w:t>ha</w:t>
      </w:r>
      <w:proofErr w:type="spellEnd"/>
      <w:r w:rsidR="00466AEC">
        <w:rPr>
          <w:rFonts w:ascii="Times New Roman" w:hAnsi="Times New Roman"/>
          <w:lang w:val="pt-BR"/>
        </w:rPr>
        <w:t>)</w:t>
      </w:r>
      <w:r w:rsidRPr="009A55E7">
        <w:rPr>
          <w:rFonts w:ascii="Times New Roman" w:hAnsi="Times New Roman"/>
          <w:lang w:val="pt-BR"/>
        </w:rPr>
        <w:t>.</w:t>
      </w:r>
    </w:p>
    <w:p w14:paraId="7D7733EA" w14:textId="61FB01E6" w:rsidR="009A55E7" w:rsidRPr="009A55E7" w:rsidRDefault="009A55E7" w:rsidP="00845897">
      <w:pPr>
        <w:spacing w:after="0" w:line="360" w:lineRule="auto"/>
        <w:jc w:val="both"/>
        <w:rPr>
          <w:rFonts w:ascii="Times New Roman" w:hAnsi="Times New Roman"/>
          <w:lang w:val="pt-BR"/>
        </w:rPr>
      </w:pPr>
      <w:r w:rsidRPr="009A55E7">
        <w:rPr>
          <w:rFonts w:ascii="Times New Roman" w:hAnsi="Times New Roman"/>
          <w:lang w:val="pt-BR"/>
        </w:rPr>
        <w:t>Esse resultado reforça uma lição fundamental da análise preditiva: a qualidade do ajuste dentro da amostra não garante acurácia fora da amostra, especialmente em presença de quebras estruturais. Para trabalhos futuros, recomenda-se investigar as causas hidrometeorológicas dos picos observados em 2023 e 2024, aplicar modelos com detecção automática de quebras estruturais e incorporar variáveis como precipitação e temperatura, em modelos mais robustos.</w:t>
      </w:r>
    </w:p>
    <w:p w14:paraId="5753BA5F" w14:textId="77777777" w:rsidR="00AF6DBA" w:rsidRDefault="00AF6DBA" w:rsidP="00AF6DBA">
      <w:pPr>
        <w:pStyle w:val="Ttulo1"/>
        <w:rPr>
          <w:rFonts w:ascii="Times New Roman" w:hAnsi="Times New Roman"/>
          <w:color w:val="000000"/>
          <w:sz w:val="24"/>
          <w:szCs w:val="24"/>
        </w:rPr>
      </w:pPr>
      <w:proofErr w:type="spellStart"/>
      <w:r>
        <w:rPr>
          <w:rFonts w:ascii="Times New Roman" w:hAnsi="Times New Roman"/>
          <w:b/>
          <w:bCs/>
          <w:color w:val="000000"/>
          <w:sz w:val="24"/>
          <w:szCs w:val="24"/>
        </w:rPr>
        <w:t>Referências</w:t>
      </w:r>
      <w:proofErr w:type="spellEnd"/>
    </w:p>
    <w:p w14:paraId="6E7ACEEE" w14:textId="77777777" w:rsidR="009A55E7" w:rsidRDefault="009A55E7" w:rsidP="002A0750">
      <w:pPr>
        <w:spacing w:after="0" w:line="240" w:lineRule="auto"/>
        <w:jc w:val="both"/>
        <w:rPr>
          <w:rFonts w:ascii="Times New Roman" w:hAnsi="Times New Roman"/>
        </w:rPr>
      </w:pPr>
      <w:r>
        <w:rPr>
          <w:rFonts w:ascii="Times New Roman" w:hAnsi="Times New Roman"/>
        </w:rPr>
        <w:t xml:space="preserve">AKAIKE, H. A new look at the statistical model identification. </w:t>
      </w:r>
      <w:r>
        <w:rPr>
          <w:rFonts w:ascii="Times New Roman" w:hAnsi="Times New Roman"/>
          <w:i/>
          <w:iCs/>
        </w:rPr>
        <w:t>IEEE Transactions on Automatic Control</w:t>
      </w:r>
      <w:r>
        <w:rPr>
          <w:rFonts w:ascii="Times New Roman" w:hAnsi="Times New Roman"/>
        </w:rPr>
        <w:t>, v. 19, n. 6, p. 716-723, 1974.</w:t>
      </w:r>
    </w:p>
    <w:p w14:paraId="3C7B7BDF" w14:textId="77777777" w:rsidR="00B03C6F" w:rsidRDefault="00B03C6F" w:rsidP="002A0750">
      <w:pPr>
        <w:spacing w:after="0" w:line="240" w:lineRule="auto"/>
        <w:jc w:val="both"/>
        <w:rPr>
          <w:rFonts w:ascii="Times New Roman" w:hAnsi="Times New Roman"/>
        </w:rPr>
      </w:pPr>
    </w:p>
    <w:p w14:paraId="3590C413" w14:textId="77777777" w:rsidR="009A55E7" w:rsidRDefault="009A55E7" w:rsidP="002A0750">
      <w:pPr>
        <w:spacing w:after="0" w:line="240" w:lineRule="auto"/>
        <w:jc w:val="both"/>
        <w:rPr>
          <w:rFonts w:ascii="Times New Roman" w:hAnsi="Times New Roman"/>
        </w:rPr>
      </w:pPr>
      <w:r w:rsidRPr="00B03C6F">
        <w:rPr>
          <w:rFonts w:ascii="Times New Roman" w:hAnsi="Times New Roman"/>
        </w:rPr>
        <w:t xml:space="preserve">BOX, G. E. P.; JENKINS, G. M.; REINSEL, G. C. </w:t>
      </w:r>
      <w:r w:rsidRPr="00B03C6F">
        <w:rPr>
          <w:rFonts w:ascii="Times New Roman" w:hAnsi="Times New Roman"/>
          <w:i/>
          <w:iCs/>
        </w:rPr>
        <w:t>Time series analysis: forecasting and control</w:t>
      </w:r>
      <w:r w:rsidRPr="00B03C6F">
        <w:rPr>
          <w:rFonts w:ascii="Times New Roman" w:hAnsi="Times New Roman"/>
        </w:rPr>
        <w:t xml:space="preserve">. </w:t>
      </w:r>
      <w:r>
        <w:rPr>
          <w:rFonts w:ascii="Times New Roman" w:hAnsi="Times New Roman"/>
        </w:rPr>
        <w:t>3. ed. Englewood Cliffs: Prentice Hall, 1994.</w:t>
      </w:r>
    </w:p>
    <w:p w14:paraId="404001F4" w14:textId="77777777" w:rsidR="00466AEC" w:rsidRDefault="00466AEC" w:rsidP="002A0750">
      <w:pPr>
        <w:spacing w:after="0" w:line="240" w:lineRule="auto"/>
        <w:jc w:val="both"/>
        <w:rPr>
          <w:rFonts w:ascii="Times New Roman" w:hAnsi="Times New Roman"/>
        </w:rPr>
      </w:pPr>
    </w:p>
    <w:p w14:paraId="18EBDE6B" w14:textId="77777777" w:rsidR="00466AEC" w:rsidRDefault="00466AEC" w:rsidP="00466AEC">
      <w:pPr>
        <w:spacing w:after="0" w:line="240" w:lineRule="auto"/>
        <w:jc w:val="both"/>
        <w:rPr>
          <w:rFonts w:ascii="Times New Roman" w:hAnsi="Times New Roman"/>
        </w:rPr>
      </w:pPr>
      <w:r>
        <w:rPr>
          <w:rFonts w:ascii="Times New Roman" w:hAnsi="Times New Roman"/>
          <w:lang w:val="pt-BR"/>
        </w:rPr>
        <w:t>CAMINHA</w:t>
      </w:r>
      <w:r w:rsidRPr="00B03C6F">
        <w:rPr>
          <w:rFonts w:ascii="Times New Roman" w:hAnsi="Times New Roman"/>
          <w:lang w:val="pt-BR"/>
        </w:rPr>
        <w:t xml:space="preserve">, A. R., Guimarães, L. R., Corrêa, F. V., Souza, G. R. de, Oliveira, L. F. C. de, &amp; </w:t>
      </w:r>
      <w:proofErr w:type="spellStart"/>
      <w:r w:rsidRPr="00B03C6F">
        <w:rPr>
          <w:rFonts w:ascii="Times New Roman" w:hAnsi="Times New Roman"/>
          <w:lang w:val="pt-BR"/>
        </w:rPr>
        <w:t>Sáfadi</w:t>
      </w:r>
      <w:proofErr w:type="spellEnd"/>
      <w:r w:rsidRPr="00B03C6F">
        <w:rPr>
          <w:rFonts w:ascii="Times New Roman" w:hAnsi="Times New Roman"/>
          <w:lang w:val="pt-BR"/>
        </w:rPr>
        <w:t>, T. (2025). Previsão de precipitação e vazão a partir da modelagem de séries temporais. </w:t>
      </w:r>
      <w:proofErr w:type="spellStart"/>
      <w:r w:rsidRPr="00B03C6F">
        <w:rPr>
          <w:rFonts w:ascii="Times New Roman" w:hAnsi="Times New Roman"/>
          <w:i/>
          <w:iCs/>
        </w:rPr>
        <w:t>Revista</w:t>
      </w:r>
      <w:proofErr w:type="spellEnd"/>
      <w:r w:rsidRPr="00B03C6F">
        <w:rPr>
          <w:rFonts w:ascii="Times New Roman" w:hAnsi="Times New Roman"/>
          <w:i/>
          <w:iCs/>
        </w:rPr>
        <w:t xml:space="preserve"> </w:t>
      </w:r>
      <w:proofErr w:type="spellStart"/>
      <w:r w:rsidRPr="00B03C6F">
        <w:rPr>
          <w:rFonts w:ascii="Times New Roman" w:hAnsi="Times New Roman"/>
          <w:i/>
          <w:iCs/>
        </w:rPr>
        <w:t>Brasileira</w:t>
      </w:r>
      <w:proofErr w:type="spellEnd"/>
      <w:r w:rsidRPr="00B03C6F">
        <w:rPr>
          <w:rFonts w:ascii="Times New Roman" w:hAnsi="Times New Roman"/>
          <w:i/>
          <w:iCs/>
        </w:rPr>
        <w:t xml:space="preserve"> De </w:t>
      </w:r>
      <w:proofErr w:type="spellStart"/>
      <w:r w:rsidRPr="00B03C6F">
        <w:rPr>
          <w:rFonts w:ascii="Times New Roman" w:hAnsi="Times New Roman"/>
          <w:i/>
          <w:iCs/>
        </w:rPr>
        <w:t>Climatologia</w:t>
      </w:r>
      <w:proofErr w:type="spellEnd"/>
      <w:r w:rsidRPr="00B03C6F">
        <w:rPr>
          <w:rFonts w:ascii="Times New Roman" w:hAnsi="Times New Roman"/>
        </w:rPr>
        <w:t>, </w:t>
      </w:r>
      <w:r w:rsidRPr="00B03C6F">
        <w:rPr>
          <w:rFonts w:ascii="Times New Roman" w:hAnsi="Times New Roman"/>
          <w:i/>
          <w:iCs/>
        </w:rPr>
        <w:t>36</w:t>
      </w:r>
      <w:r w:rsidRPr="00B03C6F">
        <w:rPr>
          <w:rFonts w:ascii="Times New Roman" w:hAnsi="Times New Roman"/>
        </w:rPr>
        <w:t xml:space="preserve">(21), 264–290. </w:t>
      </w:r>
      <w:hyperlink r:id="rId12" w:history="1">
        <w:r w:rsidRPr="005D611F">
          <w:rPr>
            <w:rStyle w:val="Hyperlink"/>
            <w:rFonts w:ascii="Times New Roman" w:hAnsi="Times New Roman"/>
          </w:rPr>
          <w:t>https://doi.org/10.55761/abclima.v36i21.18885</w:t>
        </w:r>
      </w:hyperlink>
      <w:r>
        <w:rPr>
          <w:rFonts w:ascii="Times New Roman" w:hAnsi="Times New Roman"/>
        </w:rPr>
        <w:t>.</w:t>
      </w:r>
    </w:p>
    <w:p w14:paraId="42D43B04" w14:textId="77777777" w:rsidR="00B03C6F" w:rsidRDefault="00B03C6F" w:rsidP="002A0750">
      <w:pPr>
        <w:spacing w:after="0" w:line="240" w:lineRule="auto"/>
        <w:jc w:val="both"/>
        <w:rPr>
          <w:rFonts w:ascii="Times New Roman" w:hAnsi="Times New Roman"/>
        </w:rPr>
      </w:pPr>
    </w:p>
    <w:p w14:paraId="1C7D3A91" w14:textId="6B82F821" w:rsidR="00B03C6F" w:rsidRDefault="009A55E7" w:rsidP="002A0750">
      <w:pPr>
        <w:spacing w:after="0" w:line="240" w:lineRule="auto"/>
        <w:jc w:val="both"/>
        <w:rPr>
          <w:rFonts w:ascii="Times New Roman" w:hAnsi="Times New Roman"/>
        </w:rPr>
      </w:pPr>
      <w:r>
        <w:rPr>
          <w:rFonts w:ascii="Times New Roman" w:hAnsi="Times New Roman"/>
        </w:rPr>
        <w:t xml:space="preserve">DICKEY, D. A.; FULLER, W. A. Distribution of the estimators for autoregressive time series with a unit root. </w:t>
      </w:r>
      <w:r>
        <w:rPr>
          <w:rFonts w:ascii="Times New Roman" w:hAnsi="Times New Roman"/>
          <w:i/>
          <w:iCs/>
        </w:rPr>
        <w:t>Journal of the American Statistical Association</w:t>
      </w:r>
      <w:r>
        <w:rPr>
          <w:rFonts w:ascii="Times New Roman" w:hAnsi="Times New Roman"/>
        </w:rPr>
        <w:t>, v. 74, n. 366, p. 427-431, 1979.</w:t>
      </w:r>
    </w:p>
    <w:p w14:paraId="2B6C0593" w14:textId="77777777" w:rsidR="00B03C6F" w:rsidRDefault="00B03C6F" w:rsidP="002A0750">
      <w:pPr>
        <w:spacing w:after="0" w:line="240" w:lineRule="auto"/>
        <w:jc w:val="both"/>
        <w:rPr>
          <w:rFonts w:ascii="Times New Roman" w:hAnsi="Times New Roman"/>
        </w:rPr>
      </w:pPr>
    </w:p>
    <w:p w14:paraId="225745D2" w14:textId="77777777" w:rsidR="009A55E7" w:rsidRDefault="009A55E7" w:rsidP="002A0750">
      <w:pPr>
        <w:spacing w:after="0" w:line="240" w:lineRule="auto"/>
        <w:jc w:val="both"/>
        <w:rPr>
          <w:rFonts w:ascii="Times New Roman" w:hAnsi="Times New Roman"/>
        </w:rPr>
      </w:pPr>
      <w:r>
        <w:rPr>
          <w:rFonts w:ascii="Times New Roman" w:hAnsi="Times New Roman"/>
        </w:rPr>
        <w:t xml:space="preserve">HOLT, C. C. Forecasting seasonals and trends by exponentially weighted moving averages. </w:t>
      </w:r>
      <w:r>
        <w:rPr>
          <w:rFonts w:ascii="Times New Roman" w:hAnsi="Times New Roman"/>
          <w:i/>
          <w:iCs/>
        </w:rPr>
        <w:t>ONR Memorandum</w:t>
      </w:r>
      <w:r>
        <w:rPr>
          <w:rFonts w:ascii="Times New Roman" w:hAnsi="Times New Roman"/>
        </w:rPr>
        <w:t>, n. 52. Pittsburgh: Carnegie Institute of Technology, 1957.</w:t>
      </w:r>
    </w:p>
    <w:p w14:paraId="33758B0E" w14:textId="77777777" w:rsidR="00B03C6F" w:rsidRDefault="00B03C6F" w:rsidP="002A0750">
      <w:pPr>
        <w:spacing w:after="0" w:line="240" w:lineRule="auto"/>
        <w:jc w:val="both"/>
        <w:rPr>
          <w:rFonts w:ascii="Times New Roman" w:hAnsi="Times New Roman"/>
        </w:rPr>
      </w:pPr>
    </w:p>
    <w:p w14:paraId="1B19DE3A" w14:textId="77777777" w:rsidR="009A55E7" w:rsidRDefault="009A55E7" w:rsidP="002A0750">
      <w:pPr>
        <w:spacing w:after="0" w:line="240" w:lineRule="auto"/>
        <w:jc w:val="both"/>
        <w:rPr>
          <w:rFonts w:ascii="Times New Roman" w:hAnsi="Times New Roman"/>
          <w:lang w:val="pt-BR"/>
        </w:rPr>
      </w:pPr>
      <w:r>
        <w:rPr>
          <w:rFonts w:ascii="Times New Roman" w:hAnsi="Times New Roman"/>
        </w:rPr>
        <w:t xml:space="preserve">HYNDMAN, R. J.; KHANDAKAR, Y. Automatic time series forecasting: the forecast package for R. </w:t>
      </w:r>
      <w:r>
        <w:rPr>
          <w:rFonts w:ascii="Times New Roman" w:hAnsi="Times New Roman"/>
          <w:i/>
          <w:iCs/>
        </w:rPr>
        <w:t>Journal of Statistical Software</w:t>
      </w:r>
      <w:r>
        <w:rPr>
          <w:rFonts w:ascii="Times New Roman" w:hAnsi="Times New Roman"/>
        </w:rPr>
        <w:t xml:space="preserve">, v. 27, n. 3, p. 1-22, 2008. </w:t>
      </w:r>
      <w:r w:rsidRPr="00AD7683">
        <w:rPr>
          <w:rFonts w:ascii="Times New Roman" w:hAnsi="Times New Roman"/>
          <w:lang w:val="pt-BR"/>
        </w:rPr>
        <w:t>DOI: 10.18637/jss.v027.i03.</w:t>
      </w:r>
    </w:p>
    <w:p w14:paraId="3C3B5984" w14:textId="77777777" w:rsidR="00466AEC" w:rsidRDefault="00466AEC" w:rsidP="002A0750">
      <w:pPr>
        <w:spacing w:after="0" w:line="240" w:lineRule="auto"/>
        <w:jc w:val="both"/>
        <w:rPr>
          <w:rFonts w:ascii="Times New Roman" w:hAnsi="Times New Roman"/>
          <w:lang w:val="pt-BR"/>
        </w:rPr>
      </w:pPr>
    </w:p>
    <w:p w14:paraId="613D32F1" w14:textId="77777777" w:rsidR="00466AEC" w:rsidRPr="00466AEC" w:rsidRDefault="00466AEC" w:rsidP="00466AEC">
      <w:pPr>
        <w:spacing w:after="0" w:line="240" w:lineRule="auto"/>
        <w:jc w:val="both"/>
        <w:rPr>
          <w:rFonts w:ascii="Times New Roman" w:hAnsi="Times New Roman"/>
          <w:lang w:val="pt-BR"/>
        </w:rPr>
      </w:pPr>
      <w:r w:rsidRPr="00466AEC">
        <w:rPr>
          <w:rFonts w:ascii="Times New Roman" w:hAnsi="Times New Roman"/>
        </w:rPr>
        <w:t xml:space="preserve">HYNDMAN, R. J.; ATHANASOPOULOS, G. Forecasting: Principles and Practice. </w:t>
      </w:r>
      <w:r w:rsidRPr="00466AEC">
        <w:rPr>
          <w:rFonts w:ascii="Times New Roman" w:hAnsi="Times New Roman"/>
          <w:lang w:val="pt-BR"/>
        </w:rPr>
        <w:t>3. ed.</w:t>
      </w:r>
    </w:p>
    <w:p w14:paraId="03D8316E" w14:textId="77777777" w:rsidR="00466AEC" w:rsidRPr="00466AEC" w:rsidRDefault="00466AEC" w:rsidP="00466AEC">
      <w:pPr>
        <w:spacing w:after="0" w:line="240" w:lineRule="auto"/>
        <w:jc w:val="both"/>
        <w:rPr>
          <w:rFonts w:ascii="Times New Roman" w:hAnsi="Times New Roman"/>
          <w:lang w:val="pt-BR"/>
        </w:rPr>
      </w:pPr>
      <w:r w:rsidRPr="00466AEC">
        <w:rPr>
          <w:rFonts w:ascii="Times New Roman" w:hAnsi="Times New Roman"/>
          <w:lang w:val="pt-BR"/>
        </w:rPr>
        <w:t xml:space="preserve">Melbourne: </w:t>
      </w:r>
      <w:proofErr w:type="spellStart"/>
      <w:r w:rsidRPr="00466AEC">
        <w:rPr>
          <w:rFonts w:ascii="Times New Roman" w:hAnsi="Times New Roman"/>
          <w:lang w:val="pt-BR"/>
        </w:rPr>
        <w:t>OTexts</w:t>
      </w:r>
      <w:proofErr w:type="spellEnd"/>
      <w:r w:rsidRPr="00466AEC">
        <w:rPr>
          <w:rFonts w:ascii="Times New Roman" w:hAnsi="Times New Roman"/>
          <w:lang w:val="pt-BR"/>
        </w:rPr>
        <w:t>, 2021. Disponível em: https://otexts.com/fpp3. Acesso em:</w:t>
      </w:r>
    </w:p>
    <w:p w14:paraId="4EE94A8C" w14:textId="17ECEF54" w:rsidR="00466AEC" w:rsidRPr="00466AEC" w:rsidRDefault="00466AEC" w:rsidP="00466AEC">
      <w:pPr>
        <w:spacing w:after="0" w:line="240" w:lineRule="auto"/>
        <w:jc w:val="both"/>
        <w:rPr>
          <w:rFonts w:ascii="Times New Roman" w:hAnsi="Times New Roman"/>
          <w:lang w:val="pt-BR"/>
        </w:rPr>
      </w:pPr>
      <w:r w:rsidRPr="00466AEC">
        <w:rPr>
          <w:rFonts w:ascii="Times New Roman" w:hAnsi="Times New Roman"/>
          <w:lang w:val="pt-BR"/>
        </w:rPr>
        <w:t>28 maio 2026.</w:t>
      </w:r>
    </w:p>
    <w:p w14:paraId="092BDD07" w14:textId="77777777" w:rsidR="00B03C6F" w:rsidRPr="00AD7683" w:rsidRDefault="00B03C6F" w:rsidP="002A0750">
      <w:pPr>
        <w:spacing w:after="0" w:line="240" w:lineRule="auto"/>
        <w:jc w:val="both"/>
        <w:rPr>
          <w:rFonts w:ascii="Times New Roman" w:hAnsi="Times New Roman"/>
          <w:lang w:val="pt-BR"/>
        </w:rPr>
      </w:pPr>
    </w:p>
    <w:p w14:paraId="7328E51B" w14:textId="77777777" w:rsidR="009A55E7" w:rsidRDefault="009A55E7" w:rsidP="002A0750">
      <w:pPr>
        <w:spacing w:after="0" w:line="240" w:lineRule="auto"/>
        <w:jc w:val="both"/>
        <w:rPr>
          <w:rFonts w:ascii="Times New Roman" w:hAnsi="Times New Roman"/>
          <w:lang w:val="pt-BR"/>
        </w:rPr>
      </w:pPr>
      <w:r w:rsidRPr="009A55E7">
        <w:rPr>
          <w:rFonts w:ascii="Times New Roman" w:hAnsi="Times New Roman"/>
          <w:lang w:val="pt-BR"/>
        </w:rPr>
        <w:t xml:space="preserve">MAPBIOMAS. </w:t>
      </w:r>
      <w:r w:rsidRPr="009A55E7">
        <w:rPr>
          <w:rFonts w:ascii="Times New Roman" w:hAnsi="Times New Roman"/>
          <w:i/>
          <w:iCs/>
          <w:lang w:val="pt-BR"/>
        </w:rPr>
        <w:t>Projeto MapBiomas Água - Coleção 4: mapeamento anual da cobertura de superfície de água no Brasil</w:t>
      </w:r>
      <w:r w:rsidRPr="009A55E7">
        <w:rPr>
          <w:rFonts w:ascii="Times New Roman" w:hAnsi="Times New Roman"/>
          <w:lang w:val="pt-BR"/>
        </w:rPr>
        <w:t>. 2024. Disponível em: mapbiomas.org/agua. Acesso em: 28 maio 2026.</w:t>
      </w:r>
    </w:p>
    <w:p w14:paraId="70F80411" w14:textId="77777777" w:rsidR="00B03C6F" w:rsidRDefault="00B03C6F" w:rsidP="002A0750">
      <w:pPr>
        <w:spacing w:after="0" w:line="240" w:lineRule="auto"/>
        <w:jc w:val="both"/>
        <w:rPr>
          <w:rFonts w:ascii="Times New Roman" w:hAnsi="Times New Roman"/>
          <w:lang w:val="pt-BR"/>
        </w:rPr>
      </w:pPr>
    </w:p>
    <w:p w14:paraId="04054B5B" w14:textId="5A28A2DF" w:rsidR="00B03C6F" w:rsidRPr="009A55E7" w:rsidRDefault="00B03C6F" w:rsidP="00B03C6F">
      <w:pPr>
        <w:rPr>
          <w:rFonts w:ascii="Times New Roman" w:hAnsi="Times New Roman"/>
          <w:lang w:val="pt-BR"/>
        </w:rPr>
      </w:pPr>
      <w:r>
        <w:rPr>
          <w:rFonts w:ascii="Times New Roman" w:hAnsi="Times New Roman"/>
          <w:lang w:val="pt-BR"/>
        </w:rPr>
        <w:t>LUCAS</w:t>
      </w:r>
      <w:r w:rsidRPr="00512B6D">
        <w:rPr>
          <w:rFonts w:ascii="Times New Roman" w:hAnsi="Times New Roman"/>
          <w:lang w:val="pt-BR"/>
        </w:rPr>
        <w:t xml:space="preserve">, </w:t>
      </w:r>
      <w:r>
        <w:rPr>
          <w:rFonts w:ascii="Times New Roman" w:hAnsi="Times New Roman"/>
          <w:lang w:val="pt-BR"/>
        </w:rPr>
        <w:t>EDMUNDO</w:t>
      </w:r>
      <w:r w:rsidRPr="00512B6D">
        <w:rPr>
          <w:rFonts w:ascii="Times New Roman" w:hAnsi="Times New Roman"/>
          <w:lang w:val="pt-BR"/>
        </w:rPr>
        <w:t xml:space="preserve"> &amp; Sousa, Francisco &amp; Daniel, Fabricio &amp; Lucio, Paulo. (2009). Modelagem hidrológica determinística e estocástica aplicada à região hidrográfica do Xingu- Pará. Revista Brasileira de Meteorologia. 24. 308-322. 10.1590/S0102-77862009000300005.</w:t>
      </w:r>
    </w:p>
    <w:p w14:paraId="71C922FB" w14:textId="77777777" w:rsidR="009A55E7" w:rsidRPr="009A55E7" w:rsidRDefault="009A55E7" w:rsidP="002A0750">
      <w:pPr>
        <w:spacing w:after="0" w:line="240" w:lineRule="auto"/>
        <w:jc w:val="both"/>
        <w:rPr>
          <w:rFonts w:ascii="Times New Roman" w:hAnsi="Times New Roman"/>
          <w:lang w:val="pt-BR"/>
        </w:rPr>
      </w:pPr>
      <w:r w:rsidRPr="00AD7683">
        <w:rPr>
          <w:rFonts w:ascii="Times New Roman" w:hAnsi="Times New Roman"/>
          <w:lang w:val="pt-BR"/>
        </w:rPr>
        <w:t xml:space="preserve">R CORE TEAM. </w:t>
      </w:r>
      <w:r>
        <w:rPr>
          <w:rFonts w:ascii="Times New Roman" w:hAnsi="Times New Roman"/>
          <w:i/>
          <w:iCs/>
        </w:rPr>
        <w:t>R: a language and environment for statistical computing</w:t>
      </w:r>
      <w:r>
        <w:rPr>
          <w:rFonts w:ascii="Times New Roman" w:hAnsi="Times New Roman"/>
        </w:rPr>
        <w:t xml:space="preserve">. </w:t>
      </w:r>
      <w:r w:rsidRPr="009A55E7">
        <w:rPr>
          <w:rFonts w:ascii="Times New Roman" w:hAnsi="Times New Roman"/>
          <w:lang w:val="pt-BR"/>
        </w:rPr>
        <w:t>Viena: R Foundation for Statistical Computing, 2025. Disponível em: www.R-project.org/. Acesso em: 28 maio 2026.</w:t>
      </w:r>
    </w:p>
    <w:sectPr w:rsidR="009A55E7" w:rsidRPr="009A55E7" w:rsidSect="00741EEA">
      <w:headerReference w:type="even" r:id="rId13"/>
      <w:head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A7422" w14:textId="77777777" w:rsidR="00F72C00" w:rsidRDefault="00F72C00" w:rsidP="008D1601">
      <w:pPr>
        <w:spacing w:after="0" w:line="240" w:lineRule="auto"/>
      </w:pPr>
      <w:r>
        <w:separator/>
      </w:r>
    </w:p>
  </w:endnote>
  <w:endnote w:type="continuationSeparator" w:id="0">
    <w:p w14:paraId="4274EC46" w14:textId="77777777" w:rsidR="00F72C00" w:rsidRDefault="00F72C00" w:rsidP="008D1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6402652"/>
      <w:docPartObj>
        <w:docPartGallery w:val="Page Numbers (Bottom of Page)"/>
        <w:docPartUnique/>
      </w:docPartObj>
    </w:sdtPr>
    <w:sdtContent>
      <w:p w14:paraId="541F2032" w14:textId="0FC80C36" w:rsidR="00741EEA" w:rsidRDefault="00741EEA">
        <w:pPr>
          <w:pStyle w:val="Rodap"/>
          <w:jc w:val="right"/>
        </w:pPr>
        <w:r w:rsidRPr="00741EEA">
          <w:rPr>
            <w:rFonts w:ascii="Calibri" w:hAnsi="Calibri" w:cs="Calibri"/>
            <w:sz w:val="22"/>
            <w:szCs w:val="22"/>
          </w:rPr>
          <w:fldChar w:fldCharType="begin"/>
        </w:r>
        <w:r w:rsidRPr="00741EEA">
          <w:rPr>
            <w:rFonts w:ascii="Calibri" w:hAnsi="Calibri" w:cs="Calibri"/>
            <w:sz w:val="22"/>
            <w:szCs w:val="22"/>
          </w:rPr>
          <w:instrText>PAGE   \* MERGEFORMAT</w:instrText>
        </w:r>
        <w:r w:rsidRPr="00741EEA">
          <w:rPr>
            <w:rFonts w:ascii="Calibri" w:hAnsi="Calibri" w:cs="Calibri"/>
            <w:sz w:val="22"/>
            <w:szCs w:val="22"/>
          </w:rPr>
          <w:fldChar w:fldCharType="separate"/>
        </w:r>
        <w:r w:rsidRPr="00741EEA">
          <w:rPr>
            <w:rFonts w:ascii="Calibri" w:hAnsi="Calibri" w:cs="Calibri"/>
            <w:sz w:val="22"/>
            <w:szCs w:val="22"/>
            <w:lang w:val="pt-BR"/>
          </w:rPr>
          <w:t>2</w:t>
        </w:r>
        <w:r w:rsidRPr="00741EEA">
          <w:rPr>
            <w:rFonts w:ascii="Calibri" w:hAnsi="Calibri" w:cs="Calibri"/>
            <w:sz w:val="22"/>
            <w:szCs w:val="22"/>
          </w:rPr>
          <w:fldChar w:fldCharType="end"/>
        </w:r>
      </w:p>
    </w:sdtContent>
  </w:sdt>
  <w:p w14:paraId="6F501642" w14:textId="449CF2E5" w:rsidR="00741EEA" w:rsidRPr="00741EEA" w:rsidRDefault="00741EEA">
    <w:pPr>
      <w:pStyle w:val="Rodap"/>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289B8" w14:textId="77777777" w:rsidR="00F72C00" w:rsidRDefault="00F72C00" w:rsidP="008D1601">
      <w:pPr>
        <w:spacing w:after="0" w:line="240" w:lineRule="auto"/>
      </w:pPr>
      <w:r>
        <w:separator/>
      </w:r>
    </w:p>
  </w:footnote>
  <w:footnote w:type="continuationSeparator" w:id="0">
    <w:p w14:paraId="59D3D312" w14:textId="77777777" w:rsidR="00F72C00" w:rsidRDefault="00F72C00" w:rsidP="008D1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3020009"/>
      <w:docPartObj>
        <w:docPartGallery w:val="Page Numbers (Top of Page)"/>
        <w:docPartUnique/>
      </w:docPartObj>
    </w:sdtPr>
    <w:sdtEndPr>
      <w:rPr>
        <w:rFonts w:ascii="Calibri" w:hAnsi="Calibri" w:cs="Calibri"/>
        <w:sz w:val="22"/>
        <w:szCs w:val="22"/>
      </w:rPr>
    </w:sdtEndPr>
    <w:sdtContent>
      <w:p w14:paraId="4E2B2FD3" w14:textId="0742BE3F" w:rsidR="00741EEA" w:rsidRPr="00741EEA" w:rsidRDefault="00741EEA">
        <w:pPr>
          <w:pStyle w:val="Cabealho"/>
          <w:jc w:val="right"/>
          <w:rPr>
            <w:rFonts w:ascii="Calibri" w:hAnsi="Calibri" w:cs="Calibri"/>
            <w:sz w:val="22"/>
            <w:szCs w:val="22"/>
          </w:rPr>
        </w:pPr>
        <w:r w:rsidRPr="00741EEA">
          <w:rPr>
            <w:rFonts w:ascii="Calibri" w:hAnsi="Calibri" w:cs="Calibri"/>
            <w:sz w:val="22"/>
            <w:szCs w:val="22"/>
          </w:rPr>
          <w:fldChar w:fldCharType="begin"/>
        </w:r>
        <w:r w:rsidRPr="00741EEA">
          <w:rPr>
            <w:rFonts w:ascii="Calibri" w:hAnsi="Calibri" w:cs="Calibri"/>
            <w:sz w:val="22"/>
            <w:szCs w:val="22"/>
          </w:rPr>
          <w:instrText>PAGE   \* MERGEFORMAT</w:instrText>
        </w:r>
        <w:r w:rsidRPr="00741EEA">
          <w:rPr>
            <w:rFonts w:ascii="Calibri" w:hAnsi="Calibri" w:cs="Calibri"/>
            <w:sz w:val="22"/>
            <w:szCs w:val="22"/>
          </w:rPr>
          <w:fldChar w:fldCharType="separate"/>
        </w:r>
        <w:r w:rsidRPr="00741EEA">
          <w:rPr>
            <w:rFonts w:ascii="Calibri" w:hAnsi="Calibri" w:cs="Calibri"/>
            <w:sz w:val="22"/>
            <w:szCs w:val="22"/>
            <w:lang w:val="pt-BR"/>
          </w:rPr>
          <w:t>2</w:t>
        </w:r>
        <w:r w:rsidRPr="00741EEA">
          <w:rPr>
            <w:rFonts w:ascii="Calibri" w:hAnsi="Calibri" w:cs="Calibri"/>
            <w:sz w:val="22"/>
            <w:szCs w:val="22"/>
          </w:rPr>
          <w:fldChar w:fldCharType="end"/>
        </w:r>
      </w:p>
    </w:sdtContent>
  </w:sdt>
  <w:p w14:paraId="76D743B9" w14:textId="2E8B87B5" w:rsidR="00741EEA" w:rsidRDefault="00741EE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3622965"/>
      <w:docPartObj>
        <w:docPartGallery w:val="Page Numbers (Top of Page)"/>
        <w:docPartUnique/>
      </w:docPartObj>
    </w:sdtPr>
    <w:sdtContent>
      <w:p w14:paraId="455FAD8E" w14:textId="4B1AD4F6" w:rsidR="00741EEA" w:rsidRDefault="00741EEA">
        <w:pPr>
          <w:pStyle w:val="Cabealho"/>
          <w:jc w:val="right"/>
        </w:pPr>
        <w:r>
          <w:fldChar w:fldCharType="begin"/>
        </w:r>
        <w:r>
          <w:instrText>PAGE   \* MERGEFORMAT</w:instrText>
        </w:r>
        <w:r>
          <w:fldChar w:fldCharType="separate"/>
        </w:r>
        <w:r>
          <w:rPr>
            <w:lang w:val="pt-BR"/>
          </w:rPr>
          <w:t>2</w:t>
        </w:r>
        <w:r>
          <w:fldChar w:fldCharType="end"/>
        </w:r>
      </w:p>
    </w:sdtContent>
  </w:sdt>
  <w:p w14:paraId="451CD60D" w14:textId="17FC4E97" w:rsidR="00741EEA" w:rsidRDefault="00741EEA">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9071" w:type="dxa"/>
      <w:tblLayout w:type="fixed"/>
      <w:tblCellMar>
        <w:left w:w="28" w:type="dxa"/>
        <w:right w:w="28" w:type="dxa"/>
      </w:tblCellMar>
      <w:tblLook w:val="04A0" w:firstRow="1" w:lastRow="0" w:firstColumn="1" w:lastColumn="0" w:noHBand="0" w:noVBand="1"/>
    </w:tblPr>
    <w:tblGrid>
      <w:gridCol w:w="1376"/>
      <w:gridCol w:w="5177"/>
      <w:gridCol w:w="2518"/>
    </w:tblGrid>
    <w:tr w:rsidR="008D1601" w14:paraId="2D9A6AE3" w14:textId="77777777" w:rsidTr="00D94B56">
      <w:tc>
        <w:tcPr>
          <w:tcW w:w="1376" w:type="dxa"/>
          <w:tcBorders>
            <w:top w:val="nil"/>
            <w:left w:val="nil"/>
            <w:right w:val="nil"/>
          </w:tcBorders>
          <w:vAlign w:val="center"/>
        </w:tcPr>
        <w:p w14:paraId="30BEA556" w14:textId="77777777" w:rsidR="008D1601" w:rsidRDefault="008D1601" w:rsidP="008D1601">
          <w:pPr>
            <w:pStyle w:val="Cabealho"/>
            <w:jc w:val="center"/>
          </w:pPr>
          <w:r>
            <w:rPr>
              <w:noProof/>
            </w:rPr>
            <w:drawing>
              <wp:inline distT="0" distB="0" distL="0" distR="0" wp14:anchorId="180358D0" wp14:editId="5372EEF1">
                <wp:extent cx="839470" cy="828040"/>
                <wp:effectExtent l="0" t="0" r="0" b="0"/>
                <wp:docPr id="11" name="Imagem 11" descr="Desenho de personagem de desenho animad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Desenho de personagem de desenho animado&#10;&#10;Descrição gerada automaticamente com confiança baixa"/>
                        <pic:cNvPicPr>
                          <a:picLocks noChangeAspect="1" noChangeArrowheads="1"/>
                        </pic:cNvPicPr>
                      </pic:nvPicPr>
                      <pic:blipFill>
                        <a:blip r:embed="rId1"/>
                        <a:stretch>
                          <a:fillRect/>
                        </a:stretch>
                      </pic:blipFill>
                      <pic:spPr bwMode="auto">
                        <a:xfrm>
                          <a:off x="0" y="0"/>
                          <a:ext cx="839470" cy="828040"/>
                        </a:xfrm>
                        <a:prstGeom prst="rect">
                          <a:avLst/>
                        </a:prstGeom>
                      </pic:spPr>
                    </pic:pic>
                  </a:graphicData>
                </a:graphic>
              </wp:inline>
            </w:drawing>
          </w:r>
        </w:p>
      </w:tc>
      <w:tc>
        <w:tcPr>
          <w:tcW w:w="5177" w:type="dxa"/>
          <w:tcBorders>
            <w:top w:val="nil"/>
            <w:left w:val="nil"/>
            <w:right w:val="nil"/>
          </w:tcBorders>
        </w:tcPr>
        <w:p w14:paraId="1CD9980E" w14:textId="77777777" w:rsidR="008D1601" w:rsidRPr="008D1601" w:rsidRDefault="008D1601" w:rsidP="008D1601">
          <w:pPr>
            <w:pStyle w:val="Cabealho"/>
            <w:rPr>
              <w:lang w:val="pt-BR"/>
            </w:rPr>
          </w:pPr>
          <w:r w:rsidRPr="008D1601">
            <w:rPr>
              <w:lang w:val="pt-BR"/>
            </w:rPr>
            <w:t>Ministério da Educação</w:t>
          </w:r>
        </w:p>
        <w:p w14:paraId="62AB1352" w14:textId="77777777" w:rsidR="008D1601" w:rsidRPr="008D1601" w:rsidRDefault="008D1601" w:rsidP="008D1601">
          <w:pPr>
            <w:pStyle w:val="Cabealho"/>
            <w:rPr>
              <w:lang w:val="pt-BR"/>
            </w:rPr>
          </w:pPr>
          <w:r w:rsidRPr="008D1601">
            <w:rPr>
              <w:lang w:val="pt-BR"/>
            </w:rPr>
            <w:t>Universidade Tecnológica Federal do Paraná</w:t>
          </w:r>
        </w:p>
        <w:p w14:paraId="58112082" w14:textId="77777777" w:rsidR="008D1601" w:rsidRPr="008D1601" w:rsidRDefault="008D1601" w:rsidP="008D1601">
          <w:pPr>
            <w:pStyle w:val="Cabealho"/>
            <w:rPr>
              <w:lang w:val="pt-BR"/>
            </w:rPr>
          </w:pPr>
          <w:r w:rsidRPr="008D1601">
            <w:rPr>
              <w:i/>
              <w:iCs/>
              <w:lang w:val="pt-BR"/>
            </w:rPr>
            <w:t>Campus</w:t>
          </w:r>
          <w:r w:rsidRPr="008D1601">
            <w:rPr>
              <w:lang w:val="pt-BR"/>
            </w:rPr>
            <w:t xml:space="preserve"> Francisco Beltrão</w:t>
          </w:r>
        </w:p>
        <w:p w14:paraId="2418EE66" w14:textId="77777777" w:rsidR="008D1601" w:rsidRPr="008D1601" w:rsidRDefault="008D1601" w:rsidP="008D1601">
          <w:pPr>
            <w:pStyle w:val="Cabealho"/>
            <w:rPr>
              <w:lang w:val="pt-BR"/>
            </w:rPr>
          </w:pPr>
          <w:r w:rsidRPr="008D1601">
            <w:rPr>
              <w:lang w:val="pt-BR"/>
            </w:rPr>
            <w:t>Especialização em Métodos Matemáticos Aplicados</w:t>
          </w:r>
        </w:p>
        <w:p w14:paraId="6B7E8A5B" w14:textId="77777777" w:rsidR="008D1601" w:rsidRDefault="008D1601" w:rsidP="008D1601">
          <w:pPr>
            <w:pStyle w:val="Cabealho"/>
          </w:pPr>
          <w:proofErr w:type="spellStart"/>
          <w:r>
            <w:t>Séries</w:t>
          </w:r>
          <w:proofErr w:type="spellEnd"/>
          <w:r>
            <w:t xml:space="preserve"> </w:t>
          </w:r>
          <w:proofErr w:type="spellStart"/>
          <w:r>
            <w:t>Temporais</w:t>
          </w:r>
          <w:proofErr w:type="spellEnd"/>
        </w:p>
      </w:tc>
      <w:tc>
        <w:tcPr>
          <w:tcW w:w="2518" w:type="dxa"/>
          <w:tcBorders>
            <w:top w:val="nil"/>
            <w:left w:val="nil"/>
            <w:right w:val="nil"/>
          </w:tcBorders>
          <w:vAlign w:val="center"/>
        </w:tcPr>
        <w:p w14:paraId="708EB3F3" w14:textId="77777777" w:rsidR="008D1601" w:rsidRDefault="008D1601" w:rsidP="008D1601">
          <w:pPr>
            <w:pStyle w:val="Cabealho"/>
            <w:jc w:val="center"/>
          </w:pPr>
          <w:r>
            <w:rPr>
              <w:noProof/>
            </w:rPr>
            <w:drawing>
              <wp:inline distT="0" distB="0" distL="0" distR="0" wp14:anchorId="7B45630C" wp14:editId="2FF5B8D9">
                <wp:extent cx="1562100" cy="828040"/>
                <wp:effectExtent l="0" t="0" r="0" b="0"/>
                <wp:docPr id="12" name="Imagem 12"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10;&#10;Descrição gerada automaticamente"/>
                        <pic:cNvPicPr>
                          <a:picLocks noChangeAspect="1" noChangeArrowheads="1"/>
                        </pic:cNvPicPr>
                      </pic:nvPicPr>
                      <pic:blipFill>
                        <a:blip r:embed="rId2"/>
                        <a:stretch>
                          <a:fillRect/>
                        </a:stretch>
                      </pic:blipFill>
                      <pic:spPr bwMode="auto">
                        <a:xfrm>
                          <a:off x="0" y="0"/>
                          <a:ext cx="1562100" cy="828040"/>
                        </a:xfrm>
                        <a:prstGeom prst="rect">
                          <a:avLst/>
                        </a:prstGeom>
                      </pic:spPr>
                    </pic:pic>
                  </a:graphicData>
                </a:graphic>
              </wp:inline>
            </w:drawing>
          </w:r>
        </w:p>
      </w:tc>
    </w:tr>
  </w:tbl>
  <w:p w14:paraId="364A6E5E" w14:textId="77777777" w:rsidR="008D1601" w:rsidRDefault="008D160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D35990"/>
    <w:multiLevelType w:val="hybridMultilevel"/>
    <w:tmpl w:val="85F6BF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46534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F3B"/>
    <w:rsid w:val="0001071F"/>
    <w:rsid w:val="000662D0"/>
    <w:rsid w:val="000778A0"/>
    <w:rsid w:val="001462AD"/>
    <w:rsid w:val="001B4C0D"/>
    <w:rsid w:val="001B5EA8"/>
    <w:rsid w:val="001D5291"/>
    <w:rsid w:val="00221C42"/>
    <w:rsid w:val="002A0750"/>
    <w:rsid w:val="00302255"/>
    <w:rsid w:val="00320CD6"/>
    <w:rsid w:val="003F0F3B"/>
    <w:rsid w:val="00466AEC"/>
    <w:rsid w:val="00512B6D"/>
    <w:rsid w:val="00580B64"/>
    <w:rsid w:val="00587DA3"/>
    <w:rsid w:val="005C2A41"/>
    <w:rsid w:val="005D0EB3"/>
    <w:rsid w:val="005E14A5"/>
    <w:rsid w:val="00667607"/>
    <w:rsid w:val="00714AD6"/>
    <w:rsid w:val="00741EEA"/>
    <w:rsid w:val="00845897"/>
    <w:rsid w:val="008544C0"/>
    <w:rsid w:val="008B3DC0"/>
    <w:rsid w:val="008D1601"/>
    <w:rsid w:val="00924A3F"/>
    <w:rsid w:val="00995359"/>
    <w:rsid w:val="009A55E7"/>
    <w:rsid w:val="00A57478"/>
    <w:rsid w:val="00A62346"/>
    <w:rsid w:val="00A94CA1"/>
    <w:rsid w:val="00AA1DA8"/>
    <w:rsid w:val="00AD7683"/>
    <w:rsid w:val="00AF6DBA"/>
    <w:rsid w:val="00B03C6F"/>
    <w:rsid w:val="00B53AF1"/>
    <w:rsid w:val="00BC36C0"/>
    <w:rsid w:val="00C2053B"/>
    <w:rsid w:val="00C6126F"/>
    <w:rsid w:val="00CD54AE"/>
    <w:rsid w:val="00CF13D0"/>
    <w:rsid w:val="00D160A9"/>
    <w:rsid w:val="00D6499C"/>
    <w:rsid w:val="00F17C25"/>
    <w:rsid w:val="00F72C00"/>
    <w:rsid w:val="00FC0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296A5"/>
  <w15:chartTrackingRefBased/>
  <w15:docId w15:val="{6B3D1700-8E10-4CFE-8DAD-0FC5CF9A9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4C0"/>
  </w:style>
  <w:style w:type="paragraph" w:styleId="Ttulo1">
    <w:name w:val="heading 1"/>
    <w:basedOn w:val="Normal"/>
    <w:next w:val="Normal"/>
    <w:link w:val="Ttulo1Char"/>
    <w:uiPriority w:val="9"/>
    <w:qFormat/>
    <w:rsid w:val="003F0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3F0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F0F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F0F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F0F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F0F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F0F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F0F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F0F3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F0F3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F0F3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F0F3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F0F3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F0F3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F0F3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F0F3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F0F3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F0F3B"/>
    <w:rPr>
      <w:rFonts w:eastAsiaTheme="majorEastAsia" w:cstheme="majorBidi"/>
      <w:color w:val="272727" w:themeColor="text1" w:themeTint="D8"/>
    </w:rPr>
  </w:style>
  <w:style w:type="paragraph" w:styleId="Ttulo">
    <w:name w:val="Title"/>
    <w:basedOn w:val="Normal"/>
    <w:next w:val="Normal"/>
    <w:link w:val="TtuloChar"/>
    <w:uiPriority w:val="10"/>
    <w:qFormat/>
    <w:rsid w:val="003F0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F0F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F0F3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F0F3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F0F3B"/>
    <w:pPr>
      <w:spacing w:before="160"/>
      <w:jc w:val="center"/>
    </w:pPr>
    <w:rPr>
      <w:i/>
      <w:iCs/>
      <w:color w:val="404040" w:themeColor="text1" w:themeTint="BF"/>
    </w:rPr>
  </w:style>
  <w:style w:type="character" w:customStyle="1" w:styleId="CitaoChar">
    <w:name w:val="Citação Char"/>
    <w:basedOn w:val="Fontepargpadro"/>
    <w:link w:val="Citao"/>
    <w:uiPriority w:val="29"/>
    <w:rsid w:val="003F0F3B"/>
    <w:rPr>
      <w:i/>
      <w:iCs/>
      <w:color w:val="404040" w:themeColor="text1" w:themeTint="BF"/>
    </w:rPr>
  </w:style>
  <w:style w:type="paragraph" w:styleId="PargrafodaLista">
    <w:name w:val="List Paragraph"/>
    <w:basedOn w:val="Normal"/>
    <w:uiPriority w:val="34"/>
    <w:qFormat/>
    <w:rsid w:val="003F0F3B"/>
    <w:pPr>
      <w:ind w:left="720"/>
      <w:contextualSpacing/>
    </w:pPr>
  </w:style>
  <w:style w:type="character" w:styleId="nfaseIntensa">
    <w:name w:val="Intense Emphasis"/>
    <w:basedOn w:val="Fontepargpadro"/>
    <w:uiPriority w:val="21"/>
    <w:qFormat/>
    <w:rsid w:val="003F0F3B"/>
    <w:rPr>
      <w:i/>
      <w:iCs/>
      <w:color w:val="0F4761" w:themeColor="accent1" w:themeShade="BF"/>
    </w:rPr>
  </w:style>
  <w:style w:type="paragraph" w:styleId="CitaoIntensa">
    <w:name w:val="Intense Quote"/>
    <w:basedOn w:val="Normal"/>
    <w:next w:val="Normal"/>
    <w:link w:val="CitaoIntensaChar"/>
    <w:uiPriority w:val="30"/>
    <w:qFormat/>
    <w:rsid w:val="003F0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F0F3B"/>
    <w:rPr>
      <w:i/>
      <w:iCs/>
      <w:color w:val="0F4761" w:themeColor="accent1" w:themeShade="BF"/>
    </w:rPr>
  </w:style>
  <w:style w:type="character" w:styleId="RefernciaIntensa">
    <w:name w:val="Intense Reference"/>
    <w:basedOn w:val="Fontepargpadro"/>
    <w:uiPriority w:val="32"/>
    <w:qFormat/>
    <w:rsid w:val="003F0F3B"/>
    <w:rPr>
      <w:b/>
      <w:bCs/>
      <w:smallCaps/>
      <w:color w:val="0F4761" w:themeColor="accent1" w:themeShade="BF"/>
      <w:spacing w:val="5"/>
    </w:rPr>
  </w:style>
  <w:style w:type="paragraph" w:styleId="Legenda">
    <w:name w:val="caption"/>
    <w:basedOn w:val="Normal"/>
    <w:next w:val="Normal"/>
    <w:uiPriority w:val="35"/>
    <w:semiHidden/>
    <w:unhideWhenUsed/>
    <w:qFormat/>
    <w:rsid w:val="00AD7683"/>
    <w:pPr>
      <w:spacing w:after="200" w:line="240" w:lineRule="auto"/>
    </w:pPr>
    <w:rPr>
      <w:i/>
      <w:iCs/>
      <w:color w:val="0E2841" w:themeColor="text2"/>
      <w:sz w:val="18"/>
      <w:szCs w:val="18"/>
    </w:rPr>
  </w:style>
  <w:style w:type="character" w:styleId="TextodoEspaoReservado">
    <w:name w:val="Placeholder Text"/>
    <w:basedOn w:val="Fontepargpadro"/>
    <w:uiPriority w:val="99"/>
    <w:semiHidden/>
    <w:rsid w:val="00BC36C0"/>
    <w:rPr>
      <w:color w:val="666666"/>
    </w:rPr>
  </w:style>
  <w:style w:type="character" w:styleId="Hyperlink">
    <w:name w:val="Hyperlink"/>
    <w:basedOn w:val="Fontepargpadro"/>
    <w:uiPriority w:val="99"/>
    <w:unhideWhenUsed/>
    <w:rsid w:val="00B03C6F"/>
    <w:rPr>
      <w:color w:val="467886" w:themeColor="hyperlink"/>
      <w:u w:val="single"/>
    </w:rPr>
  </w:style>
  <w:style w:type="character" w:styleId="MenoPendente">
    <w:name w:val="Unresolved Mention"/>
    <w:basedOn w:val="Fontepargpadro"/>
    <w:uiPriority w:val="99"/>
    <w:semiHidden/>
    <w:unhideWhenUsed/>
    <w:rsid w:val="00B03C6F"/>
    <w:rPr>
      <w:color w:val="605E5C"/>
      <w:shd w:val="clear" w:color="auto" w:fill="E1DFDD"/>
    </w:rPr>
  </w:style>
  <w:style w:type="paragraph" w:styleId="Cabealho">
    <w:name w:val="header"/>
    <w:basedOn w:val="Normal"/>
    <w:link w:val="CabealhoChar"/>
    <w:uiPriority w:val="99"/>
    <w:unhideWhenUsed/>
    <w:rsid w:val="008D1601"/>
    <w:pPr>
      <w:tabs>
        <w:tab w:val="center" w:pos="4252"/>
        <w:tab w:val="right" w:pos="8504"/>
      </w:tabs>
      <w:spacing w:after="0" w:line="240" w:lineRule="auto"/>
    </w:pPr>
  </w:style>
  <w:style w:type="character" w:customStyle="1" w:styleId="CabealhoChar">
    <w:name w:val="Cabeçalho Char"/>
    <w:basedOn w:val="Fontepargpadro"/>
    <w:link w:val="Cabealho"/>
    <w:uiPriority w:val="99"/>
    <w:qFormat/>
    <w:rsid w:val="008D1601"/>
  </w:style>
  <w:style w:type="paragraph" w:styleId="Rodap">
    <w:name w:val="footer"/>
    <w:basedOn w:val="Normal"/>
    <w:link w:val="RodapChar"/>
    <w:uiPriority w:val="99"/>
    <w:unhideWhenUsed/>
    <w:rsid w:val="008D1601"/>
    <w:pPr>
      <w:tabs>
        <w:tab w:val="center" w:pos="4252"/>
        <w:tab w:val="right" w:pos="8504"/>
      </w:tabs>
      <w:spacing w:after="0" w:line="240" w:lineRule="auto"/>
    </w:pPr>
  </w:style>
  <w:style w:type="character" w:customStyle="1" w:styleId="RodapChar">
    <w:name w:val="Rodapé Char"/>
    <w:basedOn w:val="Fontepargpadro"/>
    <w:link w:val="Rodap"/>
    <w:uiPriority w:val="99"/>
    <w:rsid w:val="008D1601"/>
  </w:style>
  <w:style w:type="table" w:styleId="Tabelacomgrade">
    <w:name w:val="Table Grid"/>
    <w:basedOn w:val="Tabelanormal"/>
    <w:uiPriority w:val="39"/>
    <w:rsid w:val="008D1601"/>
    <w:pPr>
      <w:suppressAutoHyphens/>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329882">
      <w:bodyDiv w:val="1"/>
      <w:marLeft w:val="0"/>
      <w:marRight w:val="0"/>
      <w:marTop w:val="0"/>
      <w:marBottom w:val="0"/>
      <w:divBdr>
        <w:top w:val="none" w:sz="0" w:space="0" w:color="auto"/>
        <w:left w:val="none" w:sz="0" w:space="0" w:color="auto"/>
        <w:bottom w:val="none" w:sz="0" w:space="0" w:color="auto"/>
        <w:right w:val="none" w:sz="0" w:space="0" w:color="auto"/>
      </w:divBdr>
      <w:divsChild>
        <w:div w:id="791827296">
          <w:marLeft w:val="0"/>
          <w:marRight w:val="0"/>
          <w:marTop w:val="0"/>
          <w:marBottom w:val="0"/>
          <w:divBdr>
            <w:top w:val="none" w:sz="0" w:space="0" w:color="auto"/>
            <w:left w:val="none" w:sz="0" w:space="0" w:color="auto"/>
            <w:bottom w:val="none" w:sz="0" w:space="0" w:color="auto"/>
            <w:right w:val="none" w:sz="0" w:space="0" w:color="auto"/>
          </w:divBdr>
          <w:divsChild>
            <w:div w:id="120036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10098">
      <w:bodyDiv w:val="1"/>
      <w:marLeft w:val="0"/>
      <w:marRight w:val="0"/>
      <w:marTop w:val="0"/>
      <w:marBottom w:val="0"/>
      <w:divBdr>
        <w:top w:val="none" w:sz="0" w:space="0" w:color="auto"/>
        <w:left w:val="none" w:sz="0" w:space="0" w:color="auto"/>
        <w:bottom w:val="none" w:sz="0" w:space="0" w:color="auto"/>
        <w:right w:val="none" w:sz="0" w:space="0" w:color="auto"/>
      </w:divBdr>
      <w:divsChild>
        <w:div w:id="243878478">
          <w:marLeft w:val="0"/>
          <w:marRight w:val="0"/>
          <w:marTop w:val="0"/>
          <w:marBottom w:val="0"/>
          <w:divBdr>
            <w:top w:val="none" w:sz="0" w:space="0" w:color="auto"/>
            <w:left w:val="none" w:sz="0" w:space="0" w:color="auto"/>
            <w:bottom w:val="none" w:sz="0" w:space="0" w:color="auto"/>
            <w:right w:val="none" w:sz="0" w:space="0" w:color="auto"/>
          </w:divBdr>
          <w:divsChild>
            <w:div w:id="24853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68559">
      <w:bodyDiv w:val="1"/>
      <w:marLeft w:val="0"/>
      <w:marRight w:val="0"/>
      <w:marTop w:val="0"/>
      <w:marBottom w:val="0"/>
      <w:divBdr>
        <w:top w:val="none" w:sz="0" w:space="0" w:color="auto"/>
        <w:left w:val="none" w:sz="0" w:space="0" w:color="auto"/>
        <w:bottom w:val="none" w:sz="0" w:space="0" w:color="auto"/>
        <w:right w:val="none" w:sz="0" w:space="0" w:color="auto"/>
      </w:divBdr>
      <w:divsChild>
        <w:div w:id="1690445926">
          <w:marLeft w:val="0"/>
          <w:marRight w:val="0"/>
          <w:marTop w:val="0"/>
          <w:marBottom w:val="0"/>
          <w:divBdr>
            <w:top w:val="none" w:sz="0" w:space="0" w:color="auto"/>
            <w:left w:val="none" w:sz="0" w:space="0" w:color="auto"/>
            <w:bottom w:val="none" w:sz="0" w:space="0" w:color="auto"/>
            <w:right w:val="none" w:sz="0" w:space="0" w:color="auto"/>
          </w:divBdr>
          <w:divsChild>
            <w:div w:id="24315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281090">
      <w:bodyDiv w:val="1"/>
      <w:marLeft w:val="0"/>
      <w:marRight w:val="0"/>
      <w:marTop w:val="0"/>
      <w:marBottom w:val="0"/>
      <w:divBdr>
        <w:top w:val="none" w:sz="0" w:space="0" w:color="auto"/>
        <w:left w:val="none" w:sz="0" w:space="0" w:color="auto"/>
        <w:bottom w:val="none" w:sz="0" w:space="0" w:color="auto"/>
        <w:right w:val="none" w:sz="0" w:space="0" w:color="auto"/>
      </w:divBdr>
      <w:divsChild>
        <w:div w:id="155652446">
          <w:marLeft w:val="0"/>
          <w:marRight w:val="0"/>
          <w:marTop w:val="0"/>
          <w:marBottom w:val="0"/>
          <w:divBdr>
            <w:top w:val="none" w:sz="0" w:space="0" w:color="auto"/>
            <w:left w:val="none" w:sz="0" w:space="0" w:color="auto"/>
            <w:bottom w:val="none" w:sz="0" w:space="0" w:color="auto"/>
            <w:right w:val="none" w:sz="0" w:space="0" w:color="auto"/>
          </w:divBdr>
          <w:divsChild>
            <w:div w:id="4299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525706">
      <w:bodyDiv w:val="1"/>
      <w:marLeft w:val="0"/>
      <w:marRight w:val="0"/>
      <w:marTop w:val="0"/>
      <w:marBottom w:val="0"/>
      <w:divBdr>
        <w:top w:val="none" w:sz="0" w:space="0" w:color="auto"/>
        <w:left w:val="none" w:sz="0" w:space="0" w:color="auto"/>
        <w:bottom w:val="none" w:sz="0" w:space="0" w:color="auto"/>
        <w:right w:val="none" w:sz="0" w:space="0" w:color="auto"/>
      </w:divBdr>
      <w:divsChild>
        <w:div w:id="1361857988">
          <w:marLeft w:val="0"/>
          <w:marRight w:val="0"/>
          <w:marTop w:val="0"/>
          <w:marBottom w:val="0"/>
          <w:divBdr>
            <w:top w:val="none" w:sz="0" w:space="0" w:color="auto"/>
            <w:left w:val="none" w:sz="0" w:space="0" w:color="auto"/>
            <w:bottom w:val="none" w:sz="0" w:space="0" w:color="auto"/>
            <w:right w:val="none" w:sz="0" w:space="0" w:color="auto"/>
          </w:divBdr>
          <w:divsChild>
            <w:div w:id="157307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68094">
      <w:bodyDiv w:val="1"/>
      <w:marLeft w:val="0"/>
      <w:marRight w:val="0"/>
      <w:marTop w:val="0"/>
      <w:marBottom w:val="0"/>
      <w:divBdr>
        <w:top w:val="none" w:sz="0" w:space="0" w:color="auto"/>
        <w:left w:val="none" w:sz="0" w:space="0" w:color="auto"/>
        <w:bottom w:val="none" w:sz="0" w:space="0" w:color="auto"/>
        <w:right w:val="none" w:sz="0" w:space="0" w:color="auto"/>
      </w:divBdr>
      <w:divsChild>
        <w:div w:id="389495731">
          <w:marLeft w:val="0"/>
          <w:marRight w:val="0"/>
          <w:marTop w:val="0"/>
          <w:marBottom w:val="0"/>
          <w:divBdr>
            <w:top w:val="none" w:sz="0" w:space="0" w:color="auto"/>
            <w:left w:val="none" w:sz="0" w:space="0" w:color="auto"/>
            <w:bottom w:val="none" w:sz="0" w:space="0" w:color="auto"/>
            <w:right w:val="none" w:sz="0" w:space="0" w:color="auto"/>
          </w:divBdr>
          <w:divsChild>
            <w:div w:id="15966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55761/abclima.v36i21.1888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12</Pages>
  <Words>2443</Words>
  <Characters>13194</Characters>
  <Application>Microsoft Office Word</Application>
  <DocSecurity>0</DocSecurity>
  <Lines>109</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Braga, Ettore Gabriel</dc:creator>
  <cp:keywords/>
  <dc:description/>
  <cp:lastModifiedBy>Ettore Reis</cp:lastModifiedBy>
  <cp:revision>37</cp:revision>
  <dcterms:created xsi:type="dcterms:W3CDTF">2026-05-29T20:50:00Z</dcterms:created>
  <dcterms:modified xsi:type="dcterms:W3CDTF">2026-05-31T21:32:00Z</dcterms:modified>
</cp:coreProperties>
</file>