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Rapporto di Due Diligence Architetturale e Strategica: Validazione del Modello Video Analytics Edge-Native per il Settore Retail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L'analisi che segue fornisce una decostruzione sistematica del panorama competitivo e normativo nel settore della Computer Vision applicata al retail, con un focus specifico sulle verticali di Video Analytics e Loss Prevention comportamentale. L'impianto valutativo è strutturato per validare la solidità di un'architettura B2B orientata al mercato dell'Unione Europea, fondata su tre pilastri ingegneristici e commerciali rigorosi: adozione del paradigma </w:t>
      </w:r>
      <w:r w:rsidDel="00000000" w:rsidR="00000000" w:rsidRPr="00000000">
        <w:rPr>
          <w:rFonts w:ascii="Arial" w:cs="Arial" w:eastAsia="Arial" w:hAnsi="Arial"/>
          <w:i w:val="1"/>
          <w:iCs w:val="1"/>
          <w:rtl w:val="0"/>
        </w:rPr>
        <w:t xml:space="preserve">Privacy-by-Design</w:t>
      </w:r>
      <w:r w:rsidDel="00000000" w:rsidR="00000000" w:rsidRPr="00000000">
        <w:rPr>
          <w:rFonts w:ascii="Arial" w:cs="Arial" w:eastAsia="Arial" w:hAnsi="Arial"/>
          <w:rtl w:val="0"/>
        </w:rPr>
        <w:t xml:space="preserve"> assoluto (esclusione nativa di vettori biometrici), abbattimento strutturale dei costi di capitale (CAPEX) tramite l'ingestione di flussi da telecamere IP legacy (assenza di hardware proprietario), ed elaborazione dei flussi video esclusivamente in architettura </w:t>
      </w:r>
      <w:r w:rsidDel="00000000" w:rsidR="00000000" w:rsidRPr="00000000">
        <w:rPr>
          <w:rFonts w:ascii="Arial" w:cs="Arial" w:eastAsia="Arial" w:hAnsi="Arial"/>
          <w:i w:val="1"/>
          <w:iCs w:val="1"/>
          <w:rtl w:val="0"/>
        </w:rPr>
        <w:t xml:space="preserve">Edge</w:t>
      </w:r>
      <w:r w:rsidDel="00000000" w:rsidR="00000000" w:rsidRPr="00000000">
        <w:rPr>
          <w:rFonts w:ascii="Arial" w:cs="Arial" w:eastAsia="Arial" w:hAnsi="Arial"/>
          <w:rtl w:val="0"/>
        </w:rPr>
        <w:t xml:space="preserve"> con distruzione immediata dei frame in RAM. La convergenza tra i fallimenti finanziari dei modelli ad alta intensità di capitale, le restrizioni draconiane introdotte dall'AI Act europeo e le innovazioni derivanti dal Deep-Tech militare e sanitario offre un'opportunità asimmetrica per dominare il segmento mid-market.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MODULO 1: DECOSTRUZIONE DEI COMPETITOR DIRETTI (GRUPPO 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mercato globale della Computer Vision per il retail si è frammentato in tre macro-ecosistemi geografici, ciascuno caratterizzato da un approccio diametralmente opposto in termini di architettura hardware, strategie di monetizzazione e tolleranza al rischio normativo. L'analisi del Gruppo A rivela come le scelte di progettazione ingegneristica siano inestricabilmente legate alle dinamiche di allocazione del capitale e al focus applicativo.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L'ecosistema nordamericano, rappresentato da player storici e scale-up come RetailNext, Standard AI, Everseen e Solink, ha storicamente privilegiato modelli architetturali ad alta complessità e forte intensità di capitale. La strategia di monetizzazione predominante è l'Hardware-enabled SaaS, un modello che genera entrate ricorrenti ma impone un onere infrastrutturale massiccio nella fase di attivazione. In questo paradigma, il costo CAPEX dell'elaborazione locale, costituito da server rack installati nel back-office del punto vendita, cablaggi strutturati e, in molti casi, sensori ottici dedicati, viene interamente assorbito dal retailer. Aziende come RetailNext e, nella sua iterazione originaria, Standard AI, hanno imposto l'installazione di hardware proprietario, includendo sensori stereoscopici a soffitto, telecamere ad altissima risoluzione e array di calcolo locale profondamente invasivi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Solink ed Everseen mostrano un approccio leggermente più ibrido, collegandosi ai Video Management System (VMS) esistenti, ma richiedono comunque bridge hardware on-premise per l'estrazione e l'invio continuo dei dati al cloud, saturando frequentemente la banda passante del punto vendita. Sotto il profilo del focus di mercato, il blocco statunitense appare frammentato: mentre RetailNext e Standard AI si sono storicamente concentrate sull'aumento delle conversioni, l'analisi dello </w:t>
      </w:r>
      <w:r w:rsidDel="00000000" w:rsidR="00000000" w:rsidRPr="00000000">
        <w:rPr>
          <w:rFonts w:ascii="Arial" w:cs="Arial" w:eastAsia="Arial" w:hAnsi="Arial"/>
          <w:i w:val="1"/>
          <w:iCs w:val="1"/>
          <w:rtl w:val="0"/>
        </w:rPr>
        <w:t xml:space="preserve">shopper journey</w:t>
      </w:r>
      <w:r w:rsidDel="00000000" w:rsidR="00000000" w:rsidRPr="00000000">
        <w:rPr>
          <w:rFonts w:ascii="Arial" w:cs="Arial" w:eastAsia="Arial" w:hAnsi="Arial"/>
          <w:rtl w:val="0"/>
        </w:rPr>
        <w:t xml:space="preserve"> e le metriche di marketing, player come Everseen e Solink si sono specializzati verticalmente nella Loss Prevention, integrandovi l'analisi telemetrica delle transazioni POS per identificare frodi alla cassa o mancate scansioni.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Sul fronte opposto, i colossi asiatici, dominati dai "Quattro Dragoni dell'AI" (tra cui SenseTime e Megvii) e dai giganti della manifattura ottica come Hikvision, operano in un contesto macroeconomico e normativo in cui il diritto alla privacy è strutturalmente subordinato alle logiche di sicurezza statale e controllo sociale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Il loro modello di business si fonda sulla fornitura di infrastrutture complete a costi unitari marginali irrisori, un vantaggio competitivo drogato dai massicci sussidi governativi e da economie di scala inarrivabili</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Il CAPEX risulta minimo per l'acquirente finale poiché l'hardware, composto da telecamere AI-enabled di ultima generazione, viene distribuito quasi come </w:t>
      </w:r>
      <w:r w:rsidDel="00000000" w:rsidR="00000000" w:rsidRPr="00000000">
        <w:rPr>
          <w:rFonts w:ascii="Arial" w:cs="Arial" w:eastAsia="Arial" w:hAnsi="Arial"/>
          <w:i w:val="1"/>
          <w:iCs w:val="1"/>
          <w:rtl w:val="0"/>
        </w:rPr>
        <w:t xml:space="preserve">commodity</w:t>
      </w:r>
      <w:r w:rsidDel="00000000" w:rsidR="00000000" w:rsidRPr="00000000">
        <w:rPr>
          <w:rFonts w:ascii="Arial" w:cs="Arial" w:eastAsia="Arial" w:hAnsi="Arial"/>
          <w:rtl w:val="0"/>
        </w:rPr>
        <w:t xml:space="preserve">, mentre il valore viene estratto attraverso contratti software a lungo termine. L'approccio hardware è caratterizzato da un lock-in assoluto: Hikvision, ad esempio, integra acceleratori neurali direttamente a bordo camera (Edge-AI nativo), ma obbliga il retailer a sostituire integralmente l'infrastruttura preesistente per poter attivare le funzionalità avanzate. Il focus di mercato è radicato nella "Total Surveillance". L'analitica retail asiatica rappresenta un mero sottoprodotto delle tecnologie di riconoscimento facciale sviluppate per l'identificazione dei cittadini, il tracciamento multi-camera basato sull'identità biometrica, l'uso di </w:t>
      </w:r>
      <w:r w:rsidDel="00000000" w:rsidR="00000000" w:rsidRPr="00000000">
        <w:rPr>
          <w:rFonts w:ascii="Arial" w:cs="Arial" w:eastAsia="Arial" w:hAnsi="Arial"/>
          <w:i w:val="1"/>
          <w:iCs w:val="1"/>
          <w:rtl w:val="0"/>
        </w:rPr>
        <w:t xml:space="preserve">emotion recognition</w:t>
      </w:r>
      <w:r w:rsidDel="00000000" w:rsidR="00000000" w:rsidRPr="00000000">
        <w:rPr>
          <w:rFonts w:ascii="Arial" w:cs="Arial" w:eastAsia="Arial" w:hAnsi="Arial"/>
          <w:rtl w:val="0"/>
        </w:rPr>
        <w:t xml:space="preserve"> per valutare la reazione psicologica ai prodotti esposti e la gestione di vere e proprie blacklist comportamentali</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L'approccio europeo, incarnato da scale-up come Aura Vision nel Regno Unito, Veesion in Francia e Xovis in Svizzera, ha dovuto forgiare la propria architettura all'ombra del GDPR, sviluppando una naturale resilienza normativa. Veesion e Aura Vision adottano un modello SaaS puro basato su licenze flessibili per singolo flusso video o per punto vendita, azzerando di fatto le frizioni commerciali legate alle setup fee elevate</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Il retailer sostiene esclusivamente i costi operativi (OPEX). Mentre Xovis si discosta parzialmente adottando sensori 3D proprietari montati a soffitto che richiedono interventi strutturali, Aura Vision e Veesion rappresentano l'avanguardia dell'approccio </w:t>
      </w:r>
      <w:r w:rsidDel="00000000" w:rsidR="00000000" w:rsidRPr="00000000">
        <w:rPr>
          <w:rFonts w:ascii="Arial" w:cs="Arial" w:eastAsia="Arial" w:hAnsi="Arial"/>
          <w:i w:val="1"/>
          <w:iCs w:val="1"/>
          <w:rtl w:val="0"/>
        </w:rPr>
        <w:t xml:space="preserve">hardware-agnostic</w:t>
      </w:r>
      <w:r w:rsidDel="00000000" w:rsidR="00000000" w:rsidRPr="00000000">
        <w:rPr>
          <w:rFonts w:ascii="Arial" w:cs="Arial" w:eastAsia="Arial" w:hAnsi="Arial"/>
          <w:rtl w:val="0"/>
        </w:rPr>
        <w:t xml:space="preserve">. Queste piattaforme si collegano direttamente ai flussi RTSP dei VMS o degli NVR legacy già presenti nei supermercati</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L'elaborazione, in particolare per Veesion, avviene spesso tramite un server Edge leggero connesso alla rete locale per impedire il collasso della banda esterna. Il focus di mercato europeo mostra una divisione pragmatica: Aura Vision e Xovis si concentrano sull'ottimizzazione del layout (heatmaps) e sul conteggio direzionale dei flussi, mentre Veesion si è iper-specializzata nella Loss Prevention basata esclusivamente sul riconoscimento posturale e comportamentale (come l'identificazione cinematica del gesto di occultamento di un prodotto in uno zaino), escludendo preventivamente qualsiasi calcolo legato all'identità facciale</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Caratteristica Strutturale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Ecosistema Nordamericano (es. Standard AI, Solink)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Ecosistema Asiatico (es. SenseTime, Hikvision)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Ecosistema Europeo (es. Veesion, Aura Vision)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Model e Monetizzazione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Hardware-enabled SaaS, elevate Setup Fee iniziali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Licenze software a lungo termine legate a HW proprietario sussidiato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SaaS puro per telecamera, Setup Fee minima o nulla (modello OPEX)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Assorbimento del CAPEX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Retailer (infrastruttura server, cablaggi, sensori)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Assorbito dai volumi di vendita e sussidi statali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Fornitore / Nessuno (sfruttamento infrastruttura IP legacy)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Vincolo Architetturale (Hardware)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Moderato/Alto (Telecamere dedicate, bridge IoT on-premise)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Altissimo (Lock-in totale sull'ecosistema proprietario)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Basso/Nullo (Flussi RTSP estratti da NVR/VMS esistenti)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Focus Operativo Primario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Ibrido (Checkout autonomo, Marketing Analytics, POS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Sorveglianza biometrica di massa, Profilazione, Emotion Recognition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Analisi Comportamentale (Loss Prevention), Heatmaps anonime (Analytics)</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MODULO 2: VULNERABILITÀ NORMATIVE E ARCHITETTURALI (GRUPPO 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due diligence tecnico-legale solleva criticità di livello bloccante per le tecnologie che non operano in regime di </w:t>
      </w:r>
      <w:r w:rsidDel="00000000" w:rsidR="00000000" w:rsidRPr="00000000">
        <w:rPr>
          <w:rFonts w:ascii="Arial" w:cs="Arial" w:eastAsia="Arial" w:hAnsi="Arial"/>
          <w:i w:val="1"/>
          <w:iCs w:val="1"/>
          <w:rtl w:val="0"/>
        </w:rPr>
        <w:t xml:space="preserve">Privacy-by-Design</w:t>
      </w:r>
      <w:r w:rsidDel="00000000" w:rsidR="00000000" w:rsidRPr="00000000">
        <w:rPr>
          <w:rFonts w:ascii="Arial" w:cs="Arial" w:eastAsia="Arial" w:hAnsi="Arial"/>
          <w:rtl w:val="0"/>
        </w:rPr>
        <w:t xml:space="preserve"> nativo. L'intersezione tra il Regolamento Generale sulla Protezione dei Dati (GDPR) e l'imminente applicazione dell'EU AI Act (Regolamento UE 2024/1689) funge da barriera architettonica insuperabile per i vendor asiatici e solleva formidabili sfide di </w:t>
      </w:r>
      <w:r w:rsidDel="00000000" w:rsidR="00000000" w:rsidRPr="00000000">
        <w:rPr>
          <w:rFonts w:ascii="Arial" w:cs="Arial" w:eastAsia="Arial" w:hAnsi="Arial"/>
          <w:i w:val="1"/>
          <w:iCs w:val="1"/>
          <w:rtl w:val="0"/>
        </w:rPr>
        <w:t xml:space="preserve">compliance</w:t>
      </w:r>
      <w:r w:rsidDel="00000000" w:rsidR="00000000" w:rsidRPr="00000000">
        <w:rPr>
          <w:rFonts w:ascii="Arial" w:cs="Arial" w:eastAsia="Arial" w:hAnsi="Arial"/>
          <w:rtl w:val="0"/>
        </w:rPr>
        <w:t xml:space="preserve"> per i sistemi nordamericani basati su cloud computing.</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Il Tallone d'Achille Cinese: Incompatibilità Sistemica con l'AI Act e il GDPR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 modelli di business di SenseTime, Megvii e Hikvision poggiano strutturalmente sull'estrazione e sulla profilazione di dati biometrici</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Dal punto di vista normativo, l'architettura asiatica risulta non solo vulnerabile, ma categoricamente illegale per l'adozione commerciale su larga scala nel mid-market europeo, a causa di due violazioni sistemiche che espongono il </w:t>
      </w:r>
      <w:r w:rsidDel="00000000" w:rsidR="00000000" w:rsidRPr="00000000">
        <w:rPr>
          <w:rFonts w:ascii="Arial" w:cs="Arial" w:eastAsia="Arial" w:hAnsi="Arial"/>
          <w:i w:val="1"/>
          <w:iCs w:val="1"/>
          <w:rtl w:val="0"/>
        </w:rPr>
        <w:t xml:space="preserve">deployer</w:t>
      </w:r>
      <w:r w:rsidDel="00000000" w:rsidR="00000000" w:rsidRPr="00000000">
        <w:rPr>
          <w:rFonts w:ascii="Arial" w:cs="Arial" w:eastAsia="Arial" w:hAnsi="Arial"/>
          <w:rtl w:val="0"/>
        </w:rPr>
        <w:t xml:space="preserve"> (il retailer) a sanzioni massimali.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primo luogo, l'impianto tecnologico cinese si scontra frontalmente con l'Articolo 9 del GDPR relativo al trattamento delle categorie particolari di dati personali. Le Linee Guida 3/2019 dello European Data Protection Board (EDPB) chiariscono in modo inequivocabile che il trattamento di immagini video si trasforma in trattamento di dati biometrici (soggetti a divieto generale di trattamento salvo eccezioni rigorose) nel momento in cui il video subisce un processo tecnico specifico volto all'identificazione univoca di un individuo, come la creazione di un </w:t>
      </w:r>
      <w:r w:rsidDel="00000000" w:rsidR="00000000" w:rsidRPr="00000000">
        <w:rPr>
          <w:rFonts w:ascii="Arial" w:cs="Arial" w:eastAsia="Arial" w:hAnsi="Arial"/>
          <w:i w:val="1"/>
          <w:iCs w:val="1"/>
          <w:rtl w:val="0"/>
        </w:rPr>
        <w:t xml:space="preserve">template</w:t>
      </w:r>
      <w:r w:rsidDel="00000000" w:rsidR="00000000" w:rsidRPr="00000000">
        <w:rPr>
          <w:rFonts w:ascii="Arial" w:cs="Arial" w:eastAsia="Arial" w:hAnsi="Arial"/>
          <w:rtl w:val="0"/>
        </w:rPr>
        <w:t xml:space="preserve"> facciale matematico</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L'identificazione biometrica, o l'utilizzo di vettori facciali per eseguire la "cross-camera re-identification" necessaria a tracciare lo </w:t>
      </w:r>
      <w:r w:rsidDel="00000000" w:rsidR="00000000" w:rsidRPr="00000000">
        <w:rPr>
          <w:rFonts w:ascii="Arial" w:cs="Arial" w:eastAsia="Arial" w:hAnsi="Arial"/>
          <w:i w:val="1"/>
          <w:iCs w:val="1"/>
          <w:rtl w:val="0"/>
        </w:rPr>
        <w:t xml:space="preserve">shopper journey</w:t>
      </w:r>
      <w:r w:rsidDel="00000000" w:rsidR="00000000" w:rsidRPr="00000000">
        <w:rPr>
          <w:rFonts w:ascii="Arial" w:cs="Arial" w:eastAsia="Arial" w:hAnsi="Arial"/>
          <w:rtl w:val="0"/>
        </w:rPr>
        <w:t xml:space="preserve"> di un singolo cliente tra corsie diverse, richiede il consenso esplicito e informato dell'interessato. In un ambiente aperto al pubblico e ad alto traffico come un supermercato, raccogliere un consenso valido per il riconoscimento facciale è logisticamente impraticabile e giuridicamente invalido</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secondo luogo, l'AI Act europeo introduce divieti assoluti che colpiscono al cuore la proposta di valore del Deep-Tech cinese. L'articolo 5(1)(f) del Regolamento vieta esplicitamente l'uso di sistemi di intelligenza artificiale progettati per dedurre le emozioni delle persone fisiche nei luoghi di lavoro e negli istituti di istruzione, ammettendo deroghe esclusivamente per ragioni mediche o di sicurezza intrinseca</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SenseTime e Megvii hanno storicamente addestrato modelli profondi sull'analisi dello stato emotivo per valutare l'engagement e le reazioni dei consumatori ai display promozionali</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L'adozione di tali sistemi in un punto vendita europeo espone l'azienda a sanzioni astronomiche, che per le violazioni delle pratiche di IA vietate possono raggiungere i 35 milioni di euro o il 7% del fatturato annuo globale</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Inoltre, l'utilizzo di categorizzazione biometrica per inferire razza, sesso o altre caratteristiche sensibili, prassi comune nei sistemi di </w:t>
      </w:r>
      <w:r w:rsidDel="00000000" w:rsidR="00000000" w:rsidRPr="00000000">
        <w:rPr>
          <w:rFonts w:ascii="Arial" w:cs="Arial" w:eastAsia="Arial" w:hAnsi="Arial"/>
          <w:i w:val="1"/>
          <w:iCs w:val="1"/>
          <w:rtl w:val="0"/>
        </w:rPr>
        <w:t xml:space="preserve">City Brain</w:t>
      </w:r>
      <w:r w:rsidDel="00000000" w:rsidR="00000000" w:rsidRPr="00000000">
        <w:rPr>
          <w:rFonts w:ascii="Arial" w:cs="Arial" w:eastAsia="Arial" w:hAnsi="Arial"/>
          <w:rtl w:val="0"/>
        </w:rPr>
        <w:t xml:space="preserve"> asiatici, è totalmente proibito dall'ordinamento europeo</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Ogni tentativo di aggirare tali divieti sfruttando le eccezioni per compiti preparatori (Articolo 6(3) dell'AI Act) decade automaticamente se il sistema esegue una profilazione delle persone fisiche, rendendo il sistema classificabile "sempre" come ad alto rischio (Allegato III) o del tutto proibito</w:t>
      </w:r>
      <w:r w:rsidDel="00000000" w:rsidR="00000000" w:rsidRPr="00000000">
        <w:rPr>
          <w:rFonts w:ascii="Arial" w:cs="Arial" w:eastAsia="Arial" w:hAnsi="Arial"/>
          <w:sz w:val="24"/>
          <w:szCs w:val="24"/>
          <w:vertAlign w:val="superscript"/>
          <w:rtl w:val="0"/>
        </w:rPr>
        <w:t xml:space="preserve">19</w:t>
      </w:r>
      <w:r w:rsidDel="00000000" w:rsidR="00000000" w:rsidRPr="00000000">
        <w:rPr>
          <w:rFonts w:ascii="Arial" w:cs="Arial" w:eastAsia="Arial" w:hAnsi="Arial"/>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L'Approccio Europeo: Legittimo Interesse ed Elaborazione Edge vs Cloud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Per penetrare e scalare nel mercato europeo, la soluzione ingegneristica risiede in un'architettura che eviti fin dal principio l'innesco dell'Articolo 9 del GDPR e dell'Allegato III dell'AI Act. L'analisi dell'approccio di player europei come Veesion rivela una strategia di mitigazione del rischio altamente sofisticata: concentrare le reti neurali esclusivamente sulla cinematica del corpo e sull'analisi dei gesti sospetti, scartando a priori l'analisi del volto</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Questa scelta tecnica mantiene il trattamento dei dati sotto l'ombrello dell'Articolo 6(1)(f) del GDPR, ovvero il "Legittimo Interesse" del titolare a proteggere il proprio patrimonio aziendale da furti e ammanchi</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Recenti sviluppi giurisprudenziali, in particolare la sentenza della Corte di Giustizia dell'Unione Europea (CJEU) nella causa C-621/22, hanno confermato che gli interessi puramente commerciali possono costituire un legittimo interesse valido, a condizione che l'organizzazione superi il rigoroso test di bilanciamento a tre fasi (Purpose, Necessity, Balancing) documentato in una Legitimate Interests Assessment (LIA)</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Tuttavia, il rischio latente di re-identificazione persiste se l'architettura di elaborazione non è progettata correttamente. La discriminante tecnologica e legale è determinata dal luogo dell'elaborazione: Edge computing contro Cloud computing. L'estrazione e l'invio di </w:t>
      </w:r>
      <w:r w:rsidDel="00000000" w:rsidR="00000000" w:rsidRPr="00000000">
        <w:rPr>
          <w:rFonts w:ascii="Arial" w:cs="Arial" w:eastAsia="Arial" w:hAnsi="Arial"/>
          <w:i w:val="1"/>
          <w:iCs w:val="1"/>
          <w:rtl w:val="0"/>
        </w:rPr>
        <w:t xml:space="preserve">raw frames</w:t>
      </w:r>
      <w:r w:rsidDel="00000000" w:rsidR="00000000" w:rsidRPr="00000000">
        <w:rPr>
          <w:rFonts w:ascii="Arial" w:cs="Arial" w:eastAsia="Arial" w:hAnsi="Arial"/>
          <w:rtl w:val="0"/>
        </w:rPr>
        <w:t xml:space="preserve"> (flussi video non elaborati ad alta risoluzione) verso datacenter cloud per l'inferenza algoritmica espone il retailer a enormi rischi di data breach, richiede la stipula di complessi Data Processing Agreements (DPA) con i provider cloud, e aumenta drasticamente il perimetro di attacco</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L'approccio vincente risiede nell'Elaborazione Edge rigorosa. In questo paradigma, l'inferenza del modello di Intelligenza Artificiale avviene localmente su appliance dedicate</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Il frame video viene caricato transitoriamente in RAM, i vettori matematici necessari (pose estimation, bounding boxes per gli oggetti e per gli arti) vengono estratti, e il frame originale viene immediatamente sovrascritto e distrutto senza mai essere storicizzato su un disco rigido locale o trasmesso all'esterno della LAN del negozio. Al cloud centrale vengono inviati esclusivamente metadati testuali, vettoriali e anonimizzati (ad esempio: "Evento: Movimento anomalo rilevato a scaffale 4 alle 14:03"), garantendo una </w:t>
      </w:r>
      <w:r w:rsidDel="00000000" w:rsidR="00000000" w:rsidRPr="00000000">
        <w:rPr>
          <w:rFonts w:ascii="Arial" w:cs="Arial" w:eastAsia="Arial" w:hAnsi="Arial"/>
          <w:i w:val="1"/>
          <w:iCs w:val="1"/>
          <w:rtl w:val="0"/>
        </w:rPr>
        <w:t xml:space="preserve">Data Sanitization</w:t>
      </w:r>
      <w:r w:rsidDel="00000000" w:rsidR="00000000" w:rsidRPr="00000000">
        <w:rPr>
          <w:rFonts w:ascii="Arial" w:cs="Arial" w:eastAsia="Arial" w:hAnsi="Arial"/>
          <w:rtl w:val="0"/>
        </w:rPr>
        <w:t xml:space="preserve"> nativa</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Il Conflitto Giuslavoristico: Lo Statuto dei Lavoratori e la Giurisprudenza EDU</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Nel contesto europeo, e in modo particolarmente stringente in Italia, l'implementazione di sistemi di Video Analytics all'interno di punti vendita presidiati da personale dipendente introduce una severa criticità giuslavoristica. L'uso di impianti audiovisivi è rigidamente disciplinato dall'Articolo 4 della Legge 300/1970 (Statuto dei Lavoratori), il quale sancisce il divieto assoluto di utilizzare telecamere per il controllo a distanza dell'attività lavorativa e della produttività dei dipendenti</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 L'installazione è permessa esclusivamente per comprovate esigenze organizzative, di sicurezza sul lavoro o per la tutela del patrimonio aziendale, ed è sempre subordinata al preventivo accordo con le rappresentanze sindacali (RSA/RSU) o all'autorizzazione dell'Ispettorato Nazionale del Lavoro (INL)</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La recente Nota INL n. 4757/2025 ha ribadito che gli ispettori, in qualità di ufficiali di polizia giudiziaria, hanno il potere di sequestrare gli impianti abusivi, innescando sanzioni penali che prevedono ammende maggiorate o l'arresto del datore di lavoro</w:t>
      </w:r>
      <w:r w:rsidDel="00000000" w:rsidR="00000000" w:rsidRPr="00000000">
        <w:rPr>
          <w:rFonts w:ascii="Arial" w:cs="Arial" w:eastAsia="Arial" w:hAnsi="Arial"/>
          <w:sz w:val="24"/>
          <w:szCs w:val="24"/>
          <w:vertAlign w:val="superscript"/>
          <w:rtl w:val="0"/>
        </w:rPr>
        <w:t xml:space="preserve">32</w:t>
      </w:r>
      <w:r w:rsidDel="00000000" w:rsidR="00000000" w:rsidRPr="00000000">
        <w:rPr>
          <w:rFonts w:ascii="Arial" w:cs="Arial" w:eastAsia="Arial" w:hAnsi="Arial"/>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livello continentale, la Corte Europea dei Diritti dell'Uomo (ECtHR) ha tracciato confini netti nella celebre sentenza </w:t>
      </w:r>
      <w:r w:rsidDel="00000000" w:rsidR="00000000" w:rsidRPr="00000000">
        <w:rPr>
          <w:rFonts w:ascii="Arial" w:cs="Arial" w:eastAsia="Arial" w:hAnsi="Arial"/>
          <w:i w:val="1"/>
          <w:iCs w:val="1"/>
          <w:rtl w:val="0"/>
        </w:rPr>
        <w:t xml:space="preserve">López Ribalda e altri c. Spagna</w:t>
      </w:r>
      <w:r w:rsidDel="00000000" w:rsidR="00000000" w:rsidRPr="00000000">
        <w:rPr>
          <w:rFonts w:ascii="Arial" w:cs="Arial" w:eastAsia="Arial" w:hAnsi="Arial"/>
          <w:rtl w:val="0"/>
        </w:rPr>
        <w:t xml:space="preserve">. Il caso, riguardante la videosorveglianza occulta utilizzata da una catena di supermercati per smascherare furti da parte delle cassiere, ha stabilito che la compressione del diritto alla privacy dei dipendenti (Articolo 8 CEDU) a favore della tutela del patrimonio aziendale è legittima solo se la misura è rigorosamente proporzionata, limitata nel tempo e nello spazio, e giustificata da sospetti preesistenti e fondati di perdite economiche significative</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Una sorveglianza algoritmica massiva e indiscriminata che profili il comportamento del personale per misurarne le performance costituirebbe una palese violazione.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Questi vincoli normativi conferiscono un vantaggio strategico decisivo a un'architettura Edge che incorpori algoritmi di segmentazione progettati per oscurare dinamicamente o ignorare del tutto il personale del punto vendita (ad esempio, addestrando la rete neurale a non generare log di tracking per individui che indossano uniformi aziendali riconosciute volumetricamente). Disinnescare alla radice la componente di monitoraggio dei lavoratori garantisce un iter di approvazione sindacale fluido e blinda l'azienda contro contestazioni penali.</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Il Peso Finanziario della Compliance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L'impatto di un'architettura errata si riflette direttamente sui bilanci operativi sotto forma di costi di compliance. Le normative europee, unitamente alla Direttiva NIS2, spingono sempre più i fornitori B2B a ottenere certificazioni di sicurezza come la ISO 27001 o la ISDP 10003 per dimostrare la resilienza dei propri Sistemi di Gestione della Sicurezza delle Informazioni (SGSI)</w:t>
      </w:r>
      <w:r w:rsidDel="00000000" w:rsidR="00000000" w:rsidRPr="00000000">
        <w:rPr>
          <w:rFonts w:ascii="Arial" w:cs="Arial" w:eastAsia="Arial" w:hAnsi="Arial"/>
          <w:sz w:val="24"/>
          <w:szCs w:val="24"/>
          <w:vertAlign w:val="superscript"/>
          <w:rtl w:val="0"/>
        </w:rPr>
        <w:t xml:space="preserve">41</w:t>
      </w:r>
      <w:r w:rsidDel="00000000" w:rsidR="00000000" w:rsidRPr="00000000">
        <w:rPr>
          <w:rFonts w:ascii="Arial" w:cs="Arial" w:eastAsia="Arial" w:hAnsi="Arial"/>
          <w:rtl w:val="0"/>
        </w:rPr>
        <w:t xml:space="preserve">. Per una PMI o scale-up tecnologica, l'implementazione e la certificazione ISO 27001 comportano un onere finanziario notevole, stimato nel 2026 tra i 16.000 e i 39.000 euro per il primo anno (inclusivi di consulenza, audit di Stage 1 e 2, e licenze software), seguiti da costi di sorveglianza annuale</w:t>
      </w:r>
      <w:r w:rsidDel="00000000" w:rsidR="00000000" w:rsidRPr="00000000">
        <w:rPr>
          <w:rFonts w:ascii="Arial" w:cs="Arial" w:eastAsia="Arial" w:hAnsi="Arial"/>
          <w:sz w:val="24"/>
          <w:szCs w:val="24"/>
          <w:vertAlign w:val="superscript"/>
          <w:rtl w:val="0"/>
        </w:rPr>
        <w:t xml:space="preserve">42</w:t>
      </w:r>
      <w:r w:rsidDel="00000000" w:rsidR="00000000" w:rsidRPr="00000000">
        <w:rPr>
          <w:rFonts w:ascii="Arial" w:cs="Arial" w:eastAsia="Arial" w:hAnsi="Arial"/>
          <w:rtl w:val="0"/>
        </w:rPr>
        <w:t xml:space="preserve">. Progettare una piattaforma Cloud che ingerisce ed elabora flussi video contenenti PII (Personally Identifiable Information) impone l'adozione di controlli crittografici e procedure di audit (SOC 2, ISO 27701) di massima severità, gonfiando a dismisura le parcelle dei consulenti e le tempistiche di implementazione (dai 6 ai 18 mesi)</w:t>
      </w:r>
      <w:r w:rsidDel="00000000" w:rsidR="00000000" w:rsidRPr="00000000">
        <w:rPr>
          <w:rFonts w:ascii="Arial" w:cs="Arial" w:eastAsia="Arial" w:hAnsi="Arial"/>
          <w:sz w:val="24"/>
          <w:szCs w:val="24"/>
          <w:vertAlign w:val="superscript"/>
          <w:rtl w:val="0"/>
        </w:rPr>
        <w:t xml:space="preserve">42</w:t>
      </w:r>
      <w:r w:rsidDel="00000000" w:rsidR="00000000" w:rsidRPr="00000000">
        <w:rPr>
          <w:rFonts w:ascii="Arial" w:cs="Arial" w:eastAsia="Arial" w:hAnsi="Arial"/>
          <w:rtl w:val="0"/>
        </w:rPr>
        <w:t xml:space="preserve">. Al contrario, un'architettura che distrugge il dato sensibile all'Edge e trasmette al cloud solo metadati anonimi riduce drasticamente il perimetro (scope) del SGSI soggetto a certificazione, traducendosi in un vantaggio competitivo in termini di OPEX e </w:t>
      </w:r>
      <w:r w:rsidDel="00000000" w:rsidR="00000000" w:rsidRPr="00000000">
        <w:rPr>
          <w:rFonts w:ascii="Arial" w:cs="Arial" w:eastAsia="Arial" w:hAnsi="Arial"/>
          <w:i w:val="1"/>
          <w:iCs w:val="1"/>
          <w:rtl w:val="0"/>
        </w:rPr>
        <w:t xml:space="preserve">time-to-market</w:t>
      </w:r>
      <w:r w:rsidDel="00000000" w:rsidR="00000000" w:rsidRPr="00000000">
        <w:rPr>
          <w:rFonts w:ascii="Arial" w:cs="Arial" w:eastAsia="Arial" w:hAnsi="Arial"/>
          <w:rtl w:val="0"/>
        </w:rPr>
        <w:t xml:space="preserve"> nei confronti degli uffici acquisti dei grandi retailer.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Voce di Costo Compliance (PMI 20-50 dipendenti)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Architettura Cloud-Heavy (Scope esteso a PII 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Architettura Edge-Native (Scope limitato a Metadati)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Impatto Operativo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Consulenza Implementazione ISMS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15.000 € – 25.000 €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8.000 € – 18.000 €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Maggiore focalizzazione sulle policy cloud vs controlli fisici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Audit di Certificazione (Enti Accreditati)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8.000 € – 15.000 €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5.000 € – 12.000 €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Minore complessità di ispezione dei data 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Strumenti Tecnici (DLP, SIEM complessi)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5.000 € – 10.000 €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2.000 € – 6.000 €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Riduzione dei tool di data loss prevention per PII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Tempistiche di Certificazione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8 - 18 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5 - 8 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Go-to-market normativo accelerato</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MODULO 3: LEZIONI DAL CIMITERO DEL RETAIL TECH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biennio 2024-2026 ha rappresentato uno spartiacque brutale per il segmento dell'Autonomous Retail e del "Frictionless Checkout", culminando in una severa correzione delle valutazioni di mercato e nel fallimento di paradigmi un tempo considerati inevitabili. L'analisi post-mortem dei collassi sistemici fornisce lezioni architetturali di vitale importanza per calibrare lo sviluppo di una nuova soluzione senza bruciare capitale d'investimento.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crollo del paradigma "Just Walk Out" puro è emblematico. Grabango, nonostante avesse raccolto decine di milioni di dollari e siglato partnership di rilievo per implementare sistemi di checkout senza cassa, è stata costretta alla chiusura definitiva nell'ottobre 2024</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Standard AI, uno dei pionieri e player meglio finanziati del settore statunitense, ha abbandonato la sua ambizione originaria di fornire un checkout completamente autonomo, compiendo un drastico pivot verso la più economica e scalabile "Vision Analytics" (analisi del comportamento a scaffale e gestione dell'inventario)</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La dimostrazione più lampante dell'insostenibilità del modello è giunta dalla decisione di Amazon di ritirare progressivamente la sua tecnologia proprietaria "Just Walk Out" dai supermercati Amazon Fresh di grande formato negli Stati Uniti, optando per il deployment di "Dash Carts" (carrelli intelligenti con scanner integrati), seppur mantenendo il sistema in formati ridotti e aeroporti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fallimento di questi sistemi non risiedeva in un'incapacità teorica dell'algoritmo di computer vision di identificare i prodotti, bensì nella dura fisica dei dati e nella spietata realtà delle economie unitarie (Unit Economics). Il primo ostacolo fatale è stato il CAPEX hardware insostenibile. Per garantire un'accuratezza del 99.9% nel riconoscimento degli oggetti prelevati in assenza di scansione manuale, l'architettura Just Walk Out o Grabango imponeva una densità ottica estrema. Un singolo punto vendita richiedeva l'installazione di una griglia composta da 30 a 200 telecamere specializzate a soffitto, spesso affiancate da costosi sensori di peso sugli scaffali e tornelli meccatronici all'ingresso</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Il costo totale di implementazione per un singolo negozio oscillava tra i 180.000 e i 320.000 dollari</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 Per un supermercato convenzionale, che opera storicamente con margini di profitto netto sottilissimi (tra il 2% e il 4%), ammortizzare una tale spesa di capitale risultava un'equazione finanziaria irrisolvibile, anche a fronte della prospettiva di tagliare i costi del lavoro manuale (stimati in 280.000-420.000 dollari annui per un punto vendita a tre turni)</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secondo macigno strutturale è stato l'inferno del Cloud Compute e della latenza di rete. Il paradigma pionieristico prevedeva l'ingestione e la trasmissione di enormi moli di dati visivi verso il cloud. Un singolo negozio automatizzato arrivava a generare e tentare di trasmettere fino a 10 terabyte di dati operativi al mese verso istanze AWS o Google Cloud per l'elaborazione dei modelli predittivi e la fatturazione in tempo reale</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 Il costo dell'allocazione massiccia di GPU nel cloud per elaborare dozzine di flussi video simultaneamente in alta risoluzione azzerava i benefici economici derivanti dalla riduzione del personale.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Infine, il "debito di complessità" legato ai casi limite (Edge Cases) ha condannato l'accuratezza operativa. Il tracciamento delle traiettorie di mani che si incrociano, le occlusioni ottiche generate da gruppi familiari che si scambiano prodotti, o il semplice riposizionamento di un articolo nello scaffale sbagliato, generavano tassi di errore inaccettabili. Questo costringeva i provider a fare affidamento su un vasto ecosistema di revisori umani (human-in-the-loop) situati in data center off-shore per correggere manualmente le ricevute, vanificando la promessa di un'autonomia algoritmica pura e scalabile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L'insegnamento operativo da trarre per la strategia della nuova startup B2B è perentorio: i modelli ad alta intensità hardware e cloud-dipendenti distruggono capitale. Per scalare nel mid-market europeo, la tecnologia deve abbracciare un dogma architetturale basato su "Zero Proprietary Hardware". Il sistema non deve mai richiedere la produzione, la vendita o la complessa manutenzione di telecamere fisiche, ma deve agganciarsi alla rete preesistente via protocolli standard (ONVIF/RTSP). Sfruttando il collasso dei costi dei chip Edge AI, i cui prezzi sono crollati di circa il 58% tra il 2020 e il 2025 per via della concorrenza tra fonderie</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 l'elaborazione deve essere spinta interamente verso </w:t>
      </w:r>
      <w:r w:rsidDel="00000000" w:rsidR="00000000" w:rsidRPr="00000000">
        <w:rPr>
          <w:rFonts w:ascii="Arial" w:cs="Arial" w:eastAsia="Arial" w:hAnsi="Arial"/>
          <w:i w:val="1"/>
          <w:iCs w:val="1"/>
          <w:rtl w:val="0"/>
        </w:rPr>
        <w:t xml:space="preserve">edge appliance</w:t>
      </w:r>
      <w:r w:rsidDel="00000000" w:rsidR="00000000" w:rsidRPr="00000000">
        <w:rPr>
          <w:rFonts w:ascii="Arial" w:cs="Arial" w:eastAsia="Arial" w:hAnsi="Arial"/>
          <w:rtl w:val="0"/>
        </w:rPr>
        <w:t xml:space="preserve"> economiche installate nella rete locale (LAN) del supermercato. Questa scelta azzera le strozzature di banda in uscita, abbatte le fatture milionarie del cloud compute e trasforma il business in un modello Software-as-a-Service iper-scalabile con margini lordi ottimali.</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MODULO 4: TECH-TRANSFER DAL GRUPPO B (DEEP-TECH FRANCESE)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Gruppo B analizzato non opera direttamente nei verticali del retail, ma rappresenta l'avanguardia del Deep-Tech europeo nei settori della difesa aerospaziale, della sicurezza medica, della cybersicurezza e dell'insurtech. Mutuare i loro principi architetturali attraverso un attento processo di </w:t>
      </w:r>
      <w:r w:rsidDel="00000000" w:rsidR="00000000" w:rsidRPr="00000000">
        <w:rPr>
          <w:rFonts w:ascii="Arial" w:cs="Arial" w:eastAsia="Arial" w:hAnsi="Arial"/>
          <w:i w:val="1"/>
          <w:iCs w:val="1"/>
          <w:rtl w:val="0"/>
        </w:rPr>
        <w:t xml:space="preserve">tech-transfer</w:t>
      </w:r>
      <w:r w:rsidDel="00000000" w:rsidR="00000000" w:rsidRPr="00000000">
        <w:rPr>
          <w:rFonts w:ascii="Arial" w:cs="Arial" w:eastAsia="Arial" w:hAnsi="Arial"/>
          <w:rtl w:val="0"/>
        </w:rPr>
        <w:t xml:space="preserve"> consente di creare un "fossato tecnologico" (moat) ingegneristico e normativo incolmabile per i tradizionali vendor di telecamere</w:t>
      </w:r>
      <w:r w:rsidDel="00000000" w:rsidR="00000000" w:rsidRPr="00000000">
        <w:rPr>
          <w:rFonts w:ascii="Arial" w:cs="Arial" w:eastAsia="Arial" w:hAnsi="Arial"/>
          <w:sz w:val="24"/>
          <w:szCs w:val="24"/>
          <w:vertAlign w:val="superscript"/>
          <w:rtl w:val="0"/>
        </w:rPr>
        <w:t xml:space="preserve">49</w:t>
      </w:r>
      <w:r w:rsidDel="00000000" w:rsidR="00000000" w:rsidRPr="00000000">
        <w:rPr>
          <w:rFonts w:ascii="Arial" w:cs="Arial" w:eastAsia="Arial" w:hAnsi="Arial"/>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primo pilastro tecnologico importabile è l'</w:t>
      </w:r>
      <w:r w:rsidDel="00000000" w:rsidR="00000000" w:rsidRPr="00000000">
        <w:rPr>
          <w:rFonts w:ascii="Arial" w:cs="Arial" w:eastAsia="Arial" w:hAnsi="Arial"/>
          <w:b w:val="1"/>
          <w:bCs w:val="1"/>
          <w:rtl w:val="0"/>
        </w:rPr>
        <w:t xml:space="preserve">Edge Computing Estremo</w:t>
      </w:r>
      <w:r w:rsidDel="00000000" w:rsidR="00000000" w:rsidRPr="00000000">
        <w:rPr>
          <w:rFonts w:ascii="Arial" w:cs="Arial" w:eastAsia="Arial" w:hAnsi="Arial"/>
          <w:rtl w:val="0"/>
        </w:rPr>
        <w:t xml:space="preserve">, ispirato ai paradigmi operativi di startup della difesa come Preligens, AZUR DRONES e Comand AI. Queste entità processano flussi ottici e segnali di intelligence direttamente a bordo di sciami di droni o satelliti in teatri operativi militari, ambienti ostili dove la connettività cloud è inesistente, intermittente o soggetta a </w:t>
      </w:r>
      <w:r w:rsidDel="00000000" w:rsidR="00000000" w:rsidRPr="00000000">
        <w:rPr>
          <w:rFonts w:ascii="Arial" w:cs="Arial" w:eastAsia="Arial" w:hAnsi="Arial"/>
          <w:i w:val="1"/>
          <w:iCs w:val="1"/>
          <w:rtl w:val="0"/>
        </w:rPr>
        <w:t xml:space="preserve">jamming</w:t>
      </w:r>
      <w:r w:rsidDel="00000000" w:rsidR="00000000" w:rsidRPr="00000000">
        <w:rPr>
          <w:rFonts w:ascii="Arial" w:cs="Arial" w:eastAsia="Arial" w:hAnsi="Arial"/>
          <w:rtl w:val="0"/>
        </w:rPr>
        <w:t xml:space="preserve">, e dove la latenza nell'inferenza può risultare letale</w:t>
      </w:r>
      <w:r w:rsidDel="00000000" w:rsidR="00000000" w:rsidRPr="00000000">
        <w:rPr>
          <w:rFonts w:ascii="Arial" w:cs="Arial" w:eastAsia="Arial" w:hAnsi="Arial"/>
          <w:sz w:val="24"/>
          <w:szCs w:val="24"/>
          <w:vertAlign w:val="superscript"/>
          <w:rtl w:val="0"/>
        </w:rPr>
        <w:t xml:space="preserve">49</w:t>
      </w:r>
      <w:r w:rsidDel="00000000" w:rsidR="00000000" w:rsidRPr="00000000">
        <w:rPr>
          <w:rFonts w:ascii="Arial" w:cs="Arial" w:eastAsia="Arial" w:hAnsi="Arial"/>
          <w:rtl w:val="0"/>
        </w:rPr>
        <w:t xml:space="preserve">. L'applicazione di questa "Military-grade Edge Architecture" al retail implica la progettazione di un sistema </w:t>
      </w:r>
      <w:r w:rsidDel="00000000" w:rsidR="00000000" w:rsidRPr="00000000">
        <w:rPr>
          <w:rFonts w:ascii="Arial" w:cs="Arial" w:eastAsia="Arial" w:hAnsi="Arial"/>
          <w:i w:val="1"/>
          <w:iCs w:val="1"/>
          <w:rtl w:val="0"/>
        </w:rPr>
        <w:t xml:space="preserve">fully offline capable</w:t>
      </w:r>
      <w:r w:rsidDel="00000000" w:rsidR="00000000" w:rsidRPr="00000000">
        <w:rPr>
          <w:rFonts w:ascii="Arial" w:cs="Arial" w:eastAsia="Arial" w:hAnsi="Arial"/>
          <w:rtl w:val="0"/>
        </w:rPr>
        <w:t xml:space="preserve">. L'inferenza del riconoscimento posturale per la Loss Prevention deve avvenire in tempo reale nell'appliance del negozio, generando alert istantanei ai dispositivi mobili della guardia di sicurezza interna via rete LAN in frazioni di secondo, senza alcuna dipendenza da API cloud esterne</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Questo garantisce l'efficacia del sistema antifurto anche in caso di cadute della connessione internet in fibra del punto vendita e trattiene i flussi sensibili alla fonte.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secondo concetto chiave è la </w:t>
      </w:r>
      <w:r w:rsidDel="00000000" w:rsidR="00000000" w:rsidRPr="00000000">
        <w:rPr>
          <w:rFonts w:ascii="Arial" w:cs="Arial" w:eastAsia="Arial" w:hAnsi="Arial"/>
          <w:b w:val="1"/>
          <w:bCs w:val="1"/>
          <w:rtl w:val="0"/>
        </w:rPr>
        <w:t xml:space="preserve">Data Sanitization e la Distruzione in RAM</w:t>
      </w:r>
      <w:r w:rsidDel="00000000" w:rsidR="00000000" w:rsidRPr="00000000">
        <w:rPr>
          <w:rFonts w:ascii="Arial" w:cs="Arial" w:eastAsia="Arial" w:hAnsi="Arial"/>
          <w:rtl w:val="0"/>
        </w:rPr>
        <w:t xml:space="preserve">, mutuato dalle logiche operative di Gleamer nell'ambito della tecnologia medica. Gleamer applica reti neurali per l'analisi di radiografie, manipolando dati ipersensibili (cartelle cliniche); il suo successo risiede nella capacità di garantire che tutte le informazioni relative all'identità del paziente vengano matematicamente ripulite (sanitizzate) prima dell'estrazione dei metadati diagnostici. Nel contesto del supermercato, il motore di Computer Vision esegue l'estrazione dei </w:t>
      </w:r>
      <w:r w:rsidDel="00000000" w:rsidR="00000000" w:rsidRPr="00000000">
        <w:rPr>
          <w:rFonts w:ascii="Arial" w:cs="Arial" w:eastAsia="Arial" w:hAnsi="Arial"/>
          <w:i w:val="1"/>
          <w:iCs w:val="1"/>
          <w:rtl w:val="0"/>
        </w:rPr>
        <w:t xml:space="preserve">bounding boxes</w:t>
      </w:r>
      <w:r w:rsidDel="00000000" w:rsidR="00000000" w:rsidRPr="00000000">
        <w:rPr>
          <w:rFonts w:ascii="Arial" w:cs="Arial" w:eastAsia="Arial" w:hAnsi="Arial"/>
          <w:rtl w:val="0"/>
        </w:rPr>
        <w:t xml:space="preserve"> e dei punti di articolazione scheletrica (Pose Estimation) per identificare movimenti anomali (es. nascondere una bottiglia sotto la giacca). Ispirandosi alla sanitizzazione radiologica, i vettori fisiognomici del viso vengono scartati alla radice e i volti vengono vettorialmente sfocati in maniera nativa direttamente nella memoria volatile (RAM) dell'edge device</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Nessun disco fisso del sistema immagazzina frammenti di volti integri. Si tratta dell'argomento legale definitivo in caso di ispezione del Garante Privacy: l'innesco dell'Articolo 9 del GDPR è neutralizzato poiché il dato biometrico, tecnicamente, non è mai esistito in forma persistente, ma solo come matrice volatile per 30 millisecondi</w:t>
      </w:r>
      <w:r w:rsidDel="00000000" w:rsidR="00000000" w:rsidRPr="00000000">
        <w:rPr>
          <w:rFonts w:ascii="Arial" w:cs="Arial" w:eastAsia="Arial" w:hAnsi="Arial"/>
          <w:sz w:val="24"/>
          <w:szCs w:val="24"/>
          <w:vertAlign w:val="superscript"/>
          <w:rtl w:val="0"/>
        </w:rPr>
        <w:t xml:space="preserve">50</w:t>
      </w:r>
      <w:r w:rsidDel="00000000" w:rsidR="00000000" w:rsidRPr="00000000">
        <w:rPr>
          <w:rFonts w:ascii="Arial" w:cs="Arial" w:eastAsia="Arial" w:hAnsi="Arial"/>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terzo elemento strategico è l'applicazione della </w:t>
      </w:r>
      <w:r w:rsidDel="00000000" w:rsidR="00000000" w:rsidRPr="00000000">
        <w:rPr>
          <w:rFonts w:ascii="Arial" w:cs="Arial" w:eastAsia="Arial" w:hAnsi="Arial"/>
          <w:b w:val="1"/>
          <w:bCs w:val="1"/>
          <w:rtl w:val="0"/>
        </w:rPr>
        <w:t xml:space="preserve">Crittografia Zero-Trust e del Secret Sharing</w:t>
      </w:r>
      <w:r w:rsidDel="00000000" w:rsidR="00000000" w:rsidRPr="00000000">
        <w:rPr>
          <w:rFonts w:ascii="Arial" w:cs="Arial" w:eastAsia="Arial" w:hAnsi="Arial"/>
          <w:rtl w:val="0"/>
        </w:rPr>
        <w:t xml:space="preserve">, tecnologie perfezionate da aziende di cybersicurezza come Astran, BforeAI e laboratori di modelli fondazionali come H Company</w:t>
      </w:r>
      <w:r w:rsidDel="00000000" w:rsidR="00000000" w:rsidRPr="00000000">
        <w:rPr>
          <w:rFonts w:ascii="Arial" w:cs="Arial" w:eastAsia="Arial" w:hAnsi="Arial"/>
          <w:sz w:val="24"/>
          <w:szCs w:val="24"/>
          <w:vertAlign w:val="superscript"/>
          <w:rtl w:val="0"/>
        </w:rPr>
        <w:t xml:space="preserve">49</w:t>
      </w:r>
      <w:r w:rsidDel="00000000" w:rsidR="00000000" w:rsidRPr="00000000">
        <w:rPr>
          <w:rFonts w:ascii="Arial" w:cs="Arial" w:eastAsia="Arial" w:hAnsi="Arial"/>
          <w:rtl w:val="0"/>
        </w:rPr>
        <w:t xml:space="preserve">. Astran, in particolare, ha fatto pionierismo nella crittografia distribuita senza chiavi (Secret Sharing), frammentando i dati sensibili su architetture decentralizzate per annullare matematicamente l'impatto dei ransomware. Anche se il cloud invia e immagazzina solo metadati (es. le mappe di calore, le traiettorie anonimizzate e i ratei di conversione per corsia), l'aggregazione massiva di tali dati su scala nazionale potrebbe rivelare pattern sensibili di business del retailer. Implementando un'architettura Zero-Trust per lo storage cloud dei metadati, si garantisce che una potenziale violazione del database della startup (data breach) produrrebbe per l'attaccante solo hash frammentati e illeggibili, impossibili da ricondurre al singolo punto vendita, garantendo un livello di confidenzialità B2B assoluto.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Infine, l'implementazione del </w:t>
      </w:r>
      <w:r w:rsidDel="00000000" w:rsidR="00000000" w:rsidRPr="00000000">
        <w:rPr>
          <w:rFonts w:ascii="Arial" w:cs="Arial" w:eastAsia="Arial" w:hAnsi="Arial"/>
          <w:b w:val="1"/>
          <w:bCs w:val="1"/>
          <w:rtl w:val="0"/>
        </w:rPr>
        <w:t xml:space="preserve">Federated Learning per la Loss Prevention</w:t>
      </w:r>
      <w:r w:rsidDel="00000000" w:rsidR="00000000" w:rsidRPr="00000000">
        <w:rPr>
          <w:rFonts w:ascii="Arial" w:cs="Arial" w:eastAsia="Arial" w:hAnsi="Arial"/>
          <w:rtl w:val="0"/>
        </w:rPr>
        <w:t xml:space="preserve">, ispirato ai modelli antifrode di Shift Technology. Shift utilizza l'IA per rilevare frodi assicurative aggregando i modelli di comportamento illecito di diverse compagnie assicurative, ma senza mai violare la conformità normativa condividendo i sinistri o i dati personali dei clienti tra i vari database. Trasferendo questo concetto nel retail, la startup può costruire una rete neurale in "apprendimento federato". I modelli addestrati per il riconoscimento dei gesti di taccheggio (come lo </w:t>
      </w:r>
      <w:r w:rsidDel="00000000" w:rsidR="00000000" w:rsidRPr="00000000">
        <w:rPr>
          <w:rFonts w:ascii="Arial" w:cs="Arial" w:eastAsia="Arial" w:hAnsi="Arial"/>
          <w:i w:val="1"/>
          <w:iCs w:val="1"/>
          <w:rtl w:val="0"/>
        </w:rPr>
        <w:t xml:space="preserve">sweethearting</w:t>
      </w:r>
      <w:r w:rsidDel="00000000" w:rsidR="00000000" w:rsidRPr="00000000">
        <w:rPr>
          <w:rFonts w:ascii="Arial" w:cs="Arial" w:eastAsia="Arial" w:hAnsi="Arial"/>
          <w:rtl w:val="0"/>
        </w:rPr>
        <w:t xml:space="preserve"> in cassa o le tecniche di occultamento in corsia) si aggiornano e affinano localmente nel server Edge di ogni singolo supermercato del network europeo. Durante i cicli notturni, le appliance Edge non inviano registrazioni video dei taccheggi al server centrale della startup per il re-training, ma trasmettono esclusivamente i </w:t>
      </w:r>
      <w:r w:rsidDel="00000000" w:rsidR="00000000" w:rsidRPr="00000000">
        <w:rPr>
          <w:rFonts w:ascii="Arial" w:cs="Arial" w:eastAsia="Arial" w:hAnsi="Arial"/>
          <w:i w:val="1"/>
          <w:iCs w:val="1"/>
          <w:rtl w:val="0"/>
        </w:rPr>
        <w:t xml:space="preserve">pesi neurali</w:t>
      </w:r>
      <w:r w:rsidDel="00000000" w:rsidR="00000000" w:rsidRPr="00000000">
        <w:rPr>
          <w:rFonts w:ascii="Arial" w:cs="Arial" w:eastAsia="Arial" w:hAnsi="Arial"/>
          <w:rtl w:val="0"/>
        </w:rPr>
        <w:t xml:space="preserve"> (gli aggiornamenti delle matrici matematiche del modello). L'infrastruttura cloud aggrega questi gradienti provenienti da migliaia di negozi e redistribuisce un modello globale più accurato e "intelligente" a tutti i nodi della rete. Il risultato è un sistema che impara collettivamente a riconoscere nuovi e sofisticati schemi di furto con un'efficienza inarrivabile, ma preservando un isolamento totale dei flussi video all'interno delle mura di ciascun negozio, eludendo ogni contestazione in materia di esportazione illecita di prove visive.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CONCLUSIONE STRATEGICA (BLUE OCEAN)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Incrociando le vulnerabilità letali sistemiche dell'infrastruttura cinese (bannata dall'imminente applicazione dell'AI Act e resa inoperabile dalle maglie del GDPR in materia di biometria), il debito tecnico e l'insostenibilità finanziaria dei colossi nordamericani (ancorati a modelli hardware-centrici, setup fee esorbitanti e inefficienze legate al cloud compute), e sfruttando i più avanzati paradigmi architetturali mutuati dall'industria bellica e medica francese, la proposta di valore tecnica della nuova startup B2B si colloca in un perfetto "Blue Ocean" competitivo.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Per sbaragliare la concorrenza nel mid-market europeo, la Proposta di Valore (Value Proposition) si cristallizza nei seguenti tre imperativi architetturali e strategici:</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Immunità Normativa Assoluta ("Privacy-by-Architecture"):</w:t>
      </w:r>
      <w:r w:rsidDel="00000000" w:rsidR="00000000" w:rsidRPr="00000000">
        <w:rPr>
          <w:rFonts w:ascii="Arial" w:cs="Arial" w:eastAsia="Arial" w:hAnsi="Arial"/>
          <w:rtl w:val="0"/>
        </w:rPr>
        <w:t xml:space="preserve"> Implementare a livello di kernel la distruzione istantanea in RAM dei </w:t>
      </w:r>
      <w:r w:rsidDel="00000000" w:rsidR="00000000" w:rsidRPr="00000000">
        <w:rPr>
          <w:rFonts w:ascii="Arial" w:cs="Arial" w:eastAsia="Arial" w:hAnsi="Arial"/>
          <w:i w:val="1"/>
          <w:iCs w:val="1"/>
          <w:rtl w:val="0"/>
        </w:rPr>
        <w:t xml:space="preserve">raw frames</w:t>
      </w:r>
      <w:r w:rsidDel="00000000" w:rsidR="00000000" w:rsidRPr="00000000">
        <w:rPr>
          <w:rFonts w:ascii="Arial" w:cs="Arial" w:eastAsia="Arial" w:hAnsi="Arial"/>
          <w:rtl w:val="0"/>
        </w:rPr>
        <w:t xml:space="preserve"> video ed eseguire esclusivamente l'inferenza spaziale dei movimenti scheletrici e posturali per la prevenzione furti, scartando sistematicamente l'estrazione di matrici biometriche facciali. Questo design declassa nativamente il trattamento dei dati, allontanandolo dai divieti ad alto rischio dell'AI Act (Emotion Recognition) e dai requisiti di consenso dell'Articolo 9 del GDPR, permettendo di operare in totale sicurezza legale sotto lo scudo del "Legittimo Interesse" (Art. 6) e agevolando in modo decisivo l'approvazione delle rappresentanze sindacali (Articolo 4 Statuto Lavoratori).</w:t>
      </w:r>
      <w:r w:rsidDel="00000000" w:rsidR="00000000" w:rsidRPr="00000000">
        <w:rPr>
          <w:rtl w:val="0"/>
        </w:rPr>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Economie Unitarie Asimmetriche ("Zero-Friction CAPEX"):</w:t>
      </w:r>
      <w:r w:rsidDel="00000000" w:rsidR="00000000" w:rsidRPr="00000000">
        <w:rPr>
          <w:rFonts w:ascii="Arial" w:cs="Arial" w:eastAsia="Arial" w:hAnsi="Arial"/>
          <w:rtl w:val="0"/>
        </w:rPr>
        <w:t xml:space="preserve"> Disconnettere la crescita aziendale dalla catena di approvvigionamento hardware. Rinunciando alla vendita di sensori volumetrici 3D o telecamere proprietarie, e basando l'ingestione dei flussi sull'integrazione diretta via protocolli standard (RTSP/ONVIF) con le infrastrutture VMS preesistenti, i costi di attivazione (setup fees) per il retailer crollano drasticamente. L'utilizzo di micro-appliance Edge a basso costo per l'inferenza locale azzera i costi della banda larga e dei cicli di elaborazione cloud (che hanno affondato i modelli Just Walk Out), abilitando un modello SaaS puro, iper-scalabile e con margini operativi lordi vicini al 90%.</w:t>
      </w:r>
      <w:r w:rsidDel="00000000" w:rsidR="00000000" w:rsidRPr="00000000">
        <w:rPr>
          <w:rtl w:val="0"/>
        </w:rPr>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line="275.9999942779541" w:lineRule="auto"/>
        <w:ind w:left="600" w:hanging="360"/>
        <w:rPr/>
      </w:pPr>
      <w:r w:rsidDel="00000000" w:rsidR="00000000" w:rsidRPr="00000000">
        <w:rPr>
          <w:rFonts w:ascii="Arial" w:cs="Arial" w:eastAsia="Arial" w:hAnsi="Arial"/>
          <w:b w:val="1"/>
          <w:bCs w:val="1"/>
          <w:rtl w:val="0"/>
        </w:rPr>
        <w:t xml:space="preserve">Intelligenza Collettiva Decentralizzata ("Federated Security"):</w:t>
      </w:r>
      <w:r w:rsidDel="00000000" w:rsidR="00000000" w:rsidRPr="00000000">
        <w:rPr>
          <w:rFonts w:ascii="Arial" w:cs="Arial" w:eastAsia="Arial" w:hAnsi="Arial"/>
          <w:rtl w:val="0"/>
        </w:rPr>
        <w:t xml:space="preserve"> Mutuare le logiche dell'insurtech francese per costruire la prima rete di Loss Prevention federata d'Europa. I nodi Edge posizionati nei punti vendita miglioreranno costantemente l'accuratezza del modello globale nell'identificare nuovi pattern di frode comportamentale, scambiandosi esclusivamente i gradienti matematici della rete neurale aggiornata al posto dei video reali dei taccheggi. Ciò genera una barriera all'ingresso tecnologica che i fornitori legati ai VMS tradizionali o vincolati al trasferimento massivo di video in cloud non possiedono le fondamenta architetturali per replicare.</w:t>
        <w:br w:type="textWrapping"/>
        <w:br w:type="textWrapping"/>
        <w:br w:type="textWrapping"/>
        <w:t xml:space="preserve">riassunt</w:t>
      </w:r>
      <w:r w:rsidDel="00000000" w:rsidR="00000000" w:rsidRPr="00000000">
        <w:rPr>
          <w:rtl w:val="0"/>
        </w:rPr>
        <w:t xml:space="preserve">o</w:t>
        <w:br w:type="textWrapping"/>
      </w:r>
      <w:r w:rsidDel="00000000" w:rsidR="00000000" w:rsidRPr="00000000">
        <w:rPr>
          <w:b w:val="1"/>
          <w:bCs w:val="1"/>
          <w:rtl w:val="0"/>
        </w:rPr>
        <w:t xml:space="preserve">1. Mappatura dei Competitor Globali</w:t>
      </w:r>
      <w:r w:rsidDel="00000000" w:rsidR="00000000" w:rsidRPr="00000000">
        <w:rPr>
          <w:rtl w:val="0"/>
        </w:rPr>
      </w:r>
    </w:p>
    <w:p w:rsidR="00000000" w:rsidDel="00000000" w:rsidP="00000000" w:rsidRDefault="00000000" w:rsidRPr="00000000" w14:paraId="00000054">
      <w:pPr>
        <w:numPr>
          <w:ilvl w:val="0"/>
          <w:numId w:val="6"/>
        </w:numPr>
        <w:spacing w:after="0" w:before="0" w:line="275.9999942779541" w:lineRule="auto"/>
        <w:ind w:left="720" w:hanging="360"/>
        <w:rPr/>
      </w:pPr>
      <w:r w:rsidDel="00000000" w:rsidR="00000000" w:rsidRPr="00000000">
        <w:rPr>
          <w:b w:val="1"/>
          <w:bCs w:val="1"/>
          <w:rtl w:val="0"/>
        </w:rPr>
        <w:t xml:space="preserve">Nord America (es. Standard AI, Solink):</w:t>
      </w:r>
      <w:r w:rsidDel="00000000" w:rsidR="00000000" w:rsidRPr="00000000">
        <w:rPr>
          <w:rtl w:val="0"/>
        </w:rPr>
        <w:t xml:space="preserve"> Operano con un modello "Hardware-enabled SaaS" caratterizzato da alti costi CAPEX a carico del retailer, imponendo l'installazione di server e sensori ottici dedicati.</w:t>
        <w:br w:type="textWrapping"/>
        <w:t xml:space="preserve">DOCX</w:t>
      </w:r>
    </w:p>
    <w:p w:rsidR="00000000" w:rsidDel="00000000" w:rsidP="00000000" w:rsidRDefault="00000000" w:rsidRPr="00000000" w14:paraId="00000055">
      <w:pPr>
        <w:numPr>
          <w:ilvl w:val="0"/>
          <w:numId w:val="6"/>
        </w:numPr>
        <w:spacing w:after="0" w:before="0" w:line="275.9999942779541" w:lineRule="auto"/>
        <w:ind w:left="720" w:hanging="360"/>
        <w:rPr/>
      </w:pPr>
      <w:r w:rsidDel="00000000" w:rsidR="00000000" w:rsidRPr="00000000">
        <w:rPr>
          <w:b w:val="1"/>
          <w:bCs w:val="1"/>
          <w:rtl w:val="0"/>
        </w:rPr>
        <w:t xml:space="preserve">Asia (es. SenseTime, Hikvision):</w:t>
      </w:r>
      <w:r w:rsidDel="00000000" w:rsidR="00000000" w:rsidRPr="00000000">
        <w:rPr>
          <w:rtl w:val="0"/>
        </w:rPr>
        <w:t xml:space="preserve"> Sfruttano un lock-in totale su hardware proprietario sussidiato dallo Stato, con un focus operativo sulla sorveglianza biometrica di massa e sull'Emotion Recognition.</w:t>
        <w:br w:type="textWrapping"/>
        <w:t xml:space="preserve">DOCX</w:t>
      </w:r>
    </w:p>
    <w:p w:rsidR="00000000" w:rsidDel="00000000" w:rsidP="00000000" w:rsidRDefault="00000000" w:rsidRPr="00000000" w14:paraId="00000056">
      <w:pPr>
        <w:numPr>
          <w:ilvl w:val="0"/>
          <w:numId w:val="6"/>
        </w:numPr>
        <w:spacing w:after="240" w:before="0" w:line="275.9999942779541" w:lineRule="auto"/>
        <w:ind w:left="720" w:hanging="360"/>
        <w:rPr/>
      </w:pPr>
      <w:r w:rsidDel="00000000" w:rsidR="00000000" w:rsidRPr="00000000">
        <w:rPr>
          <w:b w:val="1"/>
          <w:bCs w:val="1"/>
          <w:rtl w:val="0"/>
        </w:rPr>
        <w:t xml:space="preserve">Europa (es. Veesion, Aura Vision):</w:t>
      </w:r>
      <w:r w:rsidDel="00000000" w:rsidR="00000000" w:rsidRPr="00000000">
        <w:rPr>
          <w:rtl w:val="0"/>
        </w:rPr>
        <w:t xml:space="preserve"> Adottano un modello OPEX (SaaS puro) "hardware-agnostic", collegandosi ai flussi RTSP degli NVR preesistenti per eseguire analisi comportamentali e mappe di calore senza estrarre identità biometriche.</w:t>
        <w:br w:type="textWrapping"/>
        <w:t xml:space="preserve">DOCX</w:t>
      </w:r>
    </w:p>
    <w:p w:rsidR="00000000" w:rsidDel="00000000" w:rsidP="00000000" w:rsidRDefault="00000000" w:rsidRPr="00000000" w14:paraId="00000057">
      <w:pPr>
        <w:spacing w:after="240" w:before="240" w:line="275.9999942779541" w:lineRule="auto"/>
        <w:rPr>
          <w:b w:val="1"/>
          <w:bCs w:val="1"/>
        </w:rPr>
      </w:pPr>
      <w:r w:rsidDel="00000000" w:rsidR="00000000" w:rsidRPr="00000000">
        <w:rPr>
          <w:b w:val="1"/>
          <w:bCs w:val="1"/>
          <w:rtl w:val="0"/>
        </w:rPr>
        <w:t xml:space="preserve">2. Scudo Normativo: GDPR, AI Act e Diritto del Lavoro</w:t>
      </w:r>
    </w:p>
    <w:p w:rsidR="00000000" w:rsidDel="00000000" w:rsidP="00000000" w:rsidRDefault="00000000" w:rsidRPr="00000000" w14:paraId="00000058">
      <w:pPr>
        <w:numPr>
          <w:ilvl w:val="0"/>
          <w:numId w:val="1"/>
        </w:numPr>
        <w:spacing w:after="0" w:before="240" w:line="275.9999942779541" w:lineRule="auto"/>
        <w:ind w:left="720" w:hanging="360"/>
        <w:rPr/>
      </w:pPr>
      <w:r w:rsidDel="00000000" w:rsidR="00000000" w:rsidRPr="00000000">
        <w:rPr>
          <w:b w:val="1"/>
          <w:bCs w:val="1"/>
          <w:rtl w:val="0"/>
        </w:rPr>
        <w:t xml:space="preserve">Barriera dell'AI Act:</w:t>
      </w:r>
      <w:r w:rsidDel="00000000" w:rsidR="00000000" w:rsidRPr="00000000">
        <w:rPr>
          <w:rtl w:val="0"/>
        </w:rPr>
        <w:t xml:space="preserve"> Le soluzioni asiatiche risultano strutturalmente illegali per l'adozione in Europa, poiché violano l'Articolo 9 del GDPR sui dati biometrici e i divieti dell'AI Act sul riconoscimento delle emozioni sul posto di lavoro.</w:t>
        <w:br w:type="textWrapping"/>
        <w:t xml:space="preserve">DOCX</w:t>
      </w:r>
    </w:p>
    <w:p w:rsidR="00000000" w:rsidDel="00000000" w:rsidP="00000000" w:rsidRDefault="00000000" w:rsidRPr="00000000" w14:paraId="00000059">
      <w:pPr>
        <w:numPr>
          <w:ilvl w:val="0"/>
          <w:numId w:val="1"/>
        </w:numPr>
        <w:spacing w:after="0" w:before="0" w:line="275.9999942779541" w:lineRule="auto"/>
        <w:ind w:left="720" w:hanging="360"/>
        <w:rPr/>
      </w:pPr>
      <w:r w:rsidDel="00000000" w:rsidR="00000000" w:rsidRPr="00000000">
        <w:rPr>
          <w:b w:val="1"/>
          <w:bCs w:val="1"/>
          <w:rtl w:val="0"/>
        </w:rPr>
        <w:t xml:space="preserve">Leva del Legittimo Interesse:</w:t>
      </w:r>
      <w:r w:rsidDel="00000000" w:rsidR="00000000" w:rsidRPr="00000000">
        <w:rPr>
          <w:rtl w:val="0"/>
        </w:rPr>
        <w:t xml:space="preserve"> Concentrando l'analisi esclusivamente sulla cinematica del corpo per rilevare i furti, è possibile operare legalmente sotto il "Legittimo Interesse" aziendale (Art. 6.1.f GDPR) senza richiedere il consenso dei clienti.</w:t>
        <w:br w:type="textWrapping"/>
        <w:t xml:space="preserve">DOCX</w:t>
      </w:r>
    </w:p>
    <w:p w:rsidR="00000000" w:rsidDel="00000000" w:rsidP="00000000" w:rsidRDefault="00000000" w:rsidRPr="00000000" w14:paraId="0000005A">
      <w:pPr>
        <w:numPr>
          <w:ilvl w:val="0"/>
          <w:numId w:val="1"/>
        </w:numPr>
        <w:spacing w:after="0" w:before="0" w:line="275.9999942779541" w:lineRule="auto"/>
        <w:ind w:left="720" w:hanging="360"/>
        <w:rPr/>
      </w:pPr>
      <w:r w:rsidDel="00000000" w:rsidR="00000000" w:rsidRPr="00000000">
        <w:rPr>
          <w:b w:val="1"/>
          <w:bCs w:val="1"/>
          <w:rtl w:val="0"/>
        </w:rPr>
        <w:t xml:space="preserve">Giuslavoro (L. 300/1970):</w:t>
      </w:r>
      <w:r w:rsidDel="00000000" w:rsidR="00000000" w:rsidRPr="00000000">
        <w:rPr>
          <w:rtl w:val="0"/>
        </w:rPr>
        <w:t xml:space="preserve"> Addestrare l'algoritmo per oscurare dinamicamente le uniformi aziendali disinnesca il divieto di controllo a distanza dei lavoratori previsto dallo Statuto dei Lavoratori italiano, facilitando le autorizzazioni sindacali o dell'Ispettorato del Lavoro.</w:t>
        <w:br w:type="textWrapping"/>
        <w:t xml:space="preserve">DOCX</w:t>
      </w:r>
    </w:p>
    <w:p w:rsidR="00000000" w:rsidDel="00000000" w:rsidP="00000000" w:rsidRDefault="00000000" w:rsidRPr="00000000" w14:paraId="0000005B">
      <w:pPr>
        <w:numPr>
          <w:ilvl w:val="0"/>
          <w:numId w:val="1"/>
        </w:numPr>
        <w:spacing w:after="240" w:before="0" w:line="275.9999942779541" w:lineRule="auto"/>
        <w:ind w:left="720" w:hanging="360"/>
        <w:rPr/>
      </w:pPr>
      <w:r w:rsidDel="00000000" w:rsidR="00000000" w:rsidRPr="00000000">
        <w:rPr>
          <w:b w:val="1"/>
          <w:bCs w:val="1"/>
          <w:rtl w:val="0"/>
        </w:rPr>
        <w:t xml:space="preserve">Risparmio sulle Certificazioni:</w:t>
      </w:r>
      <w:r w:rsidDel="00000000" w:rsidR="00000000" w:rsidRPr="00000000">
        <w:rPr>
          <w:rtl w:val="0"/>
        </w:rPr>
        <w:t xml:space="preserve"> Estrarre solo metadati all'Edge distruggendo i video abbatte il perimetro di rischio, riducendo i costi e i tempi per ottenere le certificazioni ISO 27001 e ISO 27701 rispetto alle architetture Cloud-heavy.</w:t>
        <w:br w:type="textWrapping"/>
        <w:t xml:space="preserve">DOCX</w:t>
      </w:r>
    </w:p>
    <w:p w:rsidR="00000000" w:rsidDel="00000000" w:rsidP="00000000" w:rsidRDefault="00000000" w:rsidRPr="00000000" w14:paraId="0000005C">
      <w:pPr>
        <w:spacing w:after="240" w:before="240" w:line="275.9999942779541" w:lineRule="auto"/>
        <w:rPr>
          <w:b w:val="1"/>
          <w:bCs w:val="1"/>
        </w:rPr>
      </w:pPr>
      <w:r w:rsidDel="00000000" w:rsidR="00000000" w:rsidRPr="00000000">
        <w:rPr>
          <w:b w:val="1"/>
          <w:bCs w:val="1"/>
          <w:rtl w:val="0"/>
        </w:rPr>
        <w:t xml:space="preserve">3. Lezioni dal Collasso del "Just Walk Out"</w:t>
      </w:r>
    </w:p>
    <w:p w:rsidR="00000000" w:rsidDel="00000000" w:rsidP="00000000" w:rsidRDefault="00000000" w:rsidRPr="00000000" w14:paraId="0000005D">
      <w:pPr>
        <w:numPr>
          <w:ilvl w:val="0"/>
          <w:numId w:val="2"/>
        </w:numPr>
        <w:spacing w:after="0" w:before="240" w:line="275.9999942779541" w:lineRule="auto"/>
        <w:ind w:left="720" w:hanging="360"/>
        <w:rPr/>
      </w:pPr>
      <w:r w:rsidDel="00000000" w:rsidR="00000000" w:rsidRPr="00000000">
        <w:rPr>
          <w:rtl w:val="0"/>
        </w:rPr>
        <w:t xml:space="preserve">I sistemi di autonomous checkout puro (come Grabango o l'originario Standard AI) sono falliti a causa di Unit Economics insostenibili: l'infrastruttura richiedeva da 30 a 200 telecamere per negozio, con costi di implementazione fino a 320.000 dollari.</w:t>
        <w:br w:type="textWrapping"/>
        <w:t xml:space="preserve">DOCX</w:t>
      </w:r>
    </w:p>
    <w:p w:rsidR="00000000" w:rsidDel="00000000" w:rsidP="00000000" w:rsidRDefault="00000000" w:rsidRPr="00000000" w14:paraId="0000005E">
      <w:pPr>
        <w:numPr>
          <w:ilvl w:val="0"/>
          <w:numId w:val="2"/>
        </w:numPr>
        <w:spacing w:after="240" w:before="0" w:line="275.9999942779541" w:lineRule="auto"/>
        <w:ind w:left="720" w:hanging="360"/>
        <w:rPr/>
      </w:pPr>
      <w:r w:rsidDel="00000000" w:rsidR="00000000" w:rsidRPr="00000000">
        <w:rPr>
          <w:rtl w:val="0"/>
        </w:rPr>
        <w:t xml:space="preserve">L'ingestione di decine di terabyte di dati video verso il Cloud annullava i risparmi sul personale. La strategia corretta impone il dogma "Zero Proprietary Hardware", scaricando il calcolo su micro-appliance Edge locali per garantire margini lordi vicini al 90%.</w:t>
        <w:br w:type="textWrapping"/>
        <w:t xml:space="preserve">DOCX+ 1</w:t>
      </w:r>
    </w:p>
    <w:p w:rsidR="00000000" w:rsidDel="00000000" w:rsidP="00000000" w:rsidRDefault="00000000" w:rsidRPr="00000000" w14:paraId="0000005F">
      <w:pPr>
        <w:spacing w:after="240" w:before="240" w:line="275.9999942779541" w:lineRule="auto"/>
        <w:rPr>
          <w:b w:val="1"/>
          <w:bCs w:val="1"/>
        </w:rPr>
      </w:pPr>
      <w:r w:rsidDel="00000000" w:rsidR="00000000" w:rsidRPr="00000000">
        <w:rPr>
          <w:b w:val="1"/>
          <w:bCs w:val="1"/>
          <w:rtl w:val="0"/>
        </w:rPr>
        <w:t xml:space="preserve">4. Tech-Transfer e "Blue Ocean Strategy"</w:t>
      </w:r>
    </w:p>
    <w:p w:rsidR="00000000" w:rsidDel="00000000" w:rsidP="00000000" w:rsidRDefault="00000000" w:rsidRPr="00000000" w14:paraId="00000060">
      <w:pPr>
        <w:numPr>
          <w:ilvl w:val="0"/>
          <w:numId w:val="3"/>
        </w:numPr>
        <w:spacing w:after="0" w:before="240" w:line="275.9999942779541" w:lineRule="auto"/>
        <w:ind w:left="720" w:hanging="360"/>
        <w:rPr/>
      </w:pPr>
      <w:r w:rsidDel="00000000" w:rsidR="00000000" w:rsidRPr="00000000">
        <w:rPr>
          <w:b w:val="1"/>
          <w:bCs w:val="1"/>
          <w:rtl w:val="0"/>
        </w:rPr>
        <w:t xml:space="preserve">Edge Computing Estremo (settore militare):</w:t>
      </w:r>
      <w:r w:rsidDel="00000000" w:rsidR="00000000" w:rsidRPr="00000000">
        <w:rPr>
          <w:rtl w:val="0"/>
        </w:rPr>
        <w:t xml:space="preserve"> Come i sistemi dei droni militari, l'inferenza per l'antifurto deve avvenire interamente offline sull'appliance del negozio, garantendo allerte immediate anche senza connessione internet.</w:t>
        <w:br w:type="textWrapping"/>
        <w:t xml:space="preserve">DOCX</w:t>
      </w:r>
    </w:p>
    <w:p w:rsidR="00000000" w:rsidDel="00000000" w:rsidP="00000000" w:rsidRDefault="00000000" w:rsidRPr="00000000" w14:paraId="00000061">
      <w:pPr>
        <w:numPr>
          <w:ilvl w:val="0"/>
          <w:numId w:val="3"/>
        </w:numPr>
        <w:spacing w:after="0" w:before="0" w:line="275.9999942779541" w:lineRule="auto"/>
        <w:ind w:left="720" w:hanging="360"/>
        <w:rPr/>
      </w:pPr>
      <w:r w:rsidDel="00000000" w:rsidR="00000000" w:rsidRPr="00000000">
        <w:rPr>
          <w:b w:val="1"/>
          <w:bCs w:val="1"/>
          <w:rtl w:val="0"/>
        </w:rPr>
        <w:t xml:space="preserve">Sanitizzazione in RAM (settore medico):</w:t>
      </w:r>
      <w:r w:rsidDel="00000000" w:rsidR="00000000" w:rsidRPr="00000000">
        <w:rPr>
          <w:rtl w:val="0"/>
        </w:rPr>
        <w:t xml:space="preserve"> I volti vengono sfocati vettorialmente e i frame distrutti nella memoria volatile in circa 30 millisecondi, garantendo che il dato biometrico non esista mai in forma persistente sui dischi rigidi.</w:t>
        <w:br w:type="textWrapping"/>
        <w:t xml:space="preserve">DOCX</w:t>
      </w:r>
    </w:p>
    <w:p w:rsidR="00000000" w:rsidDel="00000000" w:rsidP="00000000" w:rsidRDefault="00000000" w:rsidRPr="00000000" w14:paraId="00000062">
      <w:pPr>
        <w:numPr>
          <w:ilvl w:val="0"/>
          <w:numId w:val="3"/>
        </w:numPr>
        <w:spacing w:after="0" w:before="0" w:line="275.9999942779541" w:lineRule="auto"/>
        <w:ind w:left="720" w:hanging="360"/>
        <w:rPr/>
      </w:pPr>
      <w:r w:rsidDel="00000000" w:rsidR="00000000" w:rsidRPr="00000000">
        <w:rPr>
          <w:b w:val="1"/>
          <w:bCs w:val="1"/>
          <w:rtl w:val="0"/>
        </w:rPr>
        <w:t xml:space="preserve">Federated Learning (Insurtech):</w:t>
      </w:r>
      <w:r w:rsidDel="00000000" w:rsidR="00000000" w:rsidRPr="00000000">
        <w:rPr>
          <w:rtl w:val="0"/>
        </w:rPr>
        <w:t xml:space="preserve"> I server Edge di ogni supermercato condividono con il Cloud centrale solo gli aggiornamenti matematici della rete neurale (i pesi) per affinare collettivamente la prevenzione dei furti, senza mai trasmettere i video originali all'esterno del negozio.</w:t>
        <w:br w:type="textWrapping"/>
        <w:t xml:space="preserve">DOCX</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tl w:val="0"/>
        </w:rPr>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Bibliografia</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Top 20 Checkout Free Stores and Solution Providers - AIMultiple, </w:t>
      </w:r>
      <w:hyperlink r:id="rId7">
        <w:r w:rsidDel="00000000" w:rsidR="00000000" w:rsidRPr="00000000">
          <w:rPr>
            <w:rFonts w:ascii="Arial" w:cs="Arial" w:eastAsia="Arial" w:hAnsi="Arial"/>
            <w:color w:val="0000ee"/>
            <w:sz w:val="24"/>
            <w:szCs w:val="24"/>
            <w:u w:val="single"/>
            <w:rtl w:val="0"/>
          </w:rPr>
          <w:t xml:space="preserve">https://aimultiple.com/checkout-free-stores</w:t>
        </w:r>
      </w:hyperlink>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AI Authoritarian Tools - Longterm Wiki, </w:t>
      </w:r>
      <w:hyperlink r:id="rId8">
        <w:r w:rsidDel="00000000" w:rsidR="00000000" w:rsidRPr="00000000">
          <w:rPr>
            <w:rFonts w:ascii="Arial" w:cs="Arial" w:eastAsia="Arial" w:hAnsi="Arial"/>
            <w:color w:val="0000ee"/>
            <w:sz w:val="24"/>
            <w:szCs w:val="24"/>
            <w:u w:val="single"/>
            <w:rtl w:val="0"/>
          </w:rPr>
          <w:t xml:space="preserve">https://www.longtermwiki.com/wiki/E30</w:t>
        </w:r>
      </w:hyperlink>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Designing Alternatives to China's Surveillance State - CSET, </w:t>
      </w:r>
      <w:hyperlink r:id="rId9">
        <w:r w:rsidDel="00000000" w:rsidR="00000000" w:rsidRPr="00000000">
          <w:rPr>
            <w:rFonts w:ascii="Arial" w:cs="Arial" w:eastAsia="Arial" w:hAnsi="Arial"/>
            <w:color w:val="0000ee"/>
            <w:sz w:val="24"/>
            <w:szCs w:val="24"/>
            <w:u w:val="single"/>
            <w:rtl w:val="0"/>
          </w:rPr>
          <w:t xml:space="preserve">https://cset.georgetown.edu/wp-content/uploads/CSET-Designing-Alternatives-to-Chinas-Surveillance-State.pdf</w:t>
        </w:r>
      </w:hyperlink>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AI Development and The Fuzzy Logic of Chinese Cyber Security and, </w:t>
      </w:r>
      <w:hyperlink r:id="rId10">
        <w:r w:rsidDel="00000000" w:rsidR="00000000" w:rsidRPr="00000000">
          <w:rPr>
            <w:rFonts w:ascii="Arial" w:cs="Arial" w:eastAsia="Arial" w:hAnsi="Arial"/>
            <w:color w:val="0000ee"/>
            <w:sz w:val="24"/>
            <w:szCs w:val="24"/>
            <w:u w:val="single"/>
            <w:rtl w:val="0"/>
          </w:rPr>
          <w:t xml:space="preserve">https://www.scribd.com/document/782428824/AI-Development-and-the-Fuzzy-Logic-of-Chinese-Cyber-Security-And</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Europe's Capacity to Act in the Global Tech Race, </w:t>
      </w:r>
      <w:hyperlink r:id="rId11">
        <w:r w:rsidDel="00000000" w:rsidR="00000000" w:rsidRPr="00000000">
          <w:rPr>
            <w:rFonts w:ascii="Arial" w:cs="Arial" w:eastAsia="Arial" w:hAnsi="Arial"/>
            <w:color w:val="0000ee"/>
            <w:sz w:val="24"/>
            <w:szCs w:val="24"/>
            <w:u w:val="single"/>
            <w:rtl w:val="0"/>
          </w:rPr>
          <w:t xml:space="preserve">https://www.ssoar.info/ssoar/bitstream/document/73445/1/73445_1.pdf</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Geopolitical implications of AI and digital surveillance adoption, </w:t>
      </w:r>
      <w:hyperlink r:id="rId12">
        <w:r w:rsidDel="00000000" w:rsidR="00000000" w:rsidRPr="00000000">
          <w:rPr>
            <w:rFonts w:ascii="Arial" w:cs="Arial" w:eastAsia="Arial" w:hAnsi="Arial"/>
            <w:color w:val="0000ee"/>
            <w:sz w:val="24"/>
            <w:szCs w:val="24"/>
            <w:u w:val="single"/>
            <w:rtl w:val="0"/>
          </w:rPr>
          <w:t xml:space="preserve">https://www.brookings.edu/wp-content/uploads/2022/06/FP_20220621_surveillance_exports_peterson_hoffman_v2.pdf</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Emotional Entanglement: - Article 19, </w:t>
      </w:r>
      <w:hyperlink r:id="rId13">
        <w:r w:rsidDel="00000000" w:rsidR="00000000" w:rsidRPr="00000000">
          <w:rPr>
            <w:rFonts w:ascii="Arial" w:cs="Arial" w:eastAsia="Arial" w:hAnsi="Arial"/>
            <w:color w:val="0000ee"/>
            <w:sz w:val="24"/>
            <w:szCs w:val="24"/>
            <w:u w:val="single"/>
            <w:rtl w:val="0"/>
          </w:rPr>
          <w:t xml:space="preserve">https://www.article19.org/wp-content/uploads/2021/01/ER-Tech-China-Report.pdf</w:t>
        </w:r>
      </w:hyperlink>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Software di Videosorveglianza intelligente - Veesion, </w:t>
      </w:r>
      <w:hyperlink r:id="rId14">
        <w:r w:rsidDel="00000000" w:rsidR="00000000" w:rsidRPr="00000000">
          <w:rPr>
            <w:rFonts w:ascii="Arial" w:cs="Arial" w:eastAsia="Arial" w:hAnsi="Arial"/>
            <w:color w:val="0000ee"/>
            <w:sz w:val="24"/>
            <w:szCs w:val="24"/>
            <w:u w:val="single"/>
            <w:rtl w:val="0"/>
          </w:rPr>
          <w:t xml:space="preserve">https://veesion.io/it/</w:t>
        </w:r>
      </w:hyperlink>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Videosorveglianza intelligente per Supermercati - Veesion, </w:t>
      </w:r>
      <w:hyperlink r:id="rId15">
        <w:r w:rsidDel="00000000" w:rsidR="00000000" w:rsidRPr="00000000">
          <w:rPr>
            <w:rFonts w:ascii="Arial" w:cs="Arial" w:eastAsia="Arial" w:hAnsi="Arial"/>
            <w:color w:val="0000ee"/>
            <w:sz w:val="24"/>
            <w:szCs w:val="24"/>
            <w:u w:val="single"/>
            <w:rtl w:val="0"/>
          </w:rPr>
          <w:t xml:space="preserve">https://veesion.io/it/settori/videosorveglianza-supermercati/</w:t>
        </w:r>
      </w:hyperlink>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The Global Implications of “Re-education” Technologies in, </w:t>
      </w:r>
      <w:hyperlink r:id="rId16">
        <w:r w:rsidDel="00000000" w:rsidR="00000000" w:rsidRPr="00000000">
          <w:rPr>
            <w:rFonts w:ascii="Arial" w:cs="Arial" w:eastAsia="Arial" w:hAnsi="Arial"/>
            <w:color w:val="0000ee"/>
            <w:sz w:val="24"/>
            <w:szCs w:val="24"/>
            <w:u w:val="single"/>
            <w:rtl w:val="0"/>
          </w:rPr>
          <w:t xml:space="preserve">https://newlinesinstitute.org/intl-law-peace/the-global-implications-of-re-education-technologies-in-northwest-china/</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EDPB guidelines on video devices - CIPP Training.com, </w:t>
      </w:r>
      <w:hyperlink r:id="rId17">
        <w:r w:rsidDel="00000000" w:rsidR="00000000" w:rsidRPr="00000000">
          <w:rPr>
            <w:rFonts w:ascii="Arial" w:cs="Arial" w:eastAsia="Arial" w:hAnsi="Arial"/>
            <w:color w:val="0000ee"/>
            <w:sz w:val="24"/>
            <w:szCs w:val="24"/>
            <w:u w:val="single"/>
            <w:rtl w:val="0"/>
          </w:rPr>
          <w:t xml:space="preserve">https://cipptraining.com/edpb-guidelines-on-processing-through-video-devices/</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GDPR for Video Surveillance: Lawful Basis to DPIA - Fora Soft, </w:t>
      </w:r>
      <w:hyperlink r:id="rId18">
        <w:r w:rsidDel="00000000" w:rsidR="00000000" w:rsidRPr="00000000">
          <w:rPr>
            <w:rFonts w:ascii="Arial" w:cs="Arial" w:eastAsia="Arial" w:hAnsi="Arial"/>
            <w:color w:val="0000ee"/>
            <w:sz w:val="24"/>
            <w:szCs w:val="24"/>
            <w:u w:val="single"/>
            <w:rtl w:val="0"/>
          </w:rPr>
          <w:t xml:space="preserve">https://www.forasoft.com/learn/video-surveillance/articles-vms/gdpr-for-video-surveillance</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Facial recognition and data protection: new guidelines in the, </w:t>
      </w:r>
      <w:hyperlink r:id="rId19">
        <w:r w:rsidDel="00000000" w:rsidR="00000000" w:rsidRPr="00000000">
          <w:rPr>
            <w:rFonts w:ascii="Arial" w:cs="Arial" w:eastAsia="Arial" w:hAnsi="Arial"/>
            <w:color w:val="0000ee"/>
            <w:sz w:val="24"/>
            <w:szCs w:val="24"/>
            <w:u w:val="single"/>
            <w:rtl w:val="0"/>
          </w:rPr>
          <w:t xml:space="preserve">https://www.osborneclarke.com/insights/facial-recognition-and-data-protection-new-guidelines-european-union</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Guidelines 3/2019 on processing of personal data through video, </w:t>
      </w:r>
      <w:hyperlink r:id="rId20">
        <w:r w:rsidDel="00000000" w:rsidR="00000000" w:rsidRPr="00000000">
          <w:rPr>
            <w:rFonts w:ascii="Arial" w:cs="Arial" w:eastAsia="Arial" w:hAnsi="Arial"/>
            <w:color w:val="0000ee"/>
            <w:sz w:val="24"/>
            <w:szCs w:val="24"/>
            <w:u w:val="single"/>
            <w:rtl w:val="0"/>
          </w:rPr>
          <w:t xml:space="preserve">https://www.edpb.europa.eu/system/files/documents/files/file1/edpb_guidelines_201903_video_devices_en_0.pdf</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Guidelines on prohibited artificial intelligence practices established, </w:t>
      </w:r>
      <w:hyperlink r:id="rId21">
        <w:r w:rsidDel="00000000" w:rsidR="00000000" w:rsidRPr="00000000">
          <w:rPr>
            <w:rFonts w:ascii="Arial" w:cs="Arial" w:eastAsia="Arial" w:hAnsi="Arial"/>
            <w:color w:val="0000ee"/>
            <w:sz w:val="24"/>
            <w:szCs w:val="24"/>
            <w:u w:val="single"/>
            <w:rtl w:val="0"/>
          </w:rPr>
          <w:t xml:space="preserve">https://ai-act-service-desk.ec.europa.eu/sites/default/files/2025-08/guidelines_on_prohibited_artificial_intelligence_practices_established_by_regulation_eu_20241689_ai_act_english_ied3r5nwo50xggpcfmwckm3nuc_112367-1.PDF</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Emotion Recognition - Blue Arrow, </w:t>
      </w:r>
      <w:hyperlink r:id="rId22">
        <w:r w:rsidDel="00000000" w:rsidR="00000000" w:rsidRPr="00000000">
          <w:rPr>
            <w:rFonts w:ascii="Arial" w:cs="Arial" w:eastAsia="Arial" w:hAnsi="Arial"/>
            <w:color w:val="0000ee"/>
            <w:sz w:val="24"/>
            <w:szCs w:val="24"/>
            <w:u w:val="single"/>
            <w:rtl w:val="0"/>
          </w:rPr>
          <w:t xml:space="preserve">https://bluearrow.ai/emotion-recognition/</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EU AI Act unpacked #25: European Commission releases critical AI, </w:t>
      </w:r>
      <w:hyperlink r:id="rId23">
        <w:r w:rsidDel="00000000" w:rsidR="00000000" w:rsidRPr="00000000">
          <w:rPr>
            <w:rFonts w:ascii="Arial" w:cs="Arial" w:eastAsia="Arial" w:hAnsi="Arial"/>
            <w:color w:val="0000ee"/>
            <w:sz w:val="24"/>
            <w:szCs w:val="24"/>
            <w:u w:val="single"/>
            <w:rtl w:val="0"/>
          </w:rPr>
          <w:t xml:space="preserve">https://www.freshfields.com/en/our-thinking/blogs/technology-quotient/eu-ai-act-unpacked-25-european-commission-releases-critical-ai-act-implementati-102kfql</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Prohibited AI Practices Under the EU AI Act, </w:t>
      </w:r>
      <w:hyperlink r:id="rId24">
        <w:r w:rsidDel="00000000" w:rsidR="00000000" w:rsidRPr="00000000">
          <w:rPr>
            <w:rFonts w:ascii="Arial" w:cs="Arial" w:eastAsia="Arial" w:hAnsi="Arial"/>
            <w:color w:val="0000ee"/>
            <w:sz w:val="24"/>
            <w:szCs w:val="24"/>
            <w:u w:val="single"/>
            <w:rtl w:val="0"/>
          </w:rPr>
          <w:t xml:space="preserve">https://www.euaiact.com/blog/prohibited-ai-practices-under-the-eu-ai-act</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EU AI Act Annex III List: All 8 High-Risk Areas + Art 6(3) | CloseIT, </w:t>
      </w:r>
      <w:hyperlink r:id="rId25">
        <w:r w:rsidDel="00000000" w:rsidR="00000000" w:rsidRPr="00000000">
          <w:rPr>
            <w:rFonts w:ascii="Arial" w:cs="Arial" w:eastAsia="Arial" w:hAnsi="Arial"/>
            <w:color w:val="0000ee"/>
            <w:sz w:val="24"/>
            <w:szCs w:val="24"/>
            <w:u w:val="single"/>
            <w:rtl w:val="0"/>
          </w:rPr>
          <w:t xml:space="preserve">https://www.closeit.co/eu-ai-act/article-6-high-risk-classification/</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Is Your AI System High-Risk? The EU AI Act Classification Guide, </w:t>
      </w:r>
      <w:hyperlink r:id="rId26">
        <w:r w:rsidDel="00000000" w:rsidR="00000000" w:rsidRPr="00000000">
          <w:rPr>
            <w:rFonts w:ascii="Arial" w:cs="Arial" w:eastAsia="Arial" w:hAnsi="Arial"/>
            <w:color w:val="0000ee"/>
            <w:sz w:val="24"/>
            <w:szCs w:val="24"/>
            <w:u w:val="single"/>
            <w:rtl w:val="0"/>
          </w:rPr>
          <w:t xml:space="preserve">https://www.euaiact.com/blog/eu-ai-act-high-risk-classification</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The EU AI Act Classification: A Decision Framework, </w:t>
      </w:r>
      <w:hyperlink r:id="rId27">
        <w:r w:rsidDel="00000000" w:rsidR="00000000" w:rsidRPr="00000000">
          <w:rPr>
            <w:rFonts w:ascii="Arial" w:cs="Arial" w:eastAsia="Arial" w:hAnsi="Arial"/>
            <w:color w:val="0000ee"/>
            <w:sz w:val="24"/>
            <w:szCs w:val="24"/>
            <w:u w:val="single"/>
            <w:rtl w:val="0"/>
          </w:rPr>
          <w:t xml:space="preserve">https://regulatorydecoded.com/eu-ai-act-classification-article-6-annex-iii/</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Videosorveglianza e GDPR: Normativa Completa per Aziende, </w:t>
      </w:r>
      <w:hyperlink r:id="rId28">
        <w:r w:rsidDel="00000000" w:rsidR="00000000" w:rsidRPr="00000000">
          <w:rPr>
            <w:rFonts w:ascii="Arial" w:cs="Arial" w:eastAsia="Arial" w:hAnsi="Arial"/>
            <w:color w:val="0000ee"/>
            <w:sz w:val="24"/>
            <w:szCs w:val="24"/>
            <w:u w:val="single"/>
            <w:rtl w:val="0"/>
          </w:rPr>
          <w:t xml:space="preserve">https://bulltech.it/blog/videosorveglianza-gdpr-normativa</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Legitimate Interests Assessment (LIA) Under GDPR - Secure Privacy, </w:t>
      </w:r>
      <w:hyperlink r:id="rId29">
        <w:r w:rsidDel="00000000" w:rsidR="00000000" w:rsidRPr="00000000">
          <w:rPr>
            <w:rFonts w:ascii="Arial" w:cs="Arial" w:eastAsia="Arial" w:hAnsi="Arial"/>
            <w:color w:val="0000ee"/>
            <w:sz w:val="24"/>
            <w:szCs w:val="24"/>
            <w:u w:val="single"/>
            <w:rtl w:val="0"/>
          </w:rPr>
          <w:t xml:space="preserve">https://secureprivacy.ai/blog/legitimate-interests-assessment-gdpr-guide</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How to Use Legitimate Interest as a GDPR Legal Basis (and When, </w:t>
      </w:r>
      <w:hyperlink r:id="rId30">
        <w:r w:rsidDel="00000000" w:rsidR="00000000" w:rsidRPr="00000000">
          <w:rPr>
            <w:rFonts w:ascii="Arial" w:cs="Arial" w:eastAsia="Arial" w:hAnsi="Arial"/>
            <w:color w:val="0000ee"/>
            <w:sz w:val="24"/>
            <w:szCs w:val="24"/>
            <w:u w:val="single"/>
            <w:rtl w:val="0"/>
          </w:rPr>
          <w:t xml:space="preserve">https://usercentrics.com/knowledge-hub/gdpr-legitimate-interest/</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the latest CJEU Case and EDPB New Guidelines - EU Law Analysis, </w:t>
      </w:r>
      <w:hyperlink r:id="rId31">
        <w:r w:rsidDel="00000000" w:rsidR="00000000" w:rsidRPr="00000000">
          <w:rPr>
            <w:rFonts w:ascii="Arial" w:cs="Arial" w:eastAsia="Arial" w:hAnsi="Arial"/>
            <w:color w:val="0000ee"/>
            <w:sz w:val="24"/>
            <w:szCs w:val="24"/>
            <w:u w:val="single"/>
            <w:rtl w:val="0"/>
          </w:rPr>
          <w:t xml:space="preserve">http://eulawanalysis.blogspot.com/2024/10/latest-updates-on-legitimate-interest.html</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 Study of the CJEU Case C-621/22 and the EDPB Guidelines, </w:t>
      </w:r>
      <w:hyperlink r:id="rId32">
        <w:r w:rsidDel="00000000" w:rsidR="00000000" w:rsidRPr="00000000">
          <w:rPr>
            <w:rFonts w:ascii="Arial" w:cs="Arial" w:eastAsia="Arial" w:hAnsi="Arial"/>
            <w:color w:val="0000ee"/>
            <w:sz w:val="24"/>
            <w:szCs w:val="24"/>
            <w:u w:val="single"/>
            <w:rtl w:val="0"/>
          </w:rPr>
          <w:t xml:space="preserve">https://kluwerlawonline.com/journalarticle/Global+Privacy+Law+Review/6.1/GPLR2025006</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CJEU: Commercial interest may be considered necessary for, </w:t>
      </w:r>
      <w:hyperlink r:id="rId33">
        <w:r w:rsidDel="00000000" w:rsidR="00000000" w:rsidRPr="00000000">
          <w:rPr>
            <w:rFonts w:ascii="Arial" w:cs="Arial" w:eastAsia="Arial" w:hAnsi="Arial"/>
            <w:color w:val="0000ee"/>
            <w:sz w:val="24"/>
            <w:szCs w:val="24"/>
            <w:u w:val="single"/>
            <w:rtl w:val="0"/>
          </w:rPr>
          <w:t xml:space="preserve">https://www.hsfkramer.com/notes/data/2024-posts/CJEU--Commercial-interest-may-be-considered-necessary-for-controller-s-legitimate-interest-</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Industrial edge vision, no cloud | GDPR &amp; existing cameras - ARCY, </w:t>
      </w:r>
      <w:hyperlink r:id="rId34">
        <w:r w:rsidDel="00000000" w:rsidR="00000000" w:rsidRPr="00000000">
          <w:rPr>
            <w:rFonts w:ascii="Arial" w:cs="Arial" w:eastAsia="Arial" w:hAnsi="Arial"/>
            <w:color w:val="0000ee"/>
            <w:sz w:val="24"/>
            <w:szCs w:val="24"/>
            <w:u w:val="single"/>
            <w:rtl w:val="0"/>
          </w:rPr>
          <w:t xml:space="preserve">https://www.arcy.app/en/edge-computing</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Exploring Pose-Based Anomaly Detection for Retail Security - arXiv, </w:t>
      </w:r>
      <w:hyperlink r:id="rId35">
        <w:r w:rsidDel="00000000" w:rsidR="00000000" w:rsidRPr="00000000">
          <w:rPr>
            <w:rFonts w:ascii="Arial" w:cs="Arial" w:eastAsia="Arial" w:hAnsi="Arial"/>
            <w:color w:val="0000ee"/>
            <w:sz w:val="24"/>
            <w:szCs w:val="24"/>
            <w:u w:val="single"/>
            <w:rtl w:val="0"/>
          </w:rPr>
          <w:t xml:space="preserve">https://arxiv.org/html/2501.06591v1</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Recoverable Anonymization for Pose Estimation: A Privacy ... - arXiv, </w:t>
      </w:r>
      <w:hyperlink r:id="rId36">
        <w:r w:rsidDel="00000000" w:rsidR="00000000" w:rsidRPr="00000000">
          <w:rPr>
            <w:rFonts w:ascii="Arial" w:cs="Arial" w:eastAsia="Arial" w:hAnsi="Arial"/>
            <w:color w:val="0000ee"/>
            <w:sz w:val="24"/>
            <w:szCs w:val="24"/>
            <w:u w:val="single"/>
            <w:rtl w:val="0"/>
          </w:rPr>
          <w:t xml:space="preserve">https://arxiv.org/html/2409.02715v1</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Videosorveglianza: norme, privacy e sanzioni - Impianti Bianchi, </w:t>
      </w:r>
      <w:hyperlink r:id="rId37">
        <w:r w:rsidDel="00000000" w:rsidR="00000000" w:rsidRPr="00000000">
          <w:rPr>
            <w:rFonts w:ascii="Arial" w:cs="Arial" w:eastAsia="Arial" w:hAnsi="Arial"/>
            <w:color w:val="0000ee"/>
            <w:sz w:val="24"/>
            <w:szCs w:val="24"/>
            <w:u w:val="single"/>
            <w:rtl w:val="0"/>
          </w:rPr>
          <w:t xml:space="preserve">https://www.impiantibianchi.it/videosorveglianza-norme-privacy-e-sanzioni/</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Videosorveglianza nei luoghi di lavoro: la guida completa, </w:t>
      </w:r>
      <w:hyperlink r:id="rId38">
        <w:r w:rsidDel="00000000" w:rsidR="00000000" w:rsidRPr="00000000">
          <w:rPr>
            <w:rFonts w:ascii="Arial" w:cs="Arial" w:eastAsia="Arial" w:hAnsi="Arial"/>
            <w:color w:val="0000ee"/>
            <w:sz w:val="24"/>
            <w:szCs w:val="24"/>
            <w:u w:val="single"/>
            <w:rtl w:val="0"/>
          </w:rPr>
          <w:t xml:space="preserve">https://www.studiocampesato.it/videosorveglianza-luoghi-di-lavoro/</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Videosorveglianza e tutela dei cittadini - Elettronica Conte, </w:t>
      </w:r>
      <w:hyperlink r:id="rId39">
        <w:r w:rsidDel="00000000" w:rsidR="00000000" w:rsidRPr="00000000">
          <w:rPr>
            <w:rFonts w:ascii="Arial" w:cs="Arial" w:eastAsia="Arial" w:hAnsi="Arial"/>
            <w:color w:val="0000ee"/>
            <w:sz w:val="24"/>
            <w:szCs w:val="24"/>
            <w:u w:val="single"/>
            <w:rtl w:val="0"/>
          </w:rPr>
          <w:t xml:space="preserve">https://elettronicaconte.it/2021/06/17/videosorveglianza-e-tutela-dei-cittadini/</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Controllo a distanza del lavoratore: autorizzazioni itl per più province, </w:t>
      </w:r>
      <w:hyperlink r:id="rId40">
        <w:r w:rsidDel="00000000" w:rsidR="00000000" w:rsidRPr="00000000">
          <w:rPr>
            <w:rFonts w:ascii="Arial" w:cs="Arial" w:eastAsia="Arial" w:hAnsi="Arial"/>
            <w:color w:val="0000ee"/>
            <w:sz w:val="24"/>
            <w:szCs w:val="24"/>
            <w:u w:val="single"/>
            <w:rtl w:val="0"/>
          </w:rPr>
          <w:t xml:space="preserve">https://studioarinella.it/controllo-a-distanza-del-lavoratore-autorizzazioni-itl-per-piu-province/</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(PDF) Video Surveillance of the Employees Between the Right to, </w:t>
      </w:r>
      <w:hyperlink r:id="rId41">
        <w:r w:rsidDel="00000000" w:rsidR="00000000" w:rsidRPr="00000000">
          <w:rPr>
            <w:rFonts w:ascii="Arial" w:cs="Arial" w:eastAsia="Arial" w:hAnsi="Arial"/>
            <w:color w:val="0000ee"/>
            <w:sz w:val="24"/>
            <w:szCs w:val="24"/>
            <w:u w:val="single"/>
            <w:rtl w:val="0"/>
          </w:rPr>
          <w:t xml:space="preserve">https://www.researchgate.net/publication/345416880_Video_Surveillance_of_the_Employees_Between_the_Right_to_Privacy_and_Right_to_Property_After_Lopez_Ribalda_and_Others_v_Spain</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Covert video surveillance of employees of a Spanish supermarket, </w:t>
      </w:r>
      <w:hyperlink r:id="rId42">
        <w:r w:rsidDel="00000000" w:rsidR="00000000" w:rsidRPr="00000000">
          <w:rPr>
            <w:rFonts w:ascii="Arial" w:cs="Arial" w:eastAsia="Arial" w:hAnsi="Arial"/>
            <w:color w:val="0000ee"/>
            <w:sz w:val="24"/>
            <w:szCs w:val="24"/>
            <w:u w:val="single"/>
            <w:rtl w:val="0"/>
          </w:rPr>
          <w:t xml:space="preserve">https://www.abogacia.es/en/conocenos/bruselas/sentencias/tedh/video-vigilancia-encubierta-a-empleados-de-una-cadena-de-supermercados-espanoles/</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López Ribalda and Others v. Spain [GC] - HUDOC, </w:t>
      </w:r>
      <w:hyperlink r:id="rId43">
        <w:r w:rsidDel="00000000" w:rsidR="00000000" w:rsidRPr="00000000">
          <w:rPr>
            <w:rFonts w:ascii="Arial" w:cs="Arial" w:eastAsia="Arial" w:hAnsi="Arial"/>
            <w:color w:val="0000ee"/>
            <w:sz w:val="24"/>
            <w:szCs w:val="24"/>
            <w:u w:val="single"/>
            <w:rtl w:val="0"/>
          </w:rPr>
          <w:t xml:space="preserve">https://hudoc.echr.coe.int/eng?i=002-12630</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López Ribalda and Others v. Spain – covert surveillance in the, </w:t>
      </w:r>
      <w:hyperlink r:id="rId44">
        <w:r w:rsidDel="00000000" w:rsidR="00000000" w:rsidRPr="00000000">
          <w:rPr>
            <w:rFonts w:ascii="Arial" w:cs="Arial" w:eastAsia="Arial" w:hAnsi="Arial"/>
            <w:color w:val="0000ee"/>
            <w:sz w:val="24"/>
            <w:szCs w:val="24"/>
            <w:u w:val="single"/>
            <w:rtl w:val="0"/>
          </w:rPr>
          <w:t xml:space="preserve">https://strasbourgobservers.com/2019/12/06/lopez-ribalda-and-others-v-spain-covert-surveillance-in-the-workplace-attenuating-the-protection-of-privacy-for-employees/</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López Ribalda and Others v. Spain | Etuc-Lex, </w:t>
      </w:r>
      <w:hyperlink r:id="rId45">
        <w:r w:rsidDel="00000000" w:rsidR="00000000" w:rsidRPr="00000000">
          <w:rPr>
            <w:rFonts w:ascii="Arial" w:cs="Arial" w:eastAsia="Arial" w:hAnsi="Arial"/>
            <w:color w:val="0000ee"/>
            <w:sz w:val="24"/>
            <w:szCs w:val="24"/>
            <w:u w:val="single"/>
            <w:rtl w:val="0"/>
          </w:rPr>
          <w:t xml:space="preserve">https://etuclex.etuc.org/cases/lopez-ribalda-and-others-v-spain</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LÓPEZ RIBALDA AND OTHERS v. SPAIN - HUDOC, </w:t>
      </w:r>
      <w:hyperlink r:id="rId46">
        <w:r w:rsidDel="00000000" w:rsidR="00000000" w:rsidRPr="00000000">
          <w:rPr>
            <w:rFonts w:ascii="Arial" w:cs="Arial" w:eastAsia="Arial" w:hAnsi="Arial"/>
            <w:color w:val="0000ee"/>
            <w:sz w:val="24"/>
            <w:szCs w:val="24"/>
            <w:u w:val="single"/>
            <w:rtl w:val="0"/>
          </w:rPr>
          <w:t xml:space="preserve">https://hudoc.echr.coe.int/fre?i=001-197098</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Protezione dei dati personali - ISDP©10003 - Accredia, </w:t>
      </w:r>
      <w:hyperlink r:id="rId47">
        <w:r w:rsidDel="00000000" w:rsidR="00000000" w:rsidRPr="00000000">
          <w:rPr>
            <w:rFonts w:ascii="Arial" w:cs="Arial" w:eastAsia="Arial" w:hAnsi="Arial"/>
            <w:color w:val="0000ee"/>
            <w:sz w:val="24"/>
            <w:szCs w:val="24"/>
            <w:u w:val="single"/>
            <w:rtl w:val="0"/>
          </w:rPr>
          <w:t xml:space="preserve">https://www.accredia.it/servizio-accreditato/protezione-dei-dati-personali/</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Certificazione ISO 27001: Costi da €2.900 e Tempi 2026 | BullTech, </w:t>
      </w:r>
      <w:hyperlink r:id="rId48">
        <w:r w:rsidDel="00000000" w:rsidR="00000000" w:rsidRPr="00000000">
          <w:rPr>
            <w:rFonts w:ascii="Arial" w:cs="Arial" w:eastAsia="Arial" w:hAnsi="Arial"/>
            <w:color w:val="0000ee"/>
            <w:sz w:val="24"/>
            <w:szCs w:val="24"/>
            <w:u w:val="single"/>
            <w:rtl w:val="0"/>
          </w:rPr>
          <w:t xml:space="preserve">https://bulltech.it/blog/certificazione-iso-27001-costi-tempi</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ISO 27001: quanto costa davvero, come si finanzia, e perché, </w:t>
      </w:r>
      <w:hyperlink r:id="rId49">
        <w:r w:rsidDel="00000000" w:rsidR="00000000" w:rsidRPr="00000000">
          <w:rPr>
            <w:rFonts w:ascii="Arial" w:cs="Arial" w:eastAsia="Arial" w:hAnsi="Arial"/>
            <w:color w:val="0000ee"/>
            <w:sz w:val="24"/>
            <w:szCs w:val="24"/>
            <w:u w:val="single"/>
            <w:rtl w:val="0"/>
          </w:rPr>
          <w:t xml:space="preserve">https://www.contindigital.it/blog/iso-27001-costi-finanza-nis2</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Come implementare la ISO 27001 passo dopo passo? - Factorial, </w:t>
      </w:r>
      <w:hyperlink r:id="rId50">
        <w:r w:rsidDel="00000000" w:rsidR="00000000" w:rsidRPr="00000000">
          <w:rPr>
            <w:rFonts w:ascii="Arial" w:cs="Arial" w:eastAsia="Arial" w:hAnsi="Arial"/>
            <w:color w:val="0000ee"/>
            <w:sz w:val="24"/>
            <w:szCs w:val="24"/>
            <w:u w:val="single"/>
            <w:rtl w:val="0"/>
          </w:rPr>
          <w:t xml:space="preserve">https://factorial.it/blog/come-implementare-iso-27001/</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Consulenza ISO 27701: Sistema di Gestione per le Informazioni, </w:t>
      </w:r>
      <w:hyperlink r:id="rId51">
        <w:r w:rsidDel="00000000" w:rsidR="00000000" w:rsidRPr="00000000">
          <w:rPr>
            <w:rFonts w:ascii="Arial" w:cs="Arial" w:eastAsia="Arial" w:hAnsi="Arial"/>
            <w:color w:val="0000ee"/>
            <w:sz w:val="24"/>
            <w:szCs w:val="24"/>
            <w:u w:val="single"/>
            <w:rtl w:val="0"/>
          </w:rPr>
          <w:t xml:space="preserve">https://www.paolorabaioli.com/consulente-pims/consulenza-iso-iec-27701-sistema-gestione-per-le-informazioni-sulla-privacy</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AiFi: business model, traction, and outlook - Teardown, </w:t>
      </w:r>
      <w:hyperlink r:id="rId52">
        <w:r w:rsidDel="00000000" w:rsidR="00000000" w:rsidRPr="00000000">
          <w:rPr>
            <w:rFonts w:ascii="Arial" w:cs="Arial" w:eastAsia="Arial" w:hAnsi="Arial"/>
            <w:color w:val="0000ee"/>
            <w:sz w:val="24"/>
            <w:szCs w:val="24"/>
            <w:u w:val="single"/>
            <w:rtl w:val="0"/>
          </w:rPr>
          <w:t xml:space="preserve">https://www.teardown.ai/companies/aifi</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Unmanned Convenience Store Market Research Report 2034, </w:t>
      </w:r>
      <w:hyperlink r:id="rId53">
        <w:r w:rsidDel="00000000" w:rsidR="00000000" w:rsidRPr="00000000">
          <w:rPr>
            <w:rFonts w:ascii="Arial" w:cs="Arial" w:eastAsia="Arial" w:hAnsi="Arial"/>
            <w:color w:val="0000ee"/>
            <w:sz w:val="24"/>
            <w:szCs w:val="24"/>
            <w:u w:val="single"/>
            <w:rtl w:val="0"/>
          </w:rPr>
          <w:t xml:space="preserve">https://dataintelo.com/report/global-unmanned-convenience-store-market</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Causality and “In-the-Wild” Video-Based Person Re-Identification, </w:t>
      </w:r>
      <w:hyperlink r:id="rId54">
        <w:r w:rsidDel="00000000" w:rsidR="00000000" w:rsidRPr="00000000">
          <w:rPr>
            <w:rFonts w:ascii="Arial" w:cs="Arial" w:eastAsia="Arial" w:hAnsi="Arial"/>
            <w:color w:val="0000ee"/>
            <w:sz w:val="24"/>
            <w:szCs w:val="24"/>
            <w:u w:val="single"/>
            <w:rtl w:val="0"/>
          </w:rPr>
          <w:t xml:space="preserve">https://www.mdpi.com/2079-9292/14/13/2669</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Observatory of Digital Trust Sector, </w:t>
      </w:r>
      <w:hyperlink r:id="rId55">
        <w:r w:rsidDel="00000000" w:rsidR="00000000" w:rsidRPr="00000000">
          <w:rPr>
            <w:rFonts w:ascii="Arial" w:cs="Arial" w:eastAsia="Arial" w:hAnsi="Arial"/>
            <w:color w:val="0000ee"/>
            <w:sz w:val="24"/>
            <w:szCs w:val="24"/>
            <w:u w:val="single"/>
            <w:rtl w:val="0"/>
          </w:rPr>
          <w:t xml:space="preserve">https://www.confiance-numerique.fr/wp-content/uploads/2025/06/acn-observatory-of-digital-trust-2025.pdf</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videosorveglianza e protezione dei dati personali - Garante Privacy, </w:t>
      </w:r>
      <w:hyperlink r:id="rId56">
        <w:r w:rsidDel="00000000" w:rsidR="00000000" w:rsidRPr="00000000">
          <w:rPr>
            <w:rFonts w:ascii="Arial" w:cs="Arial" w:eastAsia="Arial" w:hAnsi="Arial"/>
            <w:color w:val="0000ee"/>
            <w:sz w:val="24"/>
            <w:szCs w:val="24"/>
            <w:u w:val="single"/>
            <w:rtl w:val="0"/>
          </w:rPr>
          <w:t xml:space="preserve">https://garanteprivacy.it/garante/doc.jsp?ID=9496574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udioarinella.it/controllo-a-distanza-del-lavoratore-autorizzazioni-itl-per-piu-province/" TargetMode="External"/><Relationship Id="rId42" Type="http://schemas.openxmlformats.org/officeDocument/2006/relationships/hyperlink" Target="https://www.abogacia.es/en/conocenos/bruselas/sentencias/tedh/video-vigilancia-encubierta-a-empleados-de-una-cadena-de-supermercados-espanoles/" TargetMode="External"/><Relationship Id="rId41" Type="http://schemas.openxmlformats.org/officeDocument/2006/relationships/hyperlink" Target="https://www.researchgate.net/publication/345416880_Video_Surveillance_of_the_Employees_Between_the_Right_to_Privacy_and_Right_to_Property_After_Lopez_Ribalda_and_Others_v_Spain" TargetMode="External"/><Relationship Id="rId44" Type="http://schemas.openxmlformats.org/officeDocument/2006/relationships/hyperlink" Target="https://strasbourgobservers.com/2019/12/06/lopez-ribalda-and-others-v-spain-covert-surveillance-in-the-workplace-attenuating-the-protection-of-privacy-for-employees/" TargetMode="External"/><Relationship Id="rId43" Type="http://schemas.openxmlformats.org/officeDocument/2006/relationships/hyperlink" Target="https://hudoc.echr.coe.int/eng?i=002-12630" TargetMode="External"/><Relationship Id="rId46" Type="http://schemas.openxmlformats.org/officeDocument/2006/relationships/hyperlink" Target="https://hudoc.echr.coe.int/fre?i=001-197098" TargetMode="External"/><Relationship Id="rId45" Type="http://schemas.openxmlformats.org/officeDocument/2006/relationships/hyperlink" Target="https://etuclex.etuc.org/cases/lopez-ribalda-and-others-v-sp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et.georgetown.edu/wp-content/uploads/CSET-Designing-Alternatives-to-Chinas-Surveillance-State.pdf" TargetMode="External"/><Relationship Id="rId48" Type="http://schemas.openxmlformats.org/officeDocument/2006/relationships/hyperlink" Target="https://bulltech.it/blog/certificazione-iso-27001-costi-tempi" TargetMode="External"/><Relationship Id="rId47" Type="http://schemas.openxmlformats.org/officeDocument/2006/relationships/hyperlink" Target="https://www.accredia.it/servizio-accreditato/protezione-dei-dati-personali/" TargetMode="External"/><Relationship Id="rId49" Type="http://schemas.openxmlformats.org/officeDocument/2006/relationships/hyperlink" Target="https://www.contindigital.it/blog/iso-27001-costi-finanza-nis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imultiple.com/checkout-free-stores" TargetMode="External"/><Relationship Id="rId8" Type="http://schemas.openxmlformats.org/officeDocument/2006/relationships/hyperlink" Target="https://www.longtermwiki.com/wiki/E30" TargetMode="External"/><Relationship Id="rId31" Type="http://schemas.openxmlformats.org/officeDocument/2006/relationships/hyperlink" Target="http://eulawanalysis.blogspot.com/2024/10/latest-updates-on-legitimate-interest.html" TargetMode="External"/><Relationship Id="rId30" Type="http://schemas.openxmlformats.org/officeDocument/2006/relationships/hyperlink" Target="https://usercentrics.com/knowledge-hub/gdpr-legitimate-interest/" TargetMode="External"/><Relationship Id="rId33" Type="http://schemas.openxmlformats.org/officeDocument/2006/relationships/hyperlink" Target="https://www.hsfkramer.com/notes/data/2024-posts/CJEU--Commercial-interest-may-be-considered-necessary-for-controller-s-legitimate-interest-" TargetMode="External"/><Relationship Id="rId32" Type="http://schemas.openxmlformats.org/officeDocument/2006/relationships/hyperlink" Target="https://kluwerlawonline.com/journalarticle/Global+Privacy+Law+Review/6.1/GPLR2025006" TargetMode="External"/><Relationship Id="rId35" Type="http://schemas.openxmlformats.org/officeDocument/2006/relationships/hyperlink" Target="https://arxiv.org/html/2501.06591v1" TargetMode="External"/><Relationship Id="rId34" Type="http://schemas.openxmlformats.org/officeDocument/2006/relationships/hyperlink" Target="https://www.arcy.app/en/edge-computing" TargetMode="External"/><Relationship Id="rId37" Type="http://schemas.openxmlformats.org/officeDocument/2006/relationships/hyperlink" Target="https://www.impiantibianchi.it/videosorveglianza-norme-privacy-e-sanzioni/" TargetMode="External"/><Relationship Id="rId36" Type="http://schemas.openxmlformats.org/officeDocument/2006/relationships/hyperlink" Target="https://arxiv.org/html/2409.02715v1" TargetMode="External"/><Relationship Id="rId39" Type="http://schemas.openxmlformats.org/officeDocument/2006/relationships/hyperlink" Target="https://elettronicaconte.it/2021/06/17/videosorveglianza-e-tutela-dei-cittadini/" TargetMode="External"/><Relationship Id="rId38" Type="http://schemas.openxmlformats.org/officeDocument/2006/relationships/hyperlink" Target="https://www.studiocampesato.it/videosorveglianza-luoghi-di-lavoro/" TargetMode="External"/><Relationship Id="rId20" Type="http://schemas.openxmlformats.org/officeDocument/2006/relationships/hyperlink" Target="https://www.edpb.europa.eu/system/files/documents/files/file1/edpb_guidelines_201903_video_devices_en_0.pdf" TargetMode="External"/><Relationship Id="rId22" Type="http://schemas.openxmlformats.org/officeDocument/2006/relationships/hyperlink" Target="https://bluearrow.ai/emotion-recognition/" TargetMode="External"/><Relationship Id="rId21" Type="http://schemas.openxmlformats.org/officeDocument/2006/relationships/hyperlink" Target="https://ai-act-service-desk.ec.europa.eu/sites/default/files/2025-08/guidelines_on_prohibited_artificial_intelligence_practices_established_by_regulation_eu_20241689_ai_act_english_ied3r5nwo50xggpcfmwckm3nuc_112367-1.PDF" TargetMode="External"/><Relationship Id="rId24" Type="http://schemas.openxmlformats.org/officeDocument/2006/relationships/hyperlink" Target="https://www.euaiact.com/blog/prohibited-ai-practices-under-the-eu-ai-act" TargetMode="External"/><Relationship Id="rId23" Type="http://schemas.openxmlformats.org/officeDocument/2006/relationships/hyperlink" Target="https://www.freshfields.com/en/our-thinking/blogs/technology-quotient/eu-ai-act-unpacked-25-european-commission-releases-critical-ai-act-implementati-102kfql" TargetMode="External"/><Relationship Id="rId26" Type="http://schemas.openxmlformats.org/officeDocument/2006/relationships/hyperlink" Target="https://www.euaiact.com/blog/eu-ai-act-high-risk-classification" TargetMode="External"/><Relationship Id="rId25" Type="http://schemas.openxmlformats.org/officeDocument/2006/relationships/hyperlink" Target="https://www.closeit.co/eu-ai-act/article-6-high-risk-classification/" TargetMode="External"/><Relationship Id="rId28" Type="http://schemas.openxmlformats.org/officeDocument/2006/relationships/hyperlink" Target="https://bulltech.it/blog/videosorveglianza-gdpr-normativa" TargetMode="External"/><Relationship Id="rId27" Type="http://schemas.openxmlformats.org/officeDocument/2006/relationships/hyperlink" Target="https://regulatorydecoded.com/eu-ai-act-classification-article-6-annex-iii/" TargetMode="External"/><Relationship Id="rId29" Type="http://schemas.openxmlformats.org/officeDocument/2006/relationships/hyperlink" Target="https://secureprivacy.ai/blog/legitimate-interests-assessment-gdpr-guide" TargetMode="External"/><Relationship Id="rId51" Type="http://schemas.openxmlformats.org/officeDocument/2006/relationships/hyperlink" Target="https://www.paolorabaioli.com/consulente-pims/consulenza-iso-iec-27701-sistema-gestione-per-le-informazioni-sulla-privacy" TargetMode="External"/><Relationship Id="rId50" Type="http://schemas.openxmlformats.org/officeDocument/2006/relationships/hyperlink" Target="https://factorial.it/blog/come-implementare-iso-27001/" TargetMode="External"/><Relationship Id="rId53" Type="http://schemas.openxmlformats.org/officeDocument/2006/relationships/hyperlink" Target="https://dataintelo.com/report/global-unmanned-convenience-store-market" TargetMode="External"/><Relationship Id="rId52" Type="http://schemas.openxmlformats.org/officeDocument/2006/relationships/hyperlink" Target="https://www.teardown.ai/companies/aifi" TargetMode="External"/><Relationship Id="rId11" Type="http://schemas.openxmlformats.org/officeDocument/2006/relationships/hyperlink" Target="https://www.ssoar.info/ssoar/bitstream/document/73445/1/73445_1.pdf" TargetMode="External"/><Relationship Id="rId55" Type="http://schemas.openxmlformats.org/officeDocument/2006/relationships/hyperlink" Target="https://www.confiance-numerique.fr/wp-content/uploads/2025/06/acn-observatory-of-digital-trust-2025.pdf" TargetMode="External"/><Relationship Id="rId10" Type="http://schemas.openxmlformats.org/officeDocument/2006/relationships/hyperlink" Target="https://www.scribd.com/document/782428824/AI-Development-and-the-Fuzzy-Logic-of-Chinese-Cyber-Security-And" TargetMode="External"/><Relationship Id="rId54" Type="http://schemas.openxmlformats.org/officeDocument/2006/relationships/hyperlink" Target="https://www.mdpi.com/2079-9292/14/13/2669" TargetMode="External"/><Relationship Id="rId13" Type="http://schemas.openxmlformats.org/officeDocument/2006/relationships/hyperlink" Target="https://www.article19.org/wp-content/uploads/2021/01/ER-Tech-China-Report.pdf" TargetMode="External"/><Relationship Id="rId12" Type="http://schemas.openxmlformats.org/officeDocument/2006/relationships/hyperlink" Target="https://www.brookings.edu/wp-content/uploads/2022/06/FP_20220621_surveillance_exports_peterson_hoffman_v2.pdf" TargetMode="External"/><Relationship Id="rId56" Type="http://schemas.openxmlformats.org/officeDocument/2006/relationships/hyperlink" Target="https://garanteprivacy.it/garante/doc.jsp?ID=9496574" TargetMode="External"/><Relationship Id="rId15" Type="http://schemas.openxmlformats.org/officeDocument/2006/relationships/hyperlink" Target="https://veesion.io/it/settori/videosorveglianza-supermercati/" TargetMode="External"/><Relationship Id="rId14" Type="http://schemas.openxmlformats.org/officeDocument/2006/relationships/hyperlink" Target="https://veesion.io/it/" TargetMode="External"/><Relationship Id="rId17" Type="http://schemas.openxmlformats.org/officeDocument/2006/relationships/hyperlink" Target="https://cipptraining.com/edpb-guidelines-on-processing-through-video-devices/" TargetMode="External"/><Relationship Id="rId16" Type="http://schemas.openxmlformats.org/officeDocument/2006/relationships/hyperlink" Target="https://newlinesinstitute.org/intl-law-peace/the-global-implications-of-re-education-technologies-in-northwest-china/" TargetMode="External"/><Relationship Id="rId19" Type="http://schemas.openxmlformats.org/officeDocument/2006/relationships/hyperlink" Target="https://www.osborneclarke.com/insights/facial-recognition-and-data-protection-new-guidelines-european-union" TargetMode="External"/><Relationship Id="rId18" Type="http://schemas.openxmlformats.org/officeDocument/2006/relationships/hyperlink" Target="https://www.forasoft.com/learn/video-surveillance/articles-vms/gdpr-for-video-surveill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xoGuYZRlXUYKcP3cNMAcBQYFpA==">CgMxLjA4AHIhMV9SeDEyRW9KRUE1VUlYR0hqNkxvOTV5MTF4STRhNWh1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