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000000"/>
          <w:sz w:val="40"/>
          <w:szCs w:val="40"/>
        </w:rPr>
        <w:t xml:space="preserve">LOOKUP</w:t>
      </w:r>
    </w:p>
    <w:p>
      <w:pPr>
        <w:spacing w:after="40"/>
      </w:pPr>
      <w:r>
        <w:rPr>
          <w:color w:val="000000"/>
          <w:sz w:val="26"/>
          <w:szCs w:val="26"/>
        </w:rPr>
        <w:t xml:space="preserve">Valutazione di fattibilità e analisi del mercato italiano</w:t>
      </w:r>
    </w:p>
    <w:p>
      <w:pPr>
        <w:spacing w:after="260"/>
      </w:pPr>
      <w:r>
        <w:rPr>
          <w:i/>
          <w:iCs/>
          <w:color w:val="000000"/>
          <w:sz w:val="19"/>
          <w:szCs w:val="19"/>
        </w:rPr>
        <w:t xml:space="preserve">Video analytics anti taccheggio per il retail. Documento interno di valutazione. Settembre 2026.</w:t>
      </w:r>
    </w:p>
    <w:p>
      <w:pPr>
        <w:pStyle w:val="Heading1"/>
        <w:spacing w:after="140" w:before="300"/>
      </w:pPr>
      <w:r>
        <w:rPr>
          <w:b/>
          <w:bCs/>
          <w:color w:val="000000"/>
          <w:sz w:val="27"/>
          <w:szCs w:val="27"/>
        </w:rPr>
        <w:t xml:space="preserve">1. Sintesi della valutazione</w:t>
      </w:r>
    </w:p>
    <w:p>
      <w:pPr>
        <w:spacing w:after="140" w:before="0" w:line="276"/>
        <w:jc w:val="both"/>
      </w:pPr>
      <w:r>
        <w:rPr>
          <w:b w:val="false"/>
          <w:bCs w:val="false"/>
          <w:color w:val="000000"/>
          <w:sz w:val="21"/>
          <w:szCs w:val="21"/>
        </w:rPr>
        <w:t xml:space="preserve">La valutazione porta a un giudizio articolato. L'idea è tecnicamente realizzabile e affronta un problema reale, quantificabile e sentito dai punti vendita, come confermano sia i dati di settore sia la vostra prima attività sul campo. Il punto critico non è quindi la fattibilità della soluzione, ma il posizionamento competitivo. La tesi del mercato vergine (blue ocean) presente nei materiali interni non regge alla prova dei fatti nel contesto italiano, perché il mercato è già presidiato.</w:t>
      </w:r>
    </w:p>
    <w:p>
      <w:pPr>
        <w:spacing w:after="140" w:before="0" w:line="276"/>
        <w:jc w:val="both"/>
      </w:pPr>
      <w:r>
        <w:rPr>
          <w:b/>
          <w:bCs/>
          <w:color w:val="000000"/>
          <w:sz w:val="21"/>
          <w:szCs w:val="21"/>
        </w:rPr>
        <w:t xml:space="preserve">Il mercato italiano è fertile sul lato della domanda ma già conteso sul lato dell'offerta. </w:t>
      </w:r>
      <w:r>
        <w:rPr>
          <w:b w:val="false"/>
          <w:bCs w:val="false"/>
          <w:color w:val="000000"/>
          <w:sz w:val="21"/>
          <w:szCs w:val="21"/>
        </w:rPr>
        <w:t xml:space="preserve">Le differenze inventariali nel retail e nella GDO valgono circa 4,6 miliardi di euro di perdite dirette e 6,7 miliardi di costo complessivo annuo, pari a circa l'1,4 per cento del fatturato. Allo stesso tempo il principale operatore europeo, la francese Veesion, è attivo in Italia dal 2023 con la stessa identica proposta di valore (telecamere esistenti, analisi dei gesti, conformità al GDPR), ed è nata nel 2025 anche una startup italiana quasi sovrapponibile, Blindzone. La finestra tecnologica su cui si fonda l'idea è quindi in gran parte già occupata.</w:t>
      </w:r>
    </w:p>
    <w:p>
      <w:pPr>
        <w:spacing w:after="140" w:before="0" w:line="276"/>
        <w:jc w:val="both"/>
      </w:pPr>
      <w:r>
        <w:rPr>
          <w:b/>
          <w:bCs/>
          <w:color w:val="000000"/>
          <w:sz w:val="21"/>
          <w:szCs w:val="21"/>
        </w:rPr>
        <w:t xml:space="preserve">Conclusione operativa. </w:t>
      </w:r>
      <w:r>
        <w:rPr>
          <w:b w:val="false"/>
          <w:bCs w:val="false"/>
          <w:color w:val="000000"/>
          <w:sz w:val="21"/>
          <w:szCs w:val="21"/>
        </w:rPr>
        <w:t xml:space="preserve">L'idea merita di proseguire solo se cambia la domanda a cui risponde. Non basta fare bene ciò che fa Veesion, perché su tecnologia, prezzo e conformità gli operatori esistenti sono già competitivi e finanziati. Serve un vantaggio difendibile su un fronte diverso, che oggi si può individuare nel modello di ingaggio commerciale sul mercato indipendente e locale, in una verticale specifica poco coperta, oppure nell'estensione dell'uso oltre l'antifurto. Senza questa scelta di campo, la probabilità di ritagliarsi spazio contro un incumbent con oltre cinquanta milioni di euro raccolti è bassa.</w:t>
      </w:r>
    </w:p>
    <w:p>
      <w:pPr>
        <w:pStyle w:val="Heading1"/>
        <w:spacing w:after="140" w:before="300"/>
      </w:pPr>
      <w:r>
        <w:rPr>
          <w:b/>
          <w:bCs/>
          <w:color w:val="000000"/>
          <w:sz w:val="27"/>
          <w:szCs w:val="27"/>
        </w:rPr>
        <w:t xml:space="preserve">2. L'idea in breve</w:t>
      </w:r>
    </w:p>
    <w:p>
      <w:pPr>
        <w:spacing w:after="140" w:before="0" w:line="276"/>
        <w:jc w:val="both"/>
      </w:pPr>
      <w:r>
        <w:rPr>
          <w:b w:val="false"/>
          <w:bCs w:val="false"/>
          <w:color w:val="000000"/>
          <w:sz w:val="21"/>
          <w:szCs w:val="21"/>
        </w:rPr>
        <w:t xml:space="preserve">LOOKUP è un sistema software di prevenzione delle perdite per il retail. Si collega alle telecamere già installate nel punto vendita tramite i protocolli standard, analizza in tempo reale i movimenti e la postura delle persone per individuare gesti compatibili con un tentativo di furto, e invia una segnalazione al personale. L'impianto tecnico si regge su tre scelte, tutte sensate e documentate nei vostri materiali. Nessun hardware proprietario, così da azzerare i costi di attivazione per il negozio. Elaborazione locale sul dispositivo, con distruzione immediata dei fotogrammi, così da restare fuori dal trattamento di dati biometrici. Nessun riconoscimento facciale, così da poter operare sotto il legittimo interesse del titolare senza raccogliere il consenso dei clienti.</w:t>
      </w:r>
    </w:p>
    <w:p>
      <w:pPr>
        <w:spacing w:after="140" w:before="0" w:line="276"/>
        <w:jc w:val="both"/>
      </w:pPr>
      <w:r>
        <w:rPr>
          <w:b w:val="false"/>
          <w:bCs w:val="false"/>
          <w:color w:val="000000"/>
          <w:sz w:val="21"/>
          <w:szCs w:val="21"/>
        </w:rPr>
        <w:t xml:space="preserve">A questo si aggiunge un livello di deterrenza, con monitor all'ingresso e cartellonistica conforme, pensato per ridurre i furti agendo sulla percezione del rischio prima ancora della segnalazione. È un'aggiunta intelligente, ma va considerata un elemento di marketing e non un vantaggio tecnologico, perché è facilmente replicabile da chiunque.</w:t>
      </w:r>
    </w:p>
    <w:p>
      <w:pPr>
        <w:pStyle w:val="Heading1"/>
        <w:spacing w:after="140" w:before="300"/>
      </w:pPr>
      <w:r>
        <w:rPr>
          <w:b/>
          <w:bCs/>
          <w:color w:val="000000"/>
          <w:sz w:val="27"/>
          <w:szCs w:val="27"/>
        </w:rPr>
        <w:t xml:space="preserve">3. Fattibilità tecnica</w:t>
      </w:r>
    </w:p>
    <w:p>
      <w:pPr>
        <w:spacing w:after="140" w:before="0" w:line="276"/>
        <w:jc w:val="both"/>
      </w:pPr>
      <w:r>
        <w:rPr>
          <w:b/>
          <w:bCs/>
          <w:color w:val="000000"/>
          <w:sz w:val="21"/>
          <w:szCs w:val="21"/>
        </w:rPr>
        <w:t xml:space="preserve">Giudizio. Alta, ma poco distintiva. </w:t>
      </w:r>
      <w:r>
        <w:rPr>
          <w:b w:val="false"/>
          <w:bCs w:val="false"/>
          <w:color w:val="000000"/>
          <w:sz w:val="21"/>
          <w:szCs w:val="21"/>
        </w:rPr>
        <w:t xml:space="preserve">La realizzabilità non è in discussione. Esistono già in produzione sistemi che fanno esattamente questo su migliaia di negozi, quindi il rischio tecnologico di fondo è basso. Il rilevamento della postura e dei gesti a partire da flussi video, l'esecuzione locale su dispositivi economici e l'offuscamento dei volti nella memoria volatile sono tecniche mature e alla portata di un buon team.</w:t>
      </w:r>
    </w:p>
    <w:p>
      <w:pPr>
        <w:spacing w:after="140" w:before="0" w:line="276"/>
        <w:jc w:val="both"/>
      </w:pPr>
      <w:r>
        <w:rPr>
          <w:b w:val="false"/>
          <w:bCs w:val="false"/>
          <w:color w:val="000000"/>
          <w:sz w:val="21"/>
          <w:szCs w:val="21"/>
        </w:rPr>
        <w:t xml:space="preserve">Il rovescio della medaglia è che proprio perché la tecnologia è alla portata di molti, non costituisce da sola un vantaggio. La qualità del modello, cioè il tasso di veri positivi contro i falsi allarmi, si costruisce con grandi quantità di video di furti reali e con molte ore di negozio. Qui gli operatori già attivi hanno un vantaggio strutturale, perché hanno accumulato dati che voi non avete. Veesion dichiara oltre centomila gesti sospetti rilevati al mese su più di cinquemila negozi. Partire oggi significa competere sulla precisione contro chi ha anni di dati in più.</w:t>
      </w:r>
    </w:p>
    <w:p>
      <w:pPr>
        <w:spacing w:after="140" w:before="0" w:line="276"/>
        <w:jc w:val="both"/>
      </w:pPr>
      <w:r>
        <w:rPr>
          <w:b w:val="false"/>
          <w:bCs w:val="false"/>
          <w:color w:val="000000"/>
          <w:sz w:val="21"/>
          <w:szCs w:val="21"/>
        </w:rPr>
        <w:t xml:space="preserve">La cartella dei materiali mostra che avete già raccolto un dataset di video di furti e librerie di codice. È il punto di partenza giusto, ma il vero ostacolo pratico è arrivare a un tasso di falsi allarmi abbastanza basso da non far perdere fiducia al personale del negozio. Un sistema che grida al lupo troppo spesso viene ignorato nel giro di poche settimane, e questo è il fallimento più comune in questa categoria di prodotto.</w:t>
      </w:r>
    </w:p>
    <w:p>
      <w:pPr>
        <w:spacing w:after="140" w:before="0" w:line="276"/>
        <w:jc w:val="both"/>
      </w:pPr>
      <w:r>
        <w:rPr>
          <w:b/>
          <w:bCs/>
          <w:color w:val="000000"/>
          <w:sz w:val="21"/>
          <w:szCs w:val="21"/>
        </w:rPr>
        <w:t xml:space="preserve">Nodo sul team. </w:t>
      </w:r>
      <w:r>
        <w:rPr>
          <w:b w:val="false"/>
          <w:bCs w:val="false"/>
          <w:color w:val="000000"/>
          <w:sz w:val="21"/>
          <w:szCs w:val="21"/>
        </w:rPr>
        <w:t xml:space="preserve">Come già annotato nei vostri appunti, entrambi i fondatori hanno un profilo economico e commerciale. Serve una figura tecnica forte sulla computer vision che sia socia, non fornitore esterno, perché il prodotto qui è il vantaggio competitivo e non può dipendere da una consulenza. Reperire e trattenere questa figura è oggi il primo vero rischio di esecuzione del progetto.</w:t>
      </w:r>
    </w:p>
    <w:p>
      <w:pPr>
        <w:pStyle w:val="Heading1"/>
        <w:spacing w:after="140" w:before="300"/>
      </w:pPr>
      <w:r>
        <w:rPr>
          <w:b/>
          <w:bCs/>
          <w:color w:val="000000"/>
          <w:sz w:val="27"/>
          <w:szCs w:val="27"/>
        </w:rPr>
        <w:t xml:space="preserve">4. Fattibilità legale e regolatoria</w:t>
      </w:r>
    </w:p>
    <w:p>
      <w:pPr>
        <w:spacing w:after="140" w:before="0" w:line="276"/>
        <w:jc w:val="both"/>
      </w:pPr>
      <w:r>
        <w:rPr>
          <w:b/>
          <w:bCs/>
          <w:color w:val="000000"/>
          <w:sz w:val="21"/>
          <w:szCs w:val="21"/>
        </w:rPr>
        <w:t xml:space="preserve">Giudizio. Gestibile, ed è più una barriera all'ingresso che un vantaggio esclusivo. </w:t>
      </w:r>
      <w:r>
        <w:rPr>
          <w:b w:val="false"/>
          <w:bCs w:val="false"/>
          <w:color w:val="000000"/>
          <w:sz w:val="21"/>
          <w:szCs w:val="21"/>
        </w:rPr>
        <w:t xml:space="preserve">Il lavoro legale che avete raccolto è serio e coglie i punti giusti. L'impianto privacy by design regge. Rinunciando alla biometria facciale ed elaborando i dati in locale, il trattamento resta sotto il legittimo interesse dell'articolo 6 del GDPR e non attiva il divieto sui dati biometrici dell'articolo 9. La sentenza della Corte di Giustizia che avete individuato conferma che anche un interesse puramente commerciale può giustificare il trattamento, a condizione di documentare la valutazione di bilanciamento.</w:t>
      </w:r>
    </w:p>
    <w:p>
      <w:pPr>
        <w:spacing w:after="140" w:before="0" w:line="276"/>
        <w:jc w:val="both"/>
      </w:pPr>
      <w:r>
        <w:rPr>
          <w:b/>
          <w:bCs/>
          <w:color w:val="000000"/>
          <w:sz w:val="21"/>
          <w:szCs w:val="21"/>
        </w:rPr>
        <w:t xml:space="preserve">Attenzione al vero collo di bottiglia italiano, che è il diritto del lavoro. </w:t>
      </w:r>
      <w:r>
        <w:rPr>
          <w:b w:val="false"/>
          <w:bCs w:val="false"/>
          <w:color w:val="000000"/>
          <w:sz w:val="21"/>
          <w:szCs w:val="21"/>
        </w:rPr>
        <w:t xml:space="preserve">L'articolo 4 dello Statuto dei Lavoratori vieta il controllo a distanza dell'attività dei dipendenti. L'installazione in un negozio con personale richiede l'accordo sindacale oppure l'autorizzazione dell'Ispettorato del Lavoro. Questo allunga i tempi di vendita e di attivazione, soprattutto nella grande distribuzione strutturata, e va spiegato al cliente fin dalla prima conversazione. È un ostacolo per tutti gli operatori del settore, quindi non è uno svantaggio vostro, ma non è nemmeno un vantaggio, perché lo affrontano allo stesso modo Veesion e Blindzone.</w:t>
      </w:r>
    </w:p>
    <w:p>
      <w:pPr>
        <w:spacing w:after="140" w:before="0" w:line="276"/>
        <w:jc w:val="both"/>
      </w:pPr>
      <w:r>
        <w:rPr>
          <w:b w:val="false"/>
          <w:bCs w:val="false"/>
          <w:color w:val="000000"/>
          <w:sz w:val="21"/>
          <w:szCs w:val="21"/>
        </w:rPr>
        <w:t xml:space="preserve">Le certificazioni di sicurezza delle informazioni, come la ISO 27001, hanno un costo dell'ordine di quindici, trenta mila euro nel primo anno. È un investimento quasi obbligato per vendere alle catene più grandi, ma non è necessario per partire con i negozi indipendenti. Va pianificato, non anticipato.</w:t>
      </w:r>
    </w:p>
    <w:p>
      <w:pPr>
        <w:pStyle w:val="Heading1"/>
        <w:spacing w:after="140" w:before="300"/>
      </w:pPr>
      <w:r>
        <w:rPr>
          <w:b/>
          <w:bCs/>
          <w:color w:val="000000"/>
          <w:sz w:val="27"/>
          <w:szCs w:val="27"/>
        </w:rPr>
        <w:t xml:space="preserve">5. Il mercato italiano, dimensione e fertilità</w:t>
      </w:r>
    </w:p>
    <w:p>
      <w:pPr>
        <w:spacing w:after="140" w:before="0" w:line="276"/>
        <w:jc w:val="both"/>
      </w:pPr>
      <w:r>
        <w:rPr>
          <w:b/>
          <w:bCs/>
          <w:color w:val="000000"/>
          <w:sz w:val="21"/>
          <w:szCs w:val="21"/>
        </w:rPr>
        <w:t xml:space="preserve">Giudizio sulla domanda. Molto positivo. </w:t>
      </w:r>
      <w:r>
        <w:rPr>
          <w:b w:val="false"/>
          <w:bCs w:val="false"/>
          <w:color w:val="000000"/>
          <w:sz w:val="21"/>
          <w:szCs w:val="21"/>
        </w:rPr>
        <w:t xml:space="preserve">Il problema esiste, è grande e cresce. Secondo la ricerca di Crime&amp;tech e Checkpoint Systems, le differenze inventariali del retail e della GDO in Italia valgono circa 4,6 miliardi di euro di perdite dirette, che salgono a 6,7 miliardi considerando anche la spesa in sicurezza, con un'incidenza intorno all'1,4 per cento del fatturato. Le rilevazioni più recenti indicano perdite da furto in aumento. È esattamente il tipo di costo che un direttore di punto vendita sente sul proprio conto economico.</w:t>
      </w:r>
    </w:p>
    <w:p>
      <w:pPr>
        <w:spacing w:after="140" w:before="0" w:line="276"/>
        <w:jc w:val="both"/>
      </w:pPr>
      <w:r>
        <w:rPr>
          <w:b w:val="false"/>
          <w:bCs w:val="false"/>
          <w:color w:val="000000"/>
          <w:sz w:val="21"/>
          <w:szCs w:val="21"/>
        </w:rPr>
        <w:t xml:space="preserve">La vostra attività sul campo lo conferma in modo diretto e prezioso. Le visite a Conad, Coop, Sephora, DM, Rituals e alle altre insegne mostrano che il problema è percepito con forza, che spesso i sistemi antitaccheggio esistenti sono aggirati o poco efficaci, che i furti vengono segnalati anche più volte al giorno, e che diversi responsabili hanno chiesto spontaneamente un contatto per la prevenzione delle perdite. Questa è la validazione che conta più di qualunque studio, perché viene dal potenziale cliente. Il caso dei drugstore, in particolare, emerge come segmento molto in target.</w:t>
      </w:r>
    </w:p>
    <w:p>
      <w:pPr>
        <w:spacing w:after="140" w:before="0" w:line="276"/>
        <w:jc w:val="both"/>
      </w:pPr>
      <w:r>
        <w:rPr>
          <w:b w:val="false"/>
          <w:bCs w:val="false"/>
          <w:color w:val="000000"/>
          <w:sz w:val="21"/>
          <w:szCs w:val="21"/>
        </w:rPr>
        <w:t xml:space="preserve">Sul dimensionamento, il perimetro della sola grande distribuzione organizzata alimentare conta circa ventiquattromila punti vendita in Italia tra ipermercati, supermercati, superette, discount e drugstore. A questi si aggiunge un perimetro molto più ampio di retail non alimentare, tra profumeria, abbigliamento, elettronica e farmacie, dove il problema è altrettanto sentito. Il bacino di clienti potenziali è quindi ampio e non è il fattore limitante.</w:t>
      </w:r>
    </w:p>
    <w:p>
      <w:pPr>
        <w:spacing w:after="80" w:before="0" w:line="276"/>
        <w:jc w:val="both"/>
      </w:pPr>
      <w:r>
        <w:rPr>
          <w:b/>
          <w:bCs/>
          <w:color w:val="000000"/>
          <w:sz w:val="21"/>
          <w:szCs w:val="21"/>
        </w:rPr>
        <w:t xml:space="preserve">Ordine di grandezza del mercato potenziale in Italia.</w:t>
      </w:r>
    </w:p>
    <w:tbl>
      <w:tblPr>
        <w:tblW w:type="dxa" w:w="9200"/>
        <w:tblBorders>
          <w:top w:val="single" w:color="BFBFBF" w:sz="4"/>
          <w:left w:val="single" w:color="BFBFBF" w:sz="4"/>
          <w:bottom w:val="single" w:color="BFBFBF" w:sz="4"/>
          <w:right w:val="single" w:color="BFBFBF" w:sz="4"/>
          <w:insideH w:val="single" w:color="BFBFBF" w:sz="4"/>
          <w:insideV w:val="single" w:color="BFBFBF" w:sz="4"/>
        </w:tblBorders>
      </w:tblPr>
      <w:tblGrid>
        <w:gridCol w:w="3100"/>
        <w:gridCol w:w="3050"/>
        <w:gridCol w:w="3050"/>
      </w:tblGrid>
      <w:tr>
        <w:trPr>
          <w:tblHeader/>
        </w:trPr>
        <w:tc>
          <w:tcPr>
            <w:tcW w:type="dxa" w:w="3100"/>
            <w:tcMar>
              <w:top w:type="dxa" w:w="60"/>
              <w:left w:type="dxa" w:w="100"/>
              <w:bottom w:type="dxa" w:w="60"/>
              <w:right w:type="dxa" w:w="100"/>
            </w:tcMar>
          </w:tcPr>
          <w:p>
            <w:pPr>
              <w:spacing w:after="0" w:line="260"/>
            </w:pPr>
            <w:r>
              <w:rPr>
                <w:b/>
                <w:bCs/>
                <w:color w:val="000000"/>
                <w:sz w:val="19"/>
                <w:szCs w:val="19"/>
              </w:rPr>
              <w:t xml:space="preserve">Livello</w:t>
            </w:r>
          </w:p>
        </w:tc>
        <w:tc>
          <w:tcPr>
            <w:tcW w:type="dxa" w:w="3050"/>
            <w:tcMar>
              <w:top w:type="dxa" w:w="60"/>
              <w:left w:type="dxa" w:w="100"/>
              <w:bottom w:type="dxa" w:w="60"/>
              <w:right w:type="dxa" w:w="100"/>
            </w:tcMar>
          </w:tcPr>
          <w:p>
            <w:pPr>
              <w:spacing w:after="0" w:line="260"/>
            </w:pPr>
            <w:r>
              <w:rPr>
                <w:b/>
                <w:bCs/>
                <w:color w:val="000000"/>
                <w:sz w:val="19"/>
                <w:szCs w:val="19"/>
              </w:rPr>
              <w:t xml:space="preserve">Base di riferimento</w:t>
            </w:r>
          </w:p>
        </w:tc>
        <w:tc>
          <w:tcPr>
            <w:tcW w:type="dxa" w:w="3050"/>
            <w:tcMar>
              <w:top w:type="dxa" w:w="60"/>
              <w:left w:type="dxa" w:w="100"/>
              <w:bottom w:type="dxa" w:w="60"/>
              <w:right w:type="dxa" w:w="100"/>
            </w:tcMar>
          </w:tcPr>
          <w:p>
            <w:pPr>
              <w:spacing w:after="0" w:line="260"/>
            </w:pPr>
            <w:r>
              <w:rPr>
                <w:b/>
                <w:bCs/>
                <w:color w:val="000000"/>
                <w:sz w:val="19"/>
                <w:szCs w:val="19"/>
              </w:rPr>
              <w:t xml:space="preserve">Ricavo annuo potenziale indicativo</w:t>
            </w:r>
          </w:p>
        </w:tc>
      </w:tr>
      <w:tr>
        <w:tc>
          <w:tcPr>
            <w:tcW w:type="dxa" w:w="3100"/>
            <w:tcMar>
              <w:top w:type="dxa" w:w="60"/>
              <w:left w:type="dxa" w:w="100"/>
              <w:bottom w:type="dxa" w:w="60"/>
              <w:right w:type="dxa" w:w="100"/>
            </w:tcMar>
          </w:tcPr>
          <w:p>
            <w:pPr>
              <w:spacing w:after="0" w:line="260"/>
            </w:pPr>
            <w:r>
              <w:rPr>
                <w:b w:val="false"/>
                <w:bCs w:val="false"/>
                <w:color w:val="000000"/>
                <w:sz w:val="19"/>
                <w:szCs w:val="19"/>
              </w:rPr>
              <w:t xml:space="preserve">Mercato totale teorico (GDO alimentare)</w:t>
            </w:r>
          </w:p>
        </w:tc>
        <w:tc>
          <w:tcPr>
            <w:tcW w:type="dxa" w:w="3050"/>
            <w:tcMar>
              <w:top w:type="dxa" w:w="60"/>
              <w:left w:type="dxa" w:w="100"/>
              <w:bottom w:type="dxa" w:w="60"/>
              <w:right w:type="dxa" w:w="100"/>
            </w:tcMar>
          </w:tcPr>
          <w:p>
            <w:pPr>
              <w:spacing w:after="0" w:line="260"/>
            </w:pPr>
            <w:r>
              <w:rPr>
                <w:b w:val="false"/>
                <w:bCs w:val="false"/>
                <w:color w:val="000000"/>
                <w:sz w:val="19"/>
                <w:szCs w:val="19"/>
              </w:rPr>
              <w:t xml:space="preserve">circa 24.000 punti vendita</w:t>
            </w:r>
          </w:p>
        </w:tc>
        <w:tc>
          <w:tcPr>
            <w:tcW w:type="dxa" w:w="3050"/>
            <w:tcMar>
              <w:top w:type="dxa" w:w="60"/>
              <w:left w:type="dxa" w:w="100"/>
              <w:bottom w:type="dxa" w:w="60"/>
              <w:right w:type="dxa" w:w="100"/>
            </w:tcMar>
          </w:tcPr>
          <w:p>
            <w:pPr>
              <w:spacing w:after="0" w:line="260"/>
            </w:pPr>
            <w:r>
              <w:rPr>
                <w:b w:val="false"/>
                <w:bCs w:val="false"/>
                <w:color w:val="000000"/>
                <w:sz w:val="19"/>
                <w:szCs w:val="19"/>
              </w:rPr>
              <w:t xml:space="preserve">centinaia di milioni di euro se interamente servito</w:t>
            </w:r>
          </w:p>
        </w:tc>
      </w:tr>
      <w:tr>
        <w:tc>
          <w:tcPr>
            <w:tcW w:type="dxa" w:w="3100"/>
            <w:tcMar>
              <w:top w:type="dxa" w:w="60"/>
              <w:left w:type="dxa" w:w="100"/>
              <w:bottom w:type="dxa" w:w="60"/>
              <w:right w:type="dxa" w:w="100"/>
            </w:tcMar>
          </w:tcPr>
          <w:p>
            <w:pPr>
              <w:spacing w:after="0" w:line="260"/>
            </w:pPr>
            <w:r>
              <w:rPr>
                <w:b w:val="false"/>
                <w:bCs w:val="false"/>
                <w:color w:val="000000"/>
                <w:sz w:val="19"/>
                <w:szCs w:val="19"/>
              </w:rPr>
              <w:t xml:space="preserve">Mercato servibile realistico a 3, 5 anni</w:t>
            </w:r>
          </w:p>
        </w:tc>
        <w:tc>
          <w:tcPr>
            <w:tcW w:type="dxa" w:w="3050"/>
            <w:tcMar>
              <w:top w:type="dxa" w:w="60"/>
              <w:left w:type="dxa" w:w="100"/>
              <w:bottom w:type="dxa" w:w="60"/>
              <w:right w:type="dxa" w:w="100"/>
            </w:tcMar>
          </w:tcPr>
          <w:p>
            <w:pPr>
              <w:spacing w:after="0" w:line="260"/>
            </w:pPr>
            <w:r>
              <w:rPr>
                <w:b w:val="false"/>
                <w:bCs w:val="false"/>
                <w:color w:val="000000"/>
                <w:sz w:val="19"/>
                <w:szCs w:val="19"/>
              </w:rPr>
              <w:t xml:space="preserve">quota bassa a una cifra dei punti vendita più esposti</w:t>
            </w:r>
          </w:p>
        </w:tc>
        <w:tc>
          <w:tcPr>
            <w:tcW w:type="dxa" w:w="3050"/>
            <w:tcMar>
              <w:top w:type="dxa" w:w="60"/>
              <w:left w:type="dxa" w:w="100"/>
              <w:bottom w:type="dxa" w:w="60"/>
              <w:right w:type="dxa" w:w="100"/>
            </w:tcMar>
          </w:tcPr>
          <w:p>
            <w:pPr>
              <w:spacing w:after="0" w:line="260"/>
            </w:pPr>
            <w:r>
              <w:rPr>
                <w:b w:val="false"/>
                <w:bCs w:val="false"/>
                <w:color w:val="000000"/>
                <w:sz w:val="19"/>
                <w:szCs w:val="19"/>
              </w:rPr>
              <w:t xml:space="preserve">ordine delle decine di milioni di euro</w:t>
            </w:r>
          </w:p>
        </w:tc>
      </w:tr>
      <w:tr>
        <w:tc>
          <w:tcPr>
            <w:tcW w:type="dxa" w:w="3100"/>
            <w:tcMar>
              <w:top w:type="dxa" w:w="60"/>
              <w:left w:type="dxa" w:w="100"/>
              <w:bottom w:type="dxa" w:w="60"/>
              <w:right w:type="dxa" w:w="100"/>
            </w:tcMar>
          </w:tcPr>
          <w:p>
            <w:pPr>
              <w:spacing w:after="0" w:line="260"/>
            </w:pPr>
            <w:r>
              <w:rPr>
                <w:b w:val="false"/>
                <w:bCs w:val="false"/>
                <w:color w:val="000000"/>
                <w:sz w:val="19"/>
                <w:szCs w:val="19"/>
              </w:rPr>
              <w:t xml:space="preserve">Obiettivo iniziale credibile (18, 24 mesi)</w:t>
            </w:r>
          </w:p>
        </w:tc>
        <w:tc>
          <w:tcPr>
            <w:tcW w:type="dxa" w:w="3050"/>
            <w:tcMar>
              <w:top w:type="dxa" w:w="60"/>
              <w:left w:type="dxa" w:w="100"/>
              <w:bottom w:type="dxa" w:w="60"/>
              <w:right w:type="dxa" w:w="100"/>
            </w:tcMar>
          </w:tcPr>
          <w:p>
            <w:pPr>
              <w:spacing w:after="0" w:line="260"/>
            </w:pPr>
            <w:r>
              <w:rPr>
                <w:b w:val="false"/>
                <w:bCs w:val="false"/>
                <w:color w:val="000000"/>
                <w:sz w:val="19"/>
                <w:szCs w:val="19"/>
              </w:rPr>
              <w:t xml:space="preserve">da alcune decine ad alcune centinaia di negozi</w:t>
            </w:r>
          </w:p>
        </w:tc>
        <w:tc>
          <w:tcPr>
            <w:tcW w:type="dxa" w:w="3050"/>
            <w:tcMar>
              <w:top w:type="dxa" w:w="60"/>
              <w:left w:type="dxa" w:w="100"/>
              <w:bottom w:type="dxa" w:w="60"/>
              <w:right w:type="dxa" w:w="100"/>
            </w:tcMar>
          </w:tcPr>
          <w:p>
            <w:pPr>
              <w:spacing w:after="0" w:line="260"/>
            </w:pPr>
            <w:r>
              <w:rPr>
                <w:b w:val="false"/>
                <w:bCs w:val="false"/>
                <w:color w:val="000000"/>
                <w:sz w:val="19"/>
                <w:szCs w:val="19"/>
              </w:rPr>
              <w:t xml:space="preserve">da centinaia di migliaia a pochi milioni di euro</w:t>
            </w:r>
          </w:p>
        </w:tc>
      </w:tr>
    </w:tbl>
    <w:p>
      <w:pPr>
        <w:spacing w:after="160" w:before="60" w:line="276"/>
        <w:jc w:val="both"/>
      </w:pPr>
      <w:r>
        <w:rPr>
          <w:b w:val="false"/>
          <w:bCs w:val="false"/>
          <w:color w:val="000000"/>
          <w:sz w:val="21"/>
          <w:szCs w:val="21"/>
        </w:rPr>
        <w:t xml:space="preserve">Le cifre sono stime di ordine di grandezza a scopo di ragionamento, non una previsione. Servono a mostrare che il mercato è abbastanza grande da giustificare l'impresa e allo stesso tempo che i numeri veri dei primi due anni saranno modesti e andranno costruiti negozio per negozio.</w:t>
      </w:r>
    </w:p>
    <w:p>
      <w:pPr>
        <w:pStyle w:val="Heading1"/>
        <w:spacing w:after="140" w:before="300"/>
      </w:pPr>
      <w:r>
        <w:rPr>
          <w:b/>
          <w:bCs/>
          <w:color w:val="000000"/>
          <w:sz w:val="27"/>
          <w:szCs w:val="27"/>
        </w:rPr>
        <w:t xml:space="preserve">6. Il quadro competitivo, la prova del nove</w:t>
      </w:r>
    </w:p>
    <w:p>
      <w:pPr>
        <w:spacing w:after="140" w:before="0" w:line="276"/>
        <w:jc w:val="both"/>
      </w:pPr>
      <w:r>
        <w:rPr>
          <w:b/>
          <w:bCs/>
          <w:color w:val="000000"/>
          <w:sz w:val="21"/>
          <w:szCs w:val="21"/>
        </w:rPr>
        <w:t xml:space="preserve">Giudizio. È qui che l'idea è più debole rispetto a come è raccontata nei materiali interni. </w:t>
      </w:r>
      <w:r>
        <w:rPr>
          <w:b w:val="false"/>
          <w:bCs w:val="false"/>
          <w:color w:val="000000"/>
          <w:sz w:val="21"/>
          <w:szCs w:val="21"/>
        </w:rPr>
        <w:t xml:space="preserve">Il documento di analisi descrive un oceano blu, individuando nei competitor asiatici un problema di conformità e in quelli americani un problema di costi. L'analisi è corretta per quei due blocchi, ma trascura il fatto che il concorrente europeo giusto, con lo stesso identico modello che proponete voi, esiste già, è ben finanziato ed è già in Italia.</w:t>
      </w:r>
    </w:p>
    <w:p>
      <w:pPr>
        <w:spacing w:after="140" w:before="0" w:line="276"/>
        <w:jc w:val="both"/>
      </w:pPr>
      <w:r>
        <w:rPr>
          <w:b/>
          <w:bCs/>
          <w:color w:val="000000"/>
          <w:sz w:val="21"/>
          <w:szCs w:val="21"/>
        </w:rPr>
        <w:t xml:space="preserve">Veesion (Francia). </w:t>
      </w:r>
      <w:r>
        <w:rPr>
          <w:b w:val="false"/>
          <w:bCs w:val="false"/>
          <w:color w:val="000000"/>
          <w:sz w:val="21"/>
          <w:szCs w:val="21"/>
        </w:rPr>
        <w:t xml:space="preserve">È l'operatore da tenere d'occhio, perché è di fatto la versione già realizzata della vostra idea. Usa le telecamere esistenti, analizza i gesti senza riconoscimento facciale, è conforme al GDPR e lavora in abbonamento software. Ha raccolto circa cinquantatré milioni di euro, di cui trentotto in un round nel 2025, serve oltre cinquemila negozi in venticinque paesi ed è presente in Italia almeno dal 2023, dove già nel primo periodo dichiarava un obiettivo di alcune centinaia di negozi. Dichiara riduzioni dei furti fino al cinquanta per cento. È il termine di paragone che qualunque cliente italiano un po' informato userà per giudicarvi.</w:t>
      </w:r>
    </w:p>
    <w:p>
      <w:pPr>
        <w:spacing w:after="140" w:before="0" w:line="276"/>
        <w:jc w:val="both"/>
      </w:pPr>
      <w:r>
        <w:rPr>
          <w:b/>
          <w:bCs/>
          <w:color w:val="000000"/>
          <w:sz w:val="21"/>
          <w:szCs w:val="21"/>
        </w:rPr>
        <w:t xml:space="preserve">Blindzone (Italia). </w:t>
      </w:r>
      <w:r>
        <w:rPr>
          <w:b w:val="false"/>
          <w:bCs w:val="false"/>
          <w:color w:val="000000"/>
          <w:sz w:val="21"/>
          <w:szCs w:val="21"/>
        </w:rPr>
        <w:t xml:space="preserve">È il segnale più importante emerso da questa analisi. È una startup italiana nata nel 2025 in Campania con una proposta quasi identica alla vostra, cioè computer vision sulle telecamere esistenti, elaborazione locale, volti offuscati, privacy by design e segnalazione a un operatore umano. Dichiara una riduzione delle perdite intorno al quaranta per cento ed è già in uso in alcuni punti vendita della grande distribuzione. Significa che l'idea è già venuta ad altri in Italia, con lo stesso ragionamento, e che questi altri hanno già iniziato a vendere.</w:t>
      </w:r>
    </w:p>
    <w:p>
      <w:pPr>
        <w:spacing w:after="140" w:before="0" w:line="276"/>
        <w:jc w:val="both"/>
      </w:pPr>
      <w:r>
        <w:rPr>
          <w:b w:val="false"/>
          <w:bCs w:val="false"/>
          <w:color w:val="000000"/>
          <w:sz w:val="21"/>
          <w:szCs w:val="21"/>
        </w:rPr>
        <w:t xml:space="preserve">Accanto a questi ci sono gli operatori tradizionali dell'antitaccheggio, come Checkpoint Systems e Sensormatic, che stanno aggiungendo analisi video alle proprie soluzioni e che hanno già i rapporti commerciali con le catene. Non sono agili come una startup, ma presidiano il cliente.</w:t>
      </w:r>
    </w:p>
    <w:p>
      <w:pPr>
        <w:spacing w:after="80" w:before="0" w:line="276"/>
        <w:jc w:val="both"/>
      </w:pPr>
      <w:r>
        <w:rPr>
          <w:b/>
          <w:bCs/>
          <w:color w:val="000000"/>
          <w:sz w:val="21"/>
          <w:szCs w:val="21"/>
        </w:rPr>
        <w:t xml:space="preserve">Confronto sintetico.</w:t>
      </w:r>
    </w:p>
    <w:tbl>
      <w:tblPr>
        <w:tblW w:type="dxa" w:w="9200"/>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2600"/>
        <w:gridCol w:w="2200"/>
        <w:gridCol w:w="2000"/>
      </w:tblGrid>
      <w:tr>
        <w:trPr>
          <w:tblHeader/>
        </w:trPr>
        <w:tc>
          <w:tcPr>
            <w:tcW w:type="dxa" w:w="2400"/>
            <w:tcMar>
              <w:top w:type="dxa" w:w="60"/>
              <w:left w:type="dxa" w:w="100"/>
              <w:bottom w:type="dxa" w:w="60"/>
              <w:right w:type="dxa" w:w="100"/>
            </w:tcMar>
          </w:tcPr>
          <w:p>
            <w:pPr>
              <w:spacing w:after="0" w:line="260"/>
            </w:pPr>
            <w:r>
              <w:rPr>
                <w:b/>
                <w:bCs/>
                <w:color w:val="000000"/>
                <w:sz w:val="19"/>
                <w:szCs w:val="19"/>
              </w:rPr>
              <w:t xml:space="preserve">Operatore</w:t>
            </w:r>
          </w:p>
        </w:tc>
        <w:tc>
          <w:tcPr>
            <w:tcW w:type="dxa" w:w="2600"/>
            <w:tcMar>
              <w:top w:type="dxa" w:w="60"/>
              <w:left w:type="dxa" w:w="100"/>
              <w:bottom w:type="dxa" w:w="60"/>
              <w:right w:type="dxa" w:w="100"/>
            </w:tcMar>
          </w:tcPr>
          <w:p>
            <w:pPr>
              <w:spacing w:after="0" w:line="260"/>
            </w:pPr>
            <w:r>
              <w:rPr>
                <w:b/>
                <w:bCs/>
                <w:color w:val="000000"/>
                <w:sz w:val="19"/>
                <w:szCs w:val="19"/>
              </w:rPr>
              <w:t xml:space="preserve">Modello</w:t>
            </w:r>
          </w:p>
        </w:tc>
        <w:tc>
          <w:tcPr>
            <w:tcW w:type="dxa" w:w="2200"/>
            <w:tcMar>
              <w:top w:type="dxa" w:w="60"/>
              <w:left w:type="dxa" w:w="100"/>
              <w:bottom w:type="dxa" w:w="60"/>
              <w:right w:type="dxa" w:w="100"/>
            </w:tcMar>
          </w:tcPr>
          <w:p>
            <w:pPr>
              <w:spacing w:after="0" w:line="260"/>
            </w:pPr>
            <w:r>
              <w:rPr>
                <w:b/>
                <w:bCs/>
                <w:color w:val="000000"/>
                <w:sz w:val="19"/>
                <w:szCs w:val="19"/>
              </w:rPr>
              <w:t xml:space="preserve">Scala e risorse</w:t>
            </w:r>
          </w:p>
        </w:tc>
        <w:tc>
          <w:tcPr>
            <w:tcW w:type="dxa" w:w="2000"/>
            <w:tcMar>
              <w:top w:type="dxa" w:w="60"/>
              <w:left w:type="dxa" w:w="100"/>
              <w:bottom w:type="dxa" w:w="60"/>
              <w:right w:type="dxa" w:w="100"/>
            </w:tcMar>
          </w:tcPr>
          <w:p>
            <w:pPr>
              <w:spacing w:after="0" w:line="260"/>
            </w:pPr>
            <w:r>
              <w:rPr>
                <w:b/>
                <w:bCs/>
                <w:color w:val="000000"/>
                <w:sz w:val="19"/>
                <w:szCs w:val="19"/>
              </w:rPr>
              <w:t xml:space="preserve">Presenza in Italia</w:t>
            </w:r>
          </w:p>
        </w:tc>
      </w:tr>
      <w:tr>
        <w:tc>
          <w:tcPr>
            <w:tcW w:type="dxa" w:w="2400"/>
            <w:tcMar>
              <w:top w:type="dxa" w:w="60"/>
              <w:left w:type="dxa" w:w="100"/>
              <w:bottom w:type="dxa" w:w="60"/>
              <w:right w:type="dxa" w:w="100"/>
            </w:tcMar>
          </w:tcPr>
          <w:p>
            <w:pPr>
              <w:spacing w:after="0" w:line="260"/>
            </w:pPr>
            <w:r>
              <w:rPr>
                <w:b w:val="false"/>
                <w:bCs w:val="false"/>
                <w:color w:val="000000"/>
                <w:sz w:val="19"/>
                <w:szCs w:val="19"/>
              </w:rPr>
              <w:t xml:space="preserve">Veesion</w:t>
            </w:r>
          </w:p>
        </w:tc>
        <w:tc>
          <w:tcPr>
            <w:tcW w:type="dxa" w:w="2600"/>
            <w:tcMar>
              <w:top w:type="dxa" w:w="60"/>
              <w:left w:type="dxa" w:w="100"/>
              <w:bottom w:type="dxa" w:w="60"/>
              <w:right w:type="dxa" w:w="100"/>
            </w:tcMar>
          </w:tcPr>
          <w:p>
            <w:pPr>
              <w:spacing w:after="0" w:line="260"/>
            </w:pPr>
            <w:r>
              <w:rPr>
                <w:b w:val="false"/>
                <w:bCs w:val="false"/>
                <w:color w:val="000000"/>
                <w:sz w:val="19"/>
                <w:szCs w:val="19"/>
              </w:rPr>
              <w:t xml:space="preserve">Telecamere esistenti, analisi gesti, abbonamento</w:t>
            </w:r>
          </w:p>
        </w:tc>
        <w:tc>
          <w:tcPr>
            <w:tcW w:type="dxa" w:w="2200"/>
            <w:tcMar>
              <w:top w:type="dxa" w:w="60"/>
              <w:left w:type="dxa" w:w="100"/>
              <w:bottom w:type="dxa" w:w="60"/>
              <w:right w:type="dxa" w:w="100"/>
            </w:tcMar>
          </w:tcPr>
          <w:p>
            <w:pPr>
              <w:spacing w:after="0" w:line="260"/>
            </w:pPr>
            <w:r>
              <w:rPr>
                <w:b w:val="false"/>
                <w:bCs w:val="false"/>
                <w:color w:val="000000"/>
                <w:sz w:val="19"/>
                <w:szCs w:val="19"/>
              </w:rPr>
              <w:t xml:space="preserve">Oltre 5.000 negozi, 25 paesi, 53 milioni raccolti</w:t>
            </w:r>
          </w:p>
        </w:tc>
        <w:tc>
          <w:tcPr>
            <w:tcW w:type="dxa" w:w="2000"/>
            <w:tcMar>
              <w:top w:type="dxa" w:w="60"/>
              <w:left w:type="dxa" w:w="100"/>
              <w:bottom w:type="dxa" w:w="60"/>
              <w:right w:type="dxa" w:w="100"/>
            </w:tcMar>
          </w:tcPr>
          <w:p>
            <w:pPr>
              <w:spacing w:after="0" w:line="260"/>
            </w:pPr>
            <w:r>
              <w:rPr>
                <w:b w:val="false"/>
                <w:bCs w:val="false"/>
                <w:color w:val="000000"/>
                <w:sz w:val="19"/>
                <w:szCs w:val="19"/>
              </w:rPr>
              <w:t xml:space="preserve">Attiva dal 2023</w:t>
            </w:r>
          </w:p>
        </w:tc>
      </w:tr>
      <w:tr>
        <w:tc>
          <w:tcPr>
            <w:tcW w:type="dxa" w:w="2400"/>
            <w:tcMar>
              <w:top w:type="dxa" w:w="60"/>
              <w:left w:type="dxa" w:w="100"/>
              <w:bottom w:type="dxa" w:w="60"/>
              <w:right w:type="dxa" w:w="100"/>
            </w:tcMar>
          </w:tcPr>
          <w:p>
            <w:pPr>
              <w:spacing w:after="0" w:line="260"/>
            </w:pPr>
            <w:r>
              <w:rPr>
                <w:b w:val="false"/>
                <w:bCs w:val="false"/>
                <w:color w:val="000000"/>
                <w:sz w:val="19"/>
                <w:szCs w:val="19"/>
              </w:rPr>
              <w:t xml:space="preserve">Blindzone</w:t>
            </w:r>
          </w:p>
        </w:tc>
        <w:tc>
          <w:tcPr>
            <w:tcW w:type="dxa" w:w="2600"/>
            <w:tcMar>
              <w:top w:type="dxa" w:w="60"/>
              <w:left w:type="dxa" w:w="100"/>
              <w:bottom w:type="dxa" w:w="60"/>
              <w:right w:type="dxa" w:w="100"/>
            </w:tcMar>
          </w:tcPr>
          <w:p>
            <w:pPr>
              <w:spacing w:after="0" w:line="260"/>
            </w:pPr>
            <w:r>
              <w:rPr>
                <w:b w:val="false"/>
                <w:bCs w:val="false"/>
                <w:color w:val="000000"/>
                <w:sz w:val="19"/>
                <w:szCs w:val="19"/>
              </w:rPr>
              <w:t xml:space="preserve">Molto simile a LOOKUP, made in Italy</w:t>
            </w:r>
          </w:p>
        </w:tc>
        <w:tc>
          <w:tcPr>
            <w:tcW w:type="dxa" w:w="2200"/>
            <w:tcMar>
              <w:top w:type="dxa" w:w="60"/>
              <w:left w:type="dxa" w:w="100"/>
              <w:bottom w:type="dxa" w:w="60"/>
              <w:right w:type="dxa" w:w="100"/>
            </w:tcMar>
          </w:tcPr>
          <w:p>
            <w:pPr>
              <w:spacing w:after="0" w:line="260"/>
            </w:pPr>
            <w:r>
              <w:rPr>
                <w:b w:val="false"/>
                <w:bCs w:val="false"/>
                <w:color w:val="000000"/>
                <w:sz w:val="19"/>
                <w:szCs w:val="19"/>
              </w:rPr>
              <w:t xml:space="preserve">Startup 2025, prime insegne GDO</w:t>
            </w:r>
          </w:p>
        </w:tc>
        <w:tc>
          <w:tcPr>
            <w:tcW w:type="dxa" w:w="2000"/>
            <w:tcMar>
              <w:top w:type="dxa" w:w="60"/>
              <w:left w:type="dxa" w:w="100"/>
              <w:bottom w:type="dxa" w:w="60"/>
              <w:right w:type="dxa" w:w="100"/>
            </w:tcMar>
          </w:tcPr>
          <w:p>
            <w:pPr>
              <w:spacing w:after="0" w:line="260"/>
            </w:pPr>
            <w:r>
              <w:rPr>
                <w:b w:val="false"/>
                <w:bCs w:val="false"/>
                <w:color w:val="000000"/>
                <w:sz w:val="19"/>
                <w:szCs w:val="19"/>
              </w:rPr>
              <w:t xml:space="preserve">Nascente ma locale</w:t>
            </w:r>
          </w:p>
        </w:tc>
      </w:tr>
      <w:tr>
        <w:tc>
          <w:tcPr>
            <w:tcW w:type="dxa" w:w="2400"/>
            <w:tcMar>
              <w:top w:type="dxa" w:w="60"/>
              <w:left w:type="dxa" w:w="100"/>
              <w:bottom w:type="dxa" w:w="60"/>
              <w:right w:type="dxa" w:w="100"/>
            </w:tcMar>
          </w:tcPr>
          <w:p>
            <w:pPr>
              <w:spacing w:after="0" w:line="260"/>
            </w:pPr>
            <w:r>
              <w:rPr>
                <w:b w:val="false"/>
                <w:bCs w:val="false"/>
                <w:color w:val="000000"/>
                <w:sz w:val="19"/>
                <w:szCs w:val="19"/>
              </w:rPr>
              <w:t xml:space="preserve">Checkpoint, Sensormatic</w:t>
            </w:r>
          </w:p>
        </w:tc>
        <w:tc>
          <w:tcPr>
            <w:tcW w:type="dxa" w:w="2600"/>
            <w:tcMar>
              <w:top w:type="dxa" w:w="60"/>
              <w:left w:type="dxa" w:w="100"/>
              <w:bottom w:type="dxa" w:w="60"/>
              <w:right w:type="dxa" w:w="100"/>
            </w:tcMar>
          </w:tcPr>
          <w:p>
            <w:pPr>
              <w:spacing w:after="0" w:line="260"/>
            </w:pPr>
            <w:r>
              <w:rPr>
                <w:b w:val="false"/>
                <w:bCs w:val="false"/>
                <w:color w:val="000000"/>
                <w:sz w:val="19"/>
                <w:szCs w:val="19"/>
              </w:rPr>
              <w:t xml:space="preserve">Antitaccheggio tradizionale con video in aggiunta</w:t>
            </w:r>
          </w:p>
        </w:tc>
        <w:tc>
          <w:tcPr>
            <w:tcW w:type="dxa" w:w="2200"/>
            <w:tcMar>
              <w:top w:type="dxa" w:w="60"/>
              <w:left w:type="dxa" w:w="100"/>
              <w:bottom w:type="dxa" w:w="60"/>
              <w:right w:type="dxa" w:w="100"/>
            </w:tcMar>
          </w:tcPr>
          <w:p>
            <w:pPr>
              <w:spacing w:after="0" w:line="260"/>
            </w:pPr>
            <w:r>
              <w:rPr>
                <w:b w:val="false"/>
                <w:bCs w:val="false"/>
                <w:color w:val="000000"/>
                <w:sz w:val="19"/>
                <w:szCs w:val="19"/>
              </w:rPr>
              <w:t xml:space="preserve">Grandi gruppi, rete commerciale consolidata</w:t>
            </w:r>
          </w:p>
        </w:tc>
        <w:tc>
          <w:tcPr>
            <w:tcW w:type="dxa" w:w="2000"/>
            <w:tcMar>
              <w:top w:type="dxa" w:w="60"/>
              <w:left w:type="dxa" w:w="100"/>
              <w:bottom w:type="dxa" w:w="60"/>
              <w:right w:type="dxa" w:w="100"/>
            </w:tcMar>
          </w:tcPr>
          <w:p>
            <w:pPr>
              <w:spacing w:after="0" w:line="260"/>
            </w:pPr>
            <w:r>
              <w:rPr>
                <w:b w:val="false"/>
                <w:bCs w:val="false"/>
                <w:color w:val="000000"/>
                <w:sz w:val="19"/>
                <w:szCs w:val="19"/>
              </w:rPr>
              <w:t xml:space="preserve">Storicamente radicati</w:t>
            </w:r>
          </w:p>
        </w:tc>
      </w:tr>
      <w:tr>
        <w:tc>
          <w:tcPr>
            <w:tcW w:type="dxa" w:w="2400"/>
            <w:tcMar>
              <w:top w:type="dxa" w:w="60"/>
              <w:left w:type="dxa" w:w="100"/>
              <w:bottom w:type="dxa" w:w="60"/>
              <w:right w:type="dxa" w:w="100"/>
            </w:tcMar>
          </w:tcPr>
          <w:p>
            <w:pPr>
              <w:spacing w:after="0" w:line="260"/>
            </w:pPr>
            <w:r>
              <w:rPr>
                <w:b w:val="false"/>
                <w:bCs w:val="false"/>
                <w:color w:val="000000"/>
                <w:sz w:val="19"/>
                <w:szCs w:val="19"/>
              </w:rPr>
              <w:t xml:space="preserve">LOOKUP</w:t>
            </w:r>
          </w:p>
        </w:tc>
        <w:tc>
          <w:tcPr>
            <w:tcW w:type="dxa" w:w="2600"/>
            <w:tcMar>
              <w:top w:type="dxa" w:w="60"/>
              <w:left w:type="dxa" w:w="100"/>
              <w:bottom w:type="dxa" w:w="60"/>
              <w:right w:type="dxa" w:w="100"/>
            </w:tcMar>
          </w:tcPr>
          <w:p>
            <w:pPr>
              <w:spacing w:after="0" w:line="260"/>
            </w:pPr>
            <w:r>
              <w:rPr>
                <w:b w:val="false"/>
                <w:bCs w:val="false"/>
                <w:color w:val="000000"/>
                <w:sz w:val="19"/>
                <w:szCs w:val="19"/>
              </w:rPr>
              <w:t xml:space="preserve">Telecamere esistenti, analisi gesti, deterrenza</w:t>
            </w:r>
          </w:p>
        </w:tc>
        <w:tc>
          <w:tcPr>
            <w:tcW w:type="dxa" w:w="2200"/>
            <w:tcMar>
              <w:top w:type="dxa" w:w="60"/>
              <w:left w:type="dxa" w:w="100"/>
              <w:bottom w:type="dxa" w:w="60"/>
              <w:right w:type="dxa" w:w="100"/>
            </w:tcMar>
          </w:tcPr>
          <w:p>
            <w:pPr>
              <w:spacing w:after="0" w:line="260"/>
            </w:pPr>
            <w:r>
              <w:rPr>
                <w:b w:val="false"/>
                <w:bCs w:val="false"/>
                <w:color w:val="000000"/>
                <w:sz w:val="19"/>
                <w:szCs w:val="19"/>
              </w:rPr>
              <w:t xml:space="preserve">Pre avvio, senza round</w:t>
            </w:r>
          </w:p>
        </w:tc>
        <w:tc>
          <w:tcPr>
            <w:tcW w:type="dxa" w:w="2000"/>
            <w:tcMar>
              <w:top w:type="dxa" w:w="60"/>
              <w:left w:type="dxa" w:w="100"/>
              <w:bottom w:type="dxa" w:w="60"/>
              <w:right w:type="dxa" w:w="100"/>
            </w:tcMar>
          </w:tcPr>
          <w:p>
            <w:pPr>
              <w:spacing w:after="0" w:line="260"/>
            </w:pPr>
            <w:r>
              <w:rPr>
                <w:b w:val="false"/>
                <w:bCs w:val="false"/>
                <w:color w:val="000000"/>
                <w:sz w:val="19"/>
                <w:szCs w:val="19"/>
              </w:rPr>
              <w:t xml:space="preserve">Discovery sul campo avviata</w:t>
            </w:r>
          </w:p>
        </w:tc>
      </w:tr>
    </w:tbl>
    <w:p>
      <w:pPr>
        <w:spacing w:after="140" w:before="60" w:line="276"/>
        <w:jc w:val="both"/>
      </w:pPr>
      <w:r>
        <w:rPr>
          <w:b w:val="false"/>
          <w:bCs w:val="false"/>
          <w:color w:val="000000"/>
          <w:sz w:val="21"/>
          <w:szCs w:val="21"/>
        </w:rPr>
        <w:t xml:space="preserve">La lettura del confronto è netta. Sul terreno che avete scelto, tecnologia più conformità più assenza di hardware, non arrivate per primi e non arrivate con più risorse. Questo non chiude la partita, ma impone di spostarla su un terreno dove potete vincere.</w:t>
      </w:r>
    </w:p>
    <w:p>
      <w:pPr>
        <w:pStyle w:val="Heading1"/>
        <w:spacing w:after="140" w:before="300"/>
      </w:pPr>
      <w:r>
        <w:rPr>
          <w:b/>
          <w:bCs/>
          <w:color w:val="000000"/>
          <w:sz w:val="27"/>
          <w:szCs w:val="27"/>
        </w:rPr>
        <w:t xml:space="preserve">7. Disponibilità a pagare ed economia del cliente</w:t>
      </w:r>
    </w:p>
    <w:p>
      <w:pPr>
        <w:spacing w:after="140" w:before="0" w:line="276"/>
        <w:jc w:val="both"/>
      </w:pPr>
      <w:r>
        <w:rPr>
          <w:b w:val="false"/>
          <w:bCs w:val="false"/>
          <w:color w:val="000000"/>
          <w:sz w:val="21"/>
          <w:szCs w:val="21"/>
        </w:rPr>
        <w:t xml:space="preserve">Il punto di forza economico del modello è che il ritorno per il cliente è facile da dimostrare. Un negozio che perde diverse decine di migliaia di euro all'anno per taccheggio, e ne recupera anche solo un terzo, ripaga in pochi mesi un abbonamento software di poche centinaia di euro al mese. Questa aritmetica è il vostro miglior argomento di vendita e vale la pena costruirci sopra la trattativa, negozio per negozio, partendo dai numeri reali che il responsabile vi ha già dichiarato durante le visite.</w:t>
      </w:r>
    </w:p>
    <w:p>
      <w:pPr>
        <w:spacing w:after="140" w:before="0" w:line="276"/>
        <w:jc w:val="both"/>
      </w:pPr>
      <w:r>
        <w:rPr>
          <w:b w:val="false"/>
          <w:bCs w:val="false"/>
          <w:color w:val="000000"/>
          <w:sz w:val="21"/>
          <w:szCs w:val="21"/>
        </w:rPr>
        <w:t xml:space="preserve">Il punto di attenzione è che la grande distribuzione strutturata decide con cicli di vendita lunghi, prove pilota e passaggi sindacali, e in quei tavoli un concorrente più grande e già referenziato parte avvantaggiato. I negozi indipendenti e le piccole catene decidono invece più in fretta e sono meno presidiati dai grandi operatori. Per una nuova impresa senza capitale raccolto, questo secondo bacino è la porta di ingresso più realistica.</w:t>
      </w:r>
    </w:p>
    <w:p>
      <w:pPr>
        <w:pStyle w:val="Heading1"/>
        <w:spacing w:after="140" w:before="300"/>
      </w:pPr>
      <w:r>
        <w:rPr>
          <w:b/>
          <w:bCs/>
          <w:color w:val="000000"/>
          <w:sz w:val="27"/>
          <w:szCs w:val="27"/>
        </w:rPr>
        <w:t xml:space="preserve">8. Verdetto e condizioni di sostenibilità</w:t>
      </w:r>
    </w:p>
    <w:p>
      <w:pPr>
        <w:spacing w:after="140" w:before="0" w:line="276"/>
        <w:jc w:val="both"/>
      </w:pPr>
      <w:r>
        <w:rPr>
          <w:b/>
          <w:bCs/>
          <w:color w:val="000000"/>
          <w:sz w:val="21"/>
          <w:szCs w:val="21"/>
        </w:rPr>
        <w:t xml:space="preserve">Fattibilità tecnica </w:t>
      </w:r>
      <w:r>
        <w:rPr>
          <w:b w:val="false"/>
          <w:bCs w:val="false"/>
          <w:color w:val="000000"/>
          <w:sz w:val="21"/>
          <w:szCs w:val="21"/>
        </w:rPr>
        <w:t xml:space="preserve">alta. </w:t>
      </w:r>
      <w:r>
        <w:rPr>
          <w:b/>
          <w:bCs/>
          <w:color w:val="000000"/>
          <w:sz w:val="21"/>
          <w:szCs w:val="21"/>
        </w:rPr>
        <w:t xml:space="preserve">Fattibilità legale </w:t>
      </w:r>
      <w:r>
        <w:rPr>
          <w:b w:val="false"/>
          <w:bCs w:val="false"/>
          <w:color w:val="000000"/>
          <w:sz w:val="21"/>
          <w:szCs w:val="21"/>
        </w:rPr>
        <w:t xml:space="preserve">gestibile. </w:t>
      </w:r>
      <w:r>
        <w:rPr>
          <w:b/>
          <w:bCs/>
          <w:color w:val="000000"/>
          <w:sz w:val="21"/>
          <w:szCs w:val="21"/>
        </w:rPr>
        <w:t xml:space="preserve">Fertilità della domanda </w:t>
      </w:r>
      <w:r>
        <w:rPr>
          <w:b w:val="false"/>
          <w:bCs w:val="false"/>
          <w:color w:val="000000"/>
          <w:sz w:val="21"/>
          <w:szCs w:val="21"/>
        </w:rPr>
        <w:t xml:space="preserve">alta. </w:t>
      </w:r>
      <w:r>
        <w:rPr>
          <w:b/>
          <w:bCs/>
          <w:color w:val="000000"/>
          <w:sz w:val="21"/>
          <w:szCs w:val="21"/>
        </w:rPr>
        <w:t xml:space="preserve">Difendibilità competitiva </w:t>
      </w:r>
      <w:r>
        <w:rPr>
          <w:b w:val="false"/>
          <w:bCs w:val="false"/>
          <w:color w:val="000000"/>
          <w:sz w:val="21"/>
          <w:szCs w:val="21"/>
        </w:rPr>
        <w:t xml:space="preserve">oggi bassa. </w:t>
      </w:r>
    </w:p>
    <w:p>
      <w:pPr>
        <w:spacing w:after="140" w:before="0" w:line="276"/>
        <w:jc w:val="both"/>
      </w:pPr>
      <w:r>
        <w:rPr>
          <w:b w:val="false"/>
          <w:bCs w:val="false"/>
          <w:color w:val="000000"/>
          <w:sz w:val="21"/>
          <w:szCs w:val="21"/>
        </w:rPr>
        <w:t xml:space="preserve">Messi insieme, questi giudizi dicono che l'idea è buona ma non nella forma in cui è oggi descritta. Il rischio non è costruire un prodotto che non funziona, ma costruire un buon prodotto identico a quello di un concorrente più forte, e non riuscire a venderlo. Perché LOOKUP abbia senso, deve essere vera almeno una di queste tre condizioni.</w:t>
      </w:r>
    </w:p>
    <w:p>
      <w:pPr>
        <w:spacing w:after="140" w:before="0" w:line="276"/>
        <w:jc w:val="both"/>
      </w:pPr>
      <w:r>
        <w:rPr>
          <w:b/>
          <w:bCs/>
          <w:color w:val="000000"/>
          <w:sz w:val="21"/>
          <w:szCs w:val="21"/>
        </w:rPr>
        <w:t xml:space="preserve">Un canale di vendita che gli altri non presidiano. </w:t>
      </w:r>
      <w:r>
        <w:rPr>
          <w:b w:val="false"/>
          <w:bCs w:val="false"/>
          <w:color w:val="000000"/>
          <w:sz w:val="21"/>
          <w:szCs w:val="21"/>
        </w:rPr>
        <w:t xml:space="preserve">Ad esempio un modello di acquisizione capillare e a basso costo sui negozi indipendenti e sulle piccole catene di una o più regioni, dove Veesion arriva poco e Blindzone è ancora agli inizi. Il vantaggio qui sarebbe commerciale e di prossimità, non tecnologico.</w:t>
      </w:r>
    </w:p>
    <w:p>
      <w:pPr>
        <w:spacing w:after="140" w:before="0" w:line="276"/>
        <w:jc w:val="both"/>
      </w:pPr>
      <w:r>
        <w:rPr>
          <w:b/>
          <w:bCs/>
          <w:color w:val="000000"/>
          <w:sz w:val="21"/>
          <w:szCs w:val="21"/>
        </w:rPr>
        <w:t xml:space="preserve">Una verticale specifica dove diventare i migliori. </w:t>
      </w:r>
      <w:r>
        <w:rPr>
          <w:b w:val="false"/>
          <w:bCs w:val="false"/>
          <w:color w:val="000000"/>
          <w:sz w:val="21"/>
          <w:szCs w:val="21"/>
        </w:rPr>
        <w:t xml:space="preserve">La vostra stessa discovery indica i drugstore e la profumeria come segmenti molto sofferenti. Specializzarsi su una nicchia, con un modello addestrato sui suoi furti tipici e un messaggio costruito su misura, è più difendibile che essere generalisti.</w:t>
      </w:r>
    </w:p>
    <w:p>
      <w:pPr>
        <w:spacing w:after="140" w:before="0" w:line="276"/>
        <w:jc w:val="both"/>
      </w:pPr>
      <w:r>
        <w:rPr>
          <w:b/>
          <w:bCs/>
          <w:color w:val="000000"/>
          <w:sz w:val="21"/>
          <w:szCs w:val="21"/>
        </w:rPr>
        <w:t xml:space="preserve">Un uso del dato che vada oltre l'antifurto. </w:t>
      </w:r>
      <w:r>
        <w:rPr>
          <w:b w:val="false"/>
          <w:bCs w:val="false"/>
          <w:color w:val="000000"/>
          <w:sz w:val="21"/>
          <w:szCs w:val="21"/>
        </w:rPr>
        <w:t xml:space="preserve">Le stesse telecamere e gli stessi movimenti anonimi possono alimentare analisi di flusso, tempi di coda, aree calde del negozio e mancanza di prodotto a scaffale. Vendere prevenzione delle perdite e in più analisi del punto vendita amplia il valore e riduce la dipendenza dal solo argomento furto, su cui i concorrenti sono già forti.</w:t>
      </w:r>
    </w:p>
    <w:p>
      <w:pPr>
        <w:pStyle w:val="Heading1"/>
        <w:spacing w:after="140" w:before="300"/>
      </w:pPr>
      <w:r>
        <w:rPr>
          <w:b/>
          <w:bCs/>
          <w:color w:val="000000"/>
          <w:sz w:val="27"/>
          <w:szCs w:val="27"/>
        </w:rPr>
        <w:t xml:space="preserve">9. Raccomandazioni operative</w:t>
      </w:r>
    </w:p>
    <w:p>
      <w:pPr>
        <w:spacing w:after="140" w:before="40" w:line="276"/>
        <w:jc w:val="both"/>
      </w:pPr>
      <w:r>
        <w:rPr>
          <w:b w:val="false"/>
          <w:bCs w:val="false"/>
          <w:color w:val="000000"/>
          <w:sz w:val="21"/>
          <w:szCs w:val="21"/>
        </w:rPr>
        <w:t xml:space="preserve">Prima di investire mesi in sviluppo, chiudete la domanda competitiva. Provate concretamente Veesion e Blindzone, o studiatene a fondo prezzi, contratti e limiti, per capire dove sono deboli. La vostra opportunità sta nei loro punti scoperti, non nel rifare ciò che fanno bene.</w:t>
      </w:r>
    </w:p>
    <w:p>
      <w:pPr>
        <w:spacing w:after="140" w:before="0" w:line="276"/>
        <w:jc w:val="both"/>
      </w:pPr>
      <w:r>
        <w:rPr>
          <w:b w:val="false"/>
          <w:bCs w:val="false"/>
          <w:color w:val="000000"/>
          <w:sz w:val="21"/>
          <w:szCs w:val="21"/>
        </w:rPr>
        <w:t xml:space="preserve">Trasformate la discovery in un impegno reale. Avete già responsabili interessati e un caso d'uso caldo nei drugstore. Cercate uno, due negozi disposti a una prova pilota anche gratuita, con un obiettivo di riduzione misurabile. Un pilota che dimostra un recupero economico vale più di qualunque analisi, anche per convincere in futuro un socio tecnico o un investitore.</w:t>
      </w:r>
    </w:p>
    <w:p>
      <w:pPr>
        <w:spacing w:after="140" w:before="0" w:line="276"/>
        <w:jc w:val="both"/>
      </w:pPr>
      <w:r>
        <w:rPr>
          <w:b w:val="false"/>
          <w:bCs w:val="false"/>
          <w:color w:val="000000"/>
          <w:sz w:val="21"/>
          <w:szCs w:val="21"/>
        </w:rPr>
        <w:t xml:space="preserve">Mettete al primo posto il reclutamento del socio tecnico sulla computer vision. Senza questa figura, stabile e cointeressata, il progetto resta esposto sul lato che conta di più.</w:t>
      </w:r>
    </w:p>
    <w:p>
      <w:pPr>
        <w:spacing w:after="140" w:before="0" w:line="276"/>
        <w:jc w:val="both"/>
      </w:pPr>
      <w:r>
        <w:rPr>
          <w:b w:val="false"/>
          <w:bCs w:val="false"/>
          <w:color w:val="000000"/>
          <w:sz w:val="21"/>
          <w:szCs w:val="21"/>
        </w:rPr>
        <w:t xml:space="preserve">Scegliete presto il campo di battaglia, cioè il canale indipendente, oppure una verticale, oppure l'estensione ad analisi del negozio. Concentrare le poche risorse su un fronte solo è la differenza tra una nicchia difendibile e un inseguimento perso in partenza.</w:t>
      </w:r>
    </w:p>
    <w:p>
      <w:pPr>
        <w:spacing w:after="140" w:before="0" w:line="276"/>
        <w:jc w:val="both"/>
      </w:pPr>
      <w:r>
        <w:rPr>
          <w:b w:val="false"/>
          <w:bCs w:val="false"/>
          <w:color w:val="000000"/>
          <w:sz w:val="21"/>
          <w:szCs w:val="21"/>
        </w:rPr>
        <w:t xml:space="preserve">Impostate fin da subito il messaggio commerciale sul diritto del lavoro. Spiegare al cliente che il sistema non sorveglia i dipendenti, e che questo agevola l'accordo sindacale, elimina un'obiezione ricorrente e vi fa apparire più preparati della concorrenza.</w:t>
      </w:r>
    </w:p>
    <w:p>
      <w:pPr>
        <w:spacing w:after="0" w:before="300"/>
      </w:pPr>
      <w:r>
        <w:rPr>
          <w:i/>
          <w:iCs/>
          <w:color w:val="000000"/>
          <w:sz w:val="17"/>
          <w:szCs w:val="17"/>
        </w:rPr>
        <w:t xml:space="preserve">Nota sulle fonti. I dati di mercato provengono dalla ricerca Crime&amp;tech, Checkpoint Systems e dalla stampa di settore italiana. I dati sui concorrenti provengono dalle loro comunicazioni pubbliche e dalla stampa specializzata del 2025 e 2026. Le validazioni sui punti vendita provengono dalla vostra attività di discovery. Gli ordini di grandezza economici sono stime a scopo di ragionamento.</w:t>
      </w:r>
    </w:p>
    <w:sectPr>
      <w:footerReference w:type="default" r:id="rId7"/>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000000"/>
        <w:sz w:val="16"/>
        <w:szCs w:val="16"/>
      </w:rPr>
      <w:t xml:space="preserve">LOOKUP - Valutazione di fattibilità e mercato    </w:t>
    </w:r>
    <w:r>
      <w:rPr>
        <w:color w:val="00000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LOOKUP - Valutazione di fattibilità e mercato</dc:title>
  <dc:creator>LOOKUP</dc:creator>
  <cp:lastModifiedBy>Un-named</cp:lastModifiedBy>
  <cp:revision>1</cp:revision>
  <dcterms:created xsi:type="dcterms:W3CDTF">2026-09-20T17:27:47.046Z</dcterms:created>
  <dcterms:modified xsi:type="dcterms:W3CDTF">2026-09-20T17:27:47.057Z</dcterms:modified>
</cp:coreProperties>
</file>

<file path=docProps/custom.xml><?xml version="1.0" encoding="utf-8"?>
<Properties xmlns="http://schemas.openxmlformats.org/officeDocument/2006/custom-properties" xmlns:vt="http://schemas.openxmlformats.org/officeDocument/2006/docPropsVTypes"/>
</file>