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b w:val="1"/>
          <w:bCs w:val="1"/>
          <w:color w:val="000000"/>
          <w:sz w:val="26"/>
          <w:szCs w:val="26"/>
        </w:rPr>
      </w:pPr>
      <w:bookmarkStart w:colFirst="0" w:colLast="0" w:name="_heading=h.js8wkbwnxywl" w:id="0"/>
      <w:bookmarkEnd w:id="0"/>
      <w:r w:rsidDel="00000000" w:rsidR="00000000" w:rsidRPr="00000000">
        <w:rPr>
          <w:b w:val="1"/>
          <w:bCs w:val="1"/>
          <w:color w:val="000000"/>
          <w:sz w:val="26"/>
          <w:szCs w:val="26"/>
          <w:rtl w:val="0"/>
        </w:rPr>
        <w:t xml:space="preserve">SEZIONE 1: L'IMPATTO QUANTITATIVO DELLA DETERRENZA AI</w:t>
      </w:r>
    </w:p>
    <w:p w:rsidR="00000000" w:rsidDel="00000000" w:rsidP="00000000" w:rsidRDefault="00000000" w:rsidRPr="00000000" w14:paraId="00000002">
      <w:pPr>
        <w:spacing w:after="240" w:before="240" w:lineRule="auto"/>
        <w:rPr/>
      </w:pPr>
      <w:r w:rsidDel="00000000" w:rsidR="00000000" w:rsidRPr="00000000">
        <w:rPr>
          <w:rtl w:val="0"/>
        </w:rPr>
        <w:t xml:space="preserve">Nel settore retail, le differenze inventariali (shrinkage) rappresentano un'emorragia finanziaria critica, quantificata in quasi 100 miliardi di dollari annui a livello globale e causata per circa il 37% da furti esterni. L'approccio tradizionale basato su telecamere passive ha raggiunto il suo limite di efficacia.</w:t>
      </w:r>
    </w:p>
    <w:p w:rsidR="00000000" w:rsidDel="00000000" w:rsidP="00000000" w:rsidRDefault="00000000" w:rsidRPr="00000000" w14:paraId="00000003">
      <w:pPr>
        <w:spacing w:after="240" w:before="240" w:lineRule="auto"/>
        <w:rPr/>
      </w:pPr>
      <w:r w:rsidDel="00000000" w:rsidR="00000000" w:rsidRPr="00000000">
        <w:rPr>
          <w:rtl w:val="0"/>
        </w:rPr>
        <w:t xml:space="preserve">La criminologia applicata, in particolare la Teoria della "Routine Activity" (Cohen e Felson), postula che un crimine si verifica alla convergenza di tre elementi: un potenziale trasgressore, un bersaglio idoneo e l'assenza di un "guardiano capace" (capable guardian). I tradizionali sistemi CCTV a circuito chiuso spesso falliscono come guardiani perché i taccheggiatori sanno che le telecamere sono raramente monitorate in tempo reale. L'introduzione esplicita dell'Intelligenza Artificiale cambia questo paradigma, fungendo da guardiano onnisciente e instancabile.</w:t>
      </w:r>
    </w:p>
    <w:p w:rsidR="00000000" w:rsidDel="00000000" w:rsidP="00000000" w:rsidRDefault="00000000" w:rsidRPr="00000000" w14:paraId="00000004">
      <w:pPr>
        <w:spacing w:after="240" w:before="240" w:lineRule="auto"/>
        <w:rPr/>
      </w:pPr>
      <w:r w:rsidDel="00000000" w:rsidR="00000000" w:rsidRPr="00000000">
        <w:rPr>
          <w:rtl w:val="0"/>
        </w:rPr>
        <w:t xml:space="preserve">L'impatto della sola esposizione di cartellonistica e monitor è misurabile:</w:t>
      </w:r>
    </w:p>
    <w:p w:rsidR="00000000" w:rsidDel="00000000" w:rsidP="00000000" w:rsidRDefault="00000000" w:rsidRPr="00000000" w14:paraId="00000005">
      <w:pPr>
        <w:numPr>
          <w:ilvl w:val="0"/>
          <w:numId w:val="2"/>
        </w:numPr>
        <w:spacing w:after="0" w:before="240" w:lineRule="auto"/>
        <w:ind w:left="720" w:hanging="360"/>
        <w:rPr/>
      </w:pPr>
      <w:r w:rsidDel="00000000" w:rsidR="00000000" w:rsidRPr="00000000">
        <w:rPr>
          <w:b w:val="1"/>
          <w:bCs w:val="1"/>
          <w:rtl w:val="0"/>
        </w:rPr>
        <w:t xml:space="preserve">L'Effetto Hawthorne e i PVM:</w:t>
      </w:r>
      <w:r w:rsidDel="00000000" w:rsidR="00000000" w:rsidRPr="00000000">
        <w:rPr>
          <w:rtl w:val="0"/>
        </w:rPr>
        <w:t xml:space="preserve"> Studi empirici sull'utilizzo dei Public View Monitors (PVM) dimostrano che la consapevolezza visiva di essere osservati innesca una potente auto-regolazione del comportamento. L'installazione di PVM strategici ha generato riduzioni dei furti fino al 40% e un calo delle differenze inventariali complessive stimato in alcuni contesti fino al 50%.</w:t>
      </w:r>
    </w:p>
    <w:p w:rsidR="00000000" w:rsidDel="00000000" w:rsidP="00000000" w:rsidRDefault="00000000" w:rsidRPr="00000000" w14:paraId="00000006">
      <w:pPr>
        <w:numPr>
          <w:ilvl w:val="0"/>
          <w:numId w:val="2"/>
        </w:numPr>
        <w:spacing w:after="240" w:before="0" w:lineRule="auto"/>
        <w:ind w:left="720" w:hanging="360"/>
        <w:rPr/>
      </w:pPr>
      <w:r w:rsidDel="00000000" w:rsidR="00000000" w:rsidRPr="00000000">
        <w:rPr>
          <w:b w:val="1"/>
          <w:bCs w:val="1"/>
          <w:rtl w:val="0"/>
        </w:rPr>
        <w:t xml:space="preserve">Il Salto Quantico da "CCTV" a "AI":</w:t>
      </w:r>
      <w:r w:rsidDel="00000000" w:rsidR="00000000" w:rsidRPr="00000000">
        <w:rPr>
          <w:rtl w:val="0"/>
        </w:rPr>
        <w:t xml:space="preserve"> C'è una profonda differenza di efficacia tra un cartello "Area Videosorvegliata" (che suggerisce un'analisi forense </w:t>
      </w:r>
      <w:r w:rsidDel="00000000" w:rsidR="00000000" w:rsidRPr="00000000">
        <w:rPr>
          <w:i w:val="1"/>
          <w:iCs w:val="1"/>
          <w:rtl w:val="0"/>
        </w:rPr>
        <w:t xml:space="preserve">post-evento</w:t>
      </w:r>
      <w:r w:rsidDel="00000000" w:rsidR="00000000" w:rsidRPr="00000000">
        <w:rPr>
          <w:rtl w:val="0"/>
        </w:rPr>
        <w:t xml:space="preserve">) e uno incentrato sull'IA (che garantisce un'analisi </w:t>
      </w:r>
      <w:r w:rsidDel="00000000" w:rsidR="00000000" w:rsidRPr="00000000">
        <w:rPr>
          <w:i w:val="1"/>
          <w:iCs w:val="1"/>
          <w:rtl w:val="0"/>
        </w:rPr>
        <w:t xml:space="preserve">in tempo reale</w:t>
      </w:r>
      <w:r w:rsidDel="00000000" w:rsidR="00000000" w:rsidRPr="00000000">
        <w:rPr>
          <w:rtl w:val="0"/>
        </w:rPr>
        <w:t xml:space="preserve">). L'ECR Retail Loss Group e le best practice di settore sottolineano che la Loss Prevention moderna deve focalizzarsi sull'amplificazione del rischio ("Risk Amplification") per creare robuste "zone di controllo". Sapere che un software elabora i frame in frazioni di secondo scoraggia l'azione criminale prima che il prodotto venga occultato.</w:t>
      </w:r>
    </w:p>
    <w:p w:rsidR="00000000" w:rsidDel="00000000" w:rsidP="00000000" w:rsidRDefault="00000000" w:rsidRPr="00000000" w14:paraId="00000007">
      <w:pPr>
        <w:pStyle w:val="Heading3"/>
        <w:keepNext w:val="0"/>
        <w:keepLines w:val="0"/>
        <w:spacing w:before="280" w:lineRule="auto"/>
        <w:rPr>
          <w:b w:val="1"/>
          <w:bCs w:val="1"/>
          <w:color w:val="000000"/>
          <w:sz w:val="26"/>
          <w:szCs w:val="26"/>
        </w:rPr>
      </w:pPr>
      <w:bookmarkStart w:colFirst="0" w:colLast="0" w:name="_heading=h.m1apxtfdwf90" w:id="1"/>
      <w:bookmarkEnd w:id="1"/>
      <w:r w:rsidDel="00000000" w:rsidR="00000000" w:rsidRPr="00000000">
        <w:rPr>
          <w:b w:val="1"/>
          <w:bCs w:val="1"/>
          <w:color w:val="000000"/>
          <w:sz w:val="26"/>
          <w:szCs w:val="26"/>
          <w:rtl w:val="0"/>
        </w:rPr>
        <w:t xml:space="preserve">SEZIONE 2: ECONOMIA COMPORTAMENTALE E PERCEZIONE DEL RISCHIO</w:t>
      </w:r>
    </w:p>
    <w:p w:rsidR="00000000" w:rsidDel="00000000" w:rsidP="00000000" w:rsidRDefault="00000000" w:rsidRPr="00000000" w14:paraId="00000008">
      <w:pPr>
        <w:spacing w:after="240" w:before="240" w:lineRule="auto"/>
        <w:rPr/>
      </w:pPr>
      <w:r w:rsidDel="00000000" w:rsidR="00000000" w:rsidRPr="00000000">
        <w:rPr>
          <w:rtl w:val="0"/>
        </w:rPr>
        <w:t xml:space="preserve">La deterrenza si basa sull'alterazione del PRA (</w:t>
      </w:r>
      <w:r w:rsidDel="00000000" w:rsidR="00000000" w:rsidRPr="00000000">
        <w:rPr>
          <w:i w:val="1"/>
          <w:iCs w:val="1"/>
          <w:rtl w:val="0"/>
        </w:rPr>
        <w:t xml:space="preserve">Perceived Risk of Apprehension</w:t>
      </w:r>
      <w:r w:rsidDel="00000000" w:rsidR="00000000" w:rsidRPr="00000000">
        <w:rPr>
          <w:rtl w:val="0"/>
        </w:rPr>
        <w:t xml:space="preserve">, ovvero il Rischio Perceputo di Cattura). Il Communication Kit deve manipolare questo indicatore per due categorie di soggetti molto diverse:</w:t>
      </w:r>
    </w:p>
    <w:p w:rsidR="00000000" w:rsidDel="00000000" w:rsidP="00000000" w:rsidRDefault="00000000" w:rsidRPr="00000000" w14:paraId="00000009">
      <w:pPr>
        <w:numPr>
          <w:ilvl w:val="0"/>
          <w:numId w:val="1"/>
        </w:numPr>
        <w:spacing w:after="0" w:before="240" w:lineRule="auto"/>
        <w:ind w:left="720" w:hanging="360"/>
        <w:rPr/>
      </w:pPr>
      <w:r w:rsidDel="00000000" w:rsidR="00000000" w:rsidRPr="00000000">
        <w:rPr>
          <w:b w:val="1"/>
          <w:bCs w:val="1"/>
          <w:rtl w:val="0"/>
        </w:rPr>
        <w:t xml:space="preserve">Il Taccheggiatore Occasionale (Opportunistico):</w:t>
      </w:r>
      <w:r w:rsidDel="00000000" w:rsidR="00000000" w:rsidRPr="00000000">
        <w:rPr>
          <w:rtl w:val="0"/>
        </w:rPr>
        <w:t xml:space="preserve"> Agisce d'impulso ed è guidato dalla dissonanza cognitiva; tende a minimizzare la colpa convincendosi che "nessuno sta guardando". L'avviso di un'IA in funzione innesca un blocco psicologico immediato. L'idea di un algoritmo infallibile distrugge la sua razionalizzazione del rischio.</w:t>
      </w:r>
    </w:p>
    <w:p w:rsidR="00000000" w:rsidDel="00000000" w:rsidP="00000000" w:rsidRDefault="00000000" w:rsidRPr="00000000" w14:paraId="0000000A">
      <w:pPr>
        <w:numPr>
          <w:ilvl w:val="0"/>
          <w:numId w:val="1"/>
        </w:numPr>
        <w:spacing w:after="240" w:before="0" w:lineRule="auto"/>
        <w:ind w:left="720" w:hanging="360"/>
        <w:rPr/>
      </w:pPr>
      <w:r w:rsidDel="00000000" w:rsidR="00000000" w:rsidRPr="00000000">
        <w:rPr>
          <w:b w:val="1"/>
          <w:bCs w:val="1"/>
          <w:rtl w:val="0"/>
        </w:rPr>
        <w:t xml:space="preserve">Il Taccheggiatore Professionista (ORC - Organized Retail Crime):</w:t>
      </w:r>
      <w:r w:rsidDel="00000000" w:rsidR="00000000" w:rsidRPr="00000000">
        <w:rPr>
          <w:rtl w:val="0"/>
        </w:rPr>
        <w:t xml:space="preserve"> Calcola freddamente il rapporto rischio/beneficio. Il termine "Intelligenza Artificiale" o "Analisi Comportamentale" altera la sua formula mentale. Mentre sa come eludere una guardia umana (sfruttando angoli ciechi o momenti di distrazione), sa di non poter stancare o distrarre una rete neurale. Questo genera un effetto di </w:t>
      </w:r>
      <w:r w:rsidDel="00000000" w:rsidR="00000000" w:rsidRPr="00000000">
        <w:rPr>
          <w:i w:val="1"/>
          <w:iCs w:val="1"/>
          <w:rtl w:val="0"/>
        </w:rPr>
        <w:t xml:space="preserve">displacement</w:t>
      </w:r>
      <w:r w:rsidDel="00000000" w:rsidR="00000000" w:rsidRPr="00000000">
        <w:rPr>
          <w:rtl w:val="0"/>
        </w:rPr>
        <w:t xml:space="preserve">: il professionista abbandonerà il supermercato protetto dall'IA per colpirne uno concorrente meno attrezzato.</w:t>
      </w:r>
    </w:p>
    <w:p w:rsidR="00000000" w:rsidDel="00000000" w:rsidP="00000000" w:rsidRDefault="00000000" w:rsidRPr="00000000" w14:paraId="0000000B">
      <w:pPr>
        <w:spacing w:after="240" w:before="240" w:lineRule="auto"/>
        <w:rPr/>
      </w:pPr>
      <w:r w:rsidDel="00000000" w:rsidR="00000000" w:rsidRPr="00000000">
        <w:rPr>
          <w:b w:val="1"/>
          <w:bCs w:val="1"/>
          <w:rtl w:val="0"/>
        </w:rPr>
        <w:t xml:space="preserve">La Strategia dei Monitor "Public View" (PVM) potenziati:</w:t>
      </w:r>
      <w:r w:rsidDel="00000000" w:rsidR="00000000" w:rsidRPr="00000000">
        <w:rPr>
          <w:rtl w:val="0"/>
        </w:rPr>
        <w:t xml:space="preserve"> Per massimizzare l'intimidazione senza violare il GDPR, l'ingresso del negozio dovrebbe ospitare un grande PVM. Invece di mostrare un semplice specchio digitale, il monitor mostrerà il flusso video applicando in sovrimpressione l'output visivo dell'algoritmo. Verranno disegnati dei </w:t>
      </w:r>
      <w:r w:rsidDel="00000000" w:rsidR="00000000" w:rsidRPr="00000000">
        <w:rPr>
          <w:i w:val="1"/>
          <w:iCs w:val="1"/>
          <w:rtl w:val="0"/>
        </w:rPr>
        <w:t xml:space="preserve">bounding box</w:t>
      </w:r>
      <w:r w:rsidDel="00000000" w:rsidR="00000000" w:rsidRPr="00000000">
        <w:rPr>
          <w:rtl w:val="0"/>
        </w:rPr>
        <w:t xml:space="preserve">(riquadri anonimi) attorno ai corpi dei clienti in entrata o gli "scheletri cinematici" (Pose Estimation) generati dal sistema Edge per il rilevamento delle anomalie. Questo espediente visivo lancia un messaggio devastante: </w:t>
      </w:r>
      <w:r w:rsidDel="00000000" w:rsidR="00000000" w:rsidRPr="00000000">
        <w:rPr>
          <w:i w:val="1"/>
          <w:iCs w:val="1"/>
          <w:rtl w:val="0"/>
        </w:rPr>
        <w:t xml:space="preserve">"Il sistema ti ha agganciato e sta calcolando la tua biomeccanica"</w:t>
      </w:r>
      <w:r w:rsidDel="00000000" w:rsidR="00000000" w:rsidRPr="00000000">
        <w:rPr>
          <w:rtl w:val="0"/>
        </w:rPr>
        <w:t xml:space="preserve">. Allo stesso tempo, rassicura il cliente onesto e il Garante Privacy: i volti non sono analizzati, non c'è riconoscimento facciale, ma solo l'astrazione geometrica del movimento.</w:t>
      </w:r>
    </w:p>
    <w:p w:rsidR="00000000" w:rsidDel="00000000" w:rsidP="00000000" w:rsidRDefault="00000000" w:rsidRPr="00000000" w14:paraId="0000000C">
      <w:pPr>
        <w:pStyle w:val="Heading3"/>
        <w:keepNext w:val="0"/>
        <w:keepLines w:val="0"/>
        <w:spacing w:before="280" w:lineRule="auto"/>
        <w:rPr>
          <w:b w:val="1"/>
          <w:bCs w:val="1"/>
          <w:color w:val="000000"/>
          <w:sz w:val="26"/>
          <w:szCs w:val="26"/>
        </w:rPr>
      </w:pPr>
      <w:bookmarkStart w:colFirst="0" w:colLast="0" w:name="_heading=h.2tgb2gflmijg" w:id="2"/>
      <w:bookmarkEnd w:id="2"/>
      <w:r w:rsidDel="00000000" w:rsidR="00000000" w:rsidRPr="00000000">
        <w:rPr>
          <w:b w:val="1"/>
          <w:bCs w:val="1"/>
          <w:color w:val="000000"/>
          <w:sz w:val="26"/>
          <w:szCs w:val="26"/>
          <w:rtl w:val="0"/>
        </w:rPr>
        <w:t xml:space="preserve">SEZIONE 3: COPYWRITING COMPLIANT (Il compromesso perfetto)</w:t>
      </w:r>
    </w:p>
    <w:p w:rsidR="00000000" w:rsidDel="00000000" w:rsidP="00000000" w:rsidRDefault="00000000" w:rsidRPr="00000000" w14:paraId="0000000D">
      <w:pPr>
        <w:spacing w:after="240" w:before="240" w:lineRule="auto"/>
        <w:rPr/>
      </w:pPr>
      <w:r w:rsidDel="00000000" w:rsidR="00000000" w:rsidRPr="00000000">
        <w:rPr>
          <w:rtl w:val="0"/>
        </w:rPr>
        <w:t xml:space="preserve">Secondo le Linee Guida 3/2019 dell'EDPB, la cartellonistica (informativa di primo livello) </w:t>
      </w:r>
      <w:sdt>
        <w:sdtPr>
          <w:id w:val="-713049695"/>
          <w:tag w:val="goog_rdk_0"/>
        </w:sdtPr>
        <w:sdtContent>
          <w:commentRangeStart w:id="0"/>
        </w:sdtContent>
      </w:sdt>
      <w:r w:rsidDel="00000000" w:rsidR="00000000" w:rsidRPr="00000000">
        <w:rPr>
          <w:rtl w:val="0"/>
        </w:rPr>
        <w:t xml:space="preserve">deve essere esposta prima che il soggetto entri nell'area di ripresa e deve contenere l'identità del titolare, la finalità specifica e il rimando all'informativa estesa.</w:t>
      </w:r>
      <w:commentRangeEnd w:id="0"/>
      <w:r w:rsidDel="00000000" w:rsidR="00000000" w:rsidRPr="00000000">
        <w:commentReference w:id="0"/>
      </w:r>
      <w:r w:rsidDel="00000000" w:rsidR="00000000" w:rsidRPr="00000000">
        <w:rPr>
          <w:rtl w:val="0"/>
        </w:rPr>
        <w:t xml:space="preserve"> Essendo il sistema privo di biometria facciale, la base giuridica è il Legittimo Interesse (Art. 6.1.f) per la tutela del patrimonio aziendale.</w:t>
      </w:r>
    </w:p>
    <w:p w:rsidR="00000000" w:rsidDel="00000000" w:rsidP="00000000" w:rsidRDefault="00000000" w:rsidRPr="00000000" w14:paraId="0000000E">
      <w:pPr>
        <w:spacing w:after="240" w:before="240" w:lineRule="auto"/>
        <w:rPr/>
      </w:pPr>
      <w:r w:rsidDel="00000000" w:rsidR="00000000" w:rsidRPr="00000000">
        <w:rPr>
          <w:rtl w:val="0"/>
        </w:rPr>
        <w:t xml:space="preserve">Ecco 3 varianti di testo calibrate per massimizzare la deterrenza e garantire la conformità:</w:t>
      </w:r>
    </w:p>
    <w:p w:rsidR="00000000" w:rsidDel="00000000" w:rsidP="00000000" w:rsidRDefault="00000000" w:rsidRPr="00000000" w14:paraId="0000000F">
      <w:pPr>
        <w:spacing w:after="240" w:before="240" w:lineRule="auto"/>
        <w:rPr>
          <w:b w:val="1"/>
          <w:bCs w:val="1"/>
        </w:rPr>
      </w:pPr>
      <w:r w:rsidDel="00000000" w:rsidR="00000000" w:rsidRPr="00000000">
        <w:rPr>
          <w:b w:val="1"/>
          <w:bCs w:val="1"/>
          <w:rtl w:val="0"/>
        </w:rPr>
        <w:t xml:space="preserve">VARIANTE 1: Ingresso Principale (Sotto il Public View Monitor)</w:t>
      </w:r>
    </w:p>
    <w:p w:rsidR="00000000" w:rsidDel="00000000" w:rsidP="00000000" w:rsidRDefault="00000000" w:rsidRPr="00000000" w14:paraId="00000010">
      <w:pPr>
        <w:spacing w:after="240" w:before="240" w:lineRule="auto"/>
        <w:ind w:left="600" w:right="600" w:firstLine="0"/>
        <w:rPr/>
      </w:pPr>
      <w:r w:rsidDel="00000000" w:rsidR="00000000" w:rsidRPr="00000000">
        <w:rPr>
          <w:b w:val="1"/>
          <w:bCs w:val="1"/>
          <w:rtl w:val="0"/>
        </w:rPr>
        <w:t xml:space="preserve">AREA PROTETTA DA INTELLIGENZA ARTIFICIALE ANTIFURTO</w:t>
      </w:r>
      <w:r w:rsidDel="00000000" w:rsidR="00000000" w:rsidRPr="00000000">
        <w:rPr>
          <w:rtl w:val="0"/>
        </w:rPr>
        <w:t xml:space="preserve"> Questo negozio è dotato di un sistema di Video Analisi Comportamentale in tempo reale per la sicurezza e la prevenzione dei furti (Legittimo Interesse). </w:t>
      </w:r>
      <w:r w:rsidDel="00000000" w:rsidR="00000000" w:rsidRPr="00000000">
        <w:rPr>
          <w:b w:val="1"/>
          <w:bCs w:val="1"/>
          <w:rtl w:val="0"/>
        </w:rPr>
        <w:t xml:space="preserve">La tua privacy è al sicuro:</w:t>
      </w:r>
      <w:r w:rsidDel="00000000" w:rsidR="00000000" w:rsidRPr="00000000">
        <w:rPr>
          <w:rtl w:val="0"/>
        </w:rPr>
        <w:t xml:space="preserve"> Il sistema rileva automaticamente i movimenti e i gesti sospetti, ma </w:t>
      </w:r>
      <w:r w:rsidDel="00000000" w:rsidR="00000000" w:rsidRPr="00000000">
        <w:rPr>
          <w:b w:val="1"/>
          <w:bCs w:val="1"/>
          <w:rtl w:val="0"/>
        </w:rPr>
        <w:t xml:space="preserve">NON</w:t>
      </w:r>
      <w:r w:rsidDel="00000000" w:rsidR="00000000" w:rsidRPr="00000000">
        <w:rPr>
          <w:rtl w:val="0"/>
        </w:rPr>
        <w:t xml:space="preserve"> utilizza tecnologie di riconoscimento facciale e non estrae dati biometrici. Le immagini vengono analizzate ed eliminate istantaneamente. Titolare del Trattamento: [Nome Supermercato/Azienda]. Per l'informativa privacy estesa e l'esercizio dei diritti, inquadra il QR Code o chiedi in direzione.</w:t>
      </w:r>
    </w:p>
    <w:p w:rsidR="00000000" w:rsidDel="00000000" w:rsidP="00000000" w:rsidRDefault="00000000" w:rsidRPr="00000000" w14:paraId="00000011">
      <w:pPr>
        <w:spacing w:after="240" w:before="240" w:lineRule="auto"/>
        <w:rPr>
          <w:b w:val="1"/>
          <w:bCs w:val="1"/>
        </w:rPr>
      </w:pPr>
      <w:r w:rsidDel="00000000" w:rsidR="00000000" w:rsidRPr="00000000">
        <w:rPr>
          <w:b w:val="1"/>
          <w:bCs w:val="1"/>
          <w:rtl w:val="0"/>
        </w:rPr>
        <w:t xml:space="preserve">VARIANTE 2: Corsie ad alto rischio (es. Alcolici, Cosmetica)</w:t>
      </w:r>
    </w:p>
    <w:p w:rsidR="00000000" w:rsidDel="00000000" w:rsidP="00000000" w:rsidRDefault="00000000" w:rsidRPr="00000000" w14:paraId="00000012">
      <w:pPr>
        <w:spacing w:after="240" w:before="240" w:lineRule="auto"/>
        <w:ind w:left="600" w:right="600" w:firstLine="0"/>
        <w:rPr/>
      </w:pPr>
      <w:r w:rsidDel="00000000" w:rsidR="00000000" w:rsidRPr="00000000">
        <w:rPr>
          <w:b w:val="1"/>
          <w:bCs w:val="1"/>
          <w:rtl w:val="0"/>
        </w:rPr>
        <w:t xml:space="preserve">ANALISI COMPORTAMENTALE ATTIVA - CORSIA MONITORATA DALL'IA</w:t>
      </w:r>
      <w:r w:rsidDel="00000000" w:rsidR="00000000" w:rsidRPr="00000000">
        <w:rPr>
          <w:rtl w:val="0"/>
        </w:rPr>
        <w:t xml:space="preserve"> I movimenti all'interno di questo reparto sono analizzati istantaneamente da algoritmi di Intelligenza Artificiale progettati per segnalare tentativi di occultamento merci alla sicurezza. Elaborazione automatica in loco senza conservazione di filmati e senza riconoscimento facciale (Tutela del patrimonio aziendale ex Art. 6.1.f GDPR). Maggiori info al QR Code.</w:t>
      </w:r>
    </w:p>
    <w:p w:rsidR="00000000" w:rsidDel="00000000" w:rsidP="00000000" w:rsidRDefault="00000000" w:rsidRPr="00000000" w14:paraId="00000013">
      <w:pPr>
        <w:spacing w:after="240" w:before="240" w:lineRule="auto"/>
        <w:rPr>
          <w:b w:val="1"/>
          <w:bCs w:val="1"/>
        </w:rPr>
      </w:pPr>
      <w:r w:rsidDel="00000000" w:rsidR="00000000" w:rsidRPr="00000000">
        <w:rPr>
          <w:b w:val="1"/>
          <w:bCs w:val="1"/>
          <w:rtl w:val="0"/>
        </w:rPr>
        <w:t xml:space="preserve">VARIANTE 3: Casse Automatiche / Self-Checkout</w:t>
      </w:r>
    </w:p>
    <w:p w:rsidR="00000000" w:rsidDel="00000000" w:rsidP="00000000" w:rsidRDefault="00000000" w:rsidRPr="00000000" w14:paraId="00000014">
      <w:pPr>
        <w:spacing w:after="240" w:before="240" w:lineRule="auto"/>
        <w:ind w:left="600" w:right="600" w:firstLine="0"/>
        <w:rPr/>
      </w:pPr>
      <w:r w:rsidDel="00000000" w:rsidR="00000000" w:rsidRPr="00000000">
        <w:rPr>
          <w:b w:val="1"/>
          <w:bCs w:val="1"/>
          <w:rtl w:val="0"/>
        </w:rPr>
        <w:t xml:space="preserve">SISTEMA DI CHECKOUT INTELLIGENTE CON VIDEO-PREVENZIONE</w:t>
      </w:r>
      <w:r w:rsidDel="00000000" w:rsidR="00000000" w:rsidRPr="00000000">
        <w:rPr>
          <w:rtl w:val="0"/>
        </w:rPr>
        <w:t xml:space="preserve"> Il processo di scansione è protetto da un software di Intelligenza Artificiale che rileva omissioni di scansione o comportamenti anomali, allertando il personale in tempo reale. Operiamo nel totale rispetto della tua riservatezza: il sistema analizza esclusivamente la dinamica dei movimenti senza identificarti biometricamente. Titolare: [Nome Azienda] - Privacy Policy completa disponibile al desk o tramite QR code.</w:t>
      </w:r>
    </w:p>
    <w:p w:rsidR="00000000" w:rsidDel="00000000" w:rsidP="00000000" w:rsidRDefault="00000000" w:rsidRPr="00000000" w14:paraId="00000015">
      <w:pPr>
        <w:rPr/>
      </w:pPr>
      <w:r w:rsidDel="00000000" w:rsidR="00000000" w:rsidRPr="00000000">
        <w:rPr>
          <w:rtl w:val="0"/>
        </w:rPr>
      </w:r>
    </w:p>
    <w:sectPr>
      <w:pgSz w:h="16834" w:w="11909"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Ettore Rigillo" w:id="0" w:date="2026-09-22T19:18:22Z">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quindi teoricamente la trovo nei supermercati che già la applicano? io non l'ho mai vista</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016"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b w:val="0"/>
        <w:bCs w:val="0"/>
        <w:i w:val="0"/>
        <w:iCs w:val="0"/>
        <w:smallCaps w:val="0"/>
        <w:strike w:val="0"/>
        <w:color w:val="00000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t"/>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4iLkz86tefPHiwhBuXq2uarHcDg==">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