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Relazione Legale e Strategica: Validazione del Framework di Compliance per Piattaforma di Video Analytics Edge-Based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Introduzione e Inquadramento Architetturale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presente relazione fornisce un parere pro veritate, legale e strategico, redatto secondo i massimi standard accademici e professionali, in merito alla validazione del framework normativo e di compliance per una startup B2B operante nel settore del Video Analytics per il retail fisico. L'architettura proposta, basata sull'acquisizione di flussi video da telecamere IP preesistenti, sull'elaborazione in ambito Edge (in locale, direttamente all'interno della RAM del dispositivo con distruzione istantanea dei frame) e sulla successiva storicizzazione in cloud di esclusivi dati numerici e aggregati, si pone all'avanguardia nell'implementazione del principio di </w:t>
      </w:r>
      <w:r w:rsidDel="00000000" w:rsidR="00000000" w:rsidRPr="00000000">
        <w:rPr>
          <w:rFonts w:ascii="Google Sans" w:cs="Google Sans" w:eastAsia="Google Sans" w:hAnsi="Google Sans"/>
          <w:i w:val="1"/>
          <w:iCs w:val="1"/>
          <w:rtl w:val="0"/>
        </w:rPr>
        <w:t xml:space="preserve">Data Protection by Design e by Default</w:t>
      </w:r>
      <w:r w:rsidDel="00000000" w:rsidR="00000000" w:rsidRPr="00000000">
        <w:rPr>
          <w:rFonts w:ascii="Google Sans" w:cs="Google Sans" w:eastAsia="Google Sans" w:hAnsi="Google Sans"/>
          <w:rtl w:val="0"/>
        </w:rPr>
        <w:t xml:space="preserve"> sancito dall'Articolo 25 del Regolamento (UE) 2016/679 (GDPR).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Tuttavia, l'operatività del software, che si articola in un Modulo Analytics (dedicato a conteggi, mappe di calore e tempi di sosta) e in un Modulo Loss Prevention (orientato all'analisi comportamentale per il rilevamento in tempo reale di gesti sospetti e l'invio di alert testuali), intercetta una stratificazione normativa estremamente complessa. Il sistema deve essere validato non solo ai sensi del GDPR, ma anche alla luce della rigorosa normativa italiana sul controllo a distanza dei lavoratori (Legge 300/1970), della recente e dirompente legislazione europea in materia di intelligenza artificiale (Regolamento (UE) 2024/1689, c.d. EU AI Act), e della stratificata giurisprudenza della Corte di Giustizia dell'Unione Europea (CGUE) e della Corte Europea dei Diritti dell'Uomo (CEDU). L'esegesi che segue è strutturata su cinque pilastri fondamentali, per ciascuno dei quali vengono sviscerati gli ostacoli normativi, la dottrina rilevante e fornite esplicite strategie di mitigazione legale, tecnica e commerciale.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INQUADRAMENTO GDPR E DATI BIOMETRICI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prima problematica da affrontare concerne la qualificazione giuridica del flusso video elaborato dal sistema. Anche qualora le immagini catturate dalle telecamere vengano elaborate in tempo reale (real-time) all'interno di memorie volatili (RAM) e distrutte in frazioni di secondo senza alcuna storicizzazione su disco, la mera fase di acquisizione ed estrazione temporanea di metadati costituisce un "trattamento di dati personali" ai sensi dell'Articolo 4, paragrafo 2, del GDPR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 Linee Guida 3/2019 del Comitato Europeo per la Protezione dei Dati (EDPB) sul trattamento dei dati personali attraverso dispositivi video chiariscono in modo inequivocabile che il Regolamento si applica integralmente non appena le persone fisiche riprese diventano identificabili, prescindendo totalmente dal fatto che l'output finale trasmesso al cloud sia perfettamente anonimizzato o aggregato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Pertanto, il Titolare del trattamento (il Retailer) e il Responsabile del trattamento (la Startup) devono radicare la propria operatività su basi giuridiche solide fin dal momento della captazione ottica.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Modulo Analytics: Legittimo Interesse e Anonimizzazione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Modulo Analytics elabora le coordinate spaziali degli avventori per generare heatmaps, conteggi degli ingressi e metriche relative al tempo di sosta (dwell time). In assenza di un consenso esplicito e preventivo da parte di ogni singolo cliente che varca la soglia del punto vendita (opzione palesemente irrealizzabile nella prassi commerciale e viziata in radice per la mancanza di libertà della prestazione del consenso in un luogo di pubblico accesso), la base giuridica d'elezione per questo trattamento è il legittimo interesse del Titolare, ai sensi dell'Articolo 6, paragrafo 1, lettera f), del GDPR.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Fino a tempi recentissimi, l'invocabilità del legittimo interesse per finalità puramente commerciali è stata oggetto di un aspro dibattito giurisprudenziale e dottrinale. Alcune Autorità Garanti europee, tra cui segnatamente l'Autorità per la Protezione dei Dati olandese (Autoriteit Persoonsgegevens), avevano adottato un'interpretazione restrittiva, sostenendo che un interesse puramente commerciale o di lucro non potesse assurgere al rango di "legittimo interesse" ai fini del GDPR, richiedendo invece che tale interesse fosse radicato in un principio di diritto positivo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Questa impostazione avrebbe potenzialmente paralizzato l'intero settore del Video Analytics in Europa. Tuttavia, la Corte di Giustizia dell'Unione Europea, con la fondamentale sentenza del 4 ottobre 2024 nella causa C-621/22 (</w:t>
      </w:r>
      <w:r w:rsidDel="00000000" w:rsidR="00000000" w:rsidRPr="00000000">
        <w:rPr>
          <w:rFonts w:ascii="Google Sans" w:cs="Google Sans" w:eastAsia="Google Sans" w:hAnsi="Google Sans"/>
          <w:i w:val="1"/>
          <w:iCs w:val="1"/>
          <w:rtl w:val="0"/>
        </w:rPr>
        <w:t xml:space="preserve">Koninklijke Nederlandse Lawn Tennisbond contro Autoriteit Persoonsgegevens</w:t>
      </w:r>
      <w:r w:rsidDel="00000000" w:rsidR="00000000" w:rsidRPr="00000000">
        <w:rPr>
          <w:rFonts w:ascii="Google Sans" w:cs="Google Sans" w:eastAsia="Google Sans" w:hAnsi="Google Sans"/>
          <w:rtl w:val="0"/>
        </w:rPr>
        <w:t xml:space="preserve">), ha cassato tale impostazione restrittiva. La CGUE ha statuito che il legislatore europeo non richiede che l'interesse perseguito dal titolare sia previsto esplicitamente dalla legge per essere qualificato come legittimo; pertanto, un interesse puramente commerciale o economico costituisce a tutti gli effetti un legittimo interesse, a condizione che non sia palesemente contrario alla legge e che superi il rigoroso test di bilanciamento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Sulla scorta di tale dirompente pronuncia, l'EDPB ha emanato le Linee Guida 1/2024, imponendo un approccio strutturato in tre fasi (il c.d. </w:t>
      </w:r>
      <w:r w:rsidDel="00000000" w:rsidR="00000000" w:rsidRPr="00000000">
        <w:rPr>
          <w:rFonts w:ascii="Google Sans" w:cs="Google Sans" w:eastAsia="Google Sans" w:hAnsi="Google Sans"/>
          <w:i w:val="1"/>
          <w:iCs w:val="1"/>
          <w:rtl w:val="0"/>
        </w:rPr>
        <w:t xml:space="preserve">three-part test</w:t>
      </w:r>
      <w:r w:rsidDel="00000000" w:rsidR="00000000" w:rsidRPr="00000000">
        <w:rPr>
          <w:rFonts w:ascii="Google Sans" w:cs="Google Sans" w:eastAsia="Google Sans" w:hAnsi="Google Sans"/>
          <w:rtl w:val="0"/>
        </w:rPr>
        <w:t xml:space="preserve">): accertamento dello scopo legittimo, verifica della necessità del trattamento e bilanciamento degli interessi</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del Test LIA (Linee Guida EDPB 1/2024)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Applicazione al Modulo Analytics (Retail)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Purpose Test (Test dello Scopo)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L'interesse deve essere lecito, chiaramente articolato e reale. Ottimizzare il layout del negozio e analizzare i flussi dei clienti per incrementare le vendite costituisce un legittimo interesse commerciale validato dalla sentenza CGUE C-621/22.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Necessity Test (Test di Necessità)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trattamento deve essere strettamente necessario per raggiungere lo scopo. L'elaborazione Edge in RAM con distruzione istantanea dei frame dimostra che non esistono alternative meno intrusive (es. raccolta massiva di video in cloud) per ottenere metriche di affluenza accurate.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Balancing Test (Test di Bilanciamento)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L'interesse del Titolare non deve prevalere sui diritti, libertà e aspettative ragionevoli degli interessati. Dato che il dato personale è distrutto in tempo reale e il tracciamento non è persistente, l'impatto sui diritti è minimo e tollerabile.</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L'ostacolo normativo principale intrinseco al Modulo Analytics risiede nel potenziale rischio di re-identificazione e tracciamento "cross-camera". Se il software impiega tecniche di </w:t>
      </w:r>
      <w:r w:rsidDel="00000000" w:rsidR="00000000" w:rsidRPr="00000000">
        <w:rPr>
          <w:rFonts w:ascii="Google Sans" w:cs="Google Sans" w:eastAsia="Google Sans" w:hAnsi="Google Sans"/>
          <w:i w:val="1"/>
          <w:iCs w:val="1"/>
          <w:rtl w:val="0"/>
        </w:rPr>
        <w:t xml:space="preserve">soft-biometrics</w:t>
      </w:r>
      <w:r w:rsidDel="00000000" w:rsidR="00000000" w:rsidRPr="00000000">
        <w:rPr>
          <w:rFonts w:ascii="Google Sans" w:cs="Google Sans" w:eastAsia="Google Sans" w:hAnsi="Google Sans"/>
          <w:rtl w:val="0"/>
        </w:rPr>
        <w:t xml:space="preserve"> (ad esempio, associando il colore dei vestiti o l'andatura di una persona per seguirne il percorso tra diverse telecamere non sovrapposte all'interno dello stesso supermercato), si genera un tracciamento che, seppur non legato all'identità anagrafica, isola e singolarizza l'individuo nel tempo e nello spazio</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Le tecniche basate sulla correlazione di caratteristiche fisiche superficiali possono portare a rappresentazioni identitarie fragili ma sufficienti a innescare i divieti previsti per il tracciamento su larga scala</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mitigare questo rischio sul piano tecnico e legale, la startup deve implementare un'architettura di re-identificazione (Re-ID) strettamente effimera, avvalendosi di tecnologie di preservazione della privacy (Privacy-Enhancing Technologies, PET). Un approccio validato dalla dottrina scientifica consiste nell'utilizzo di estrattori </w:t>
      </w:r>
      <w:r w:rsidDel="00000000" w:rsidR="00000000" w:rsidRPr="00000000">
        <w:rPr>
          <w:rFonts w:ascii="Google Sans" w:cs="Google Sans" w:eastAsia="Google Sans" w:hAnsi="Google Sans"/>
          <w:i w:val="1"/>
          <w:iCs w:val="1"/>
          <w:rtl w:val="0"/>
        </w:rPr>
        <w:t xml:space="preserve">fuzzy</w:t>
      </w:r>
      <w:r w:rsidDel="00000000" w:rsidR="00000000" w:rsidRPr="00000000">
        <w:rPr>
          <w:rFonts w:ascii="Google Sans" w:cs="Google Sans" w:eastAsia="Google Sans" w:hAnsi="Google Sans"/>
          <w:rtl w:val="0"/>
        </w:rPr>
        <w:t xml:space="preserve"> e filtri di Bloom cifrati omomorficamente (Homomorphically Encrypted Bloom Filters), i quali permettono di calcolare l'intersezione degli insiemi (ovvero quantificare se una persona vista dalla telecamera A è la stessa vista dalla telecamera B) operando esclusivamente su dati cifrati, senza mai decrittografare il vettore di caratteristiche e senza conservare l'identificatore oltre la durata della permanenza fisica nel punto vendita</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Sotto il profilo legale, la startup deve fornire ai Retailer un </w:t>
      </w:r>
      <w:r w:rsidDel="00000000" w:rsidR="00000000" w:rsidRPr="00000000">
        <w:rPr>
          <w:rFonts w:ascii="Google Sans" w:cs="Google Sans" w:eastAsia="Google Sans" w:hAnsi="Google Sans"/>
          <w:i w:val="1"/>
          <w:iCs w:val="1"/>
          <w:rtl w:val="0"/>
        </w:rPr>
        <w:t xml:space="preserve">Legitimate Interest Assessment</w:t>
      </w:r>
      <w:r w:rsidDel="00000000" w:rsidR="00000000" w:rsidRPr="00000000">
        <w:rPr>
          <w:rFonts w:ascii="Google Sans" w:cs="Google Sans" w:eastAsia="Google Sans" w:hAnsi="Google Sans"/>
          <w:rtl w:val="0"/>
        </w:rPr>
        <w:t xml:space="preserve"> (LIA) precompilato che attesti documentalmente come il tracciamento intra-store si azzeri a fine sessione, garantendo il superamento del test di bilanciamento.</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Modulo Loss Prevention: Comportamento vs. Dato Biometrico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Modulo Loss Prevention si occupa di eseguire un'analisi comportamentale complessa in tempo reale, al fine di rilevare anomalie cinematiche riconducibili a tentativi di taccheggio (ad esempio, l'occultamento di una merce sotto il cappotto o movimenti atipici ripetuti). Questa specifica elaborazione introduce la questione giuridica più delicata dell'intera infrastruttura: l'utilizzo di modelli di </w:t>
      </w:r>
      <w:r w:rsidDel="00000000" w:rsidR="00000000" w:rsidRPr="00000000">
        <w:rPr>
          <w:rFonts w:ascii="Google Sans" w:cs="Google Sans" w:eastAsia="Google Sans" w:hAnsi="Google Sans"/>
          <w:i w:val="1"/>
          <w:iCs w:val="1"/>
          <w:rtl w:val="0"/>
        </w:rPr>
        <w:t xml:space="preserve">pose estimation</w:t>
      </w:r>
      <w:r w:rsidDel="00000000" w:rsidR="00000000" w:rsidRPr="00000000">
        <w:rPr>
          <w:rFonts w:ascii="Google Sans" w:cs="Google Sans" w:eastAsia="Google Sans" w:hAnsi="Google Sans"/>
          <w:rtl w:val="0"/>
        </w:rPr>
        <w:t xml:space="preserve"> o </w:t>
      </w:r>
      <w:r w:rsidDel="00000000" w:rsidR="00000000" w:rsidRPr="00000000">
        <w:rPr>
          <w:rFonts w:ascii="Google Sans" w:cs="Google Sans" w:eastAsia="Google Sans" w:hAnsi="Google Sans"/>
          <w:i w:val="1"/>
          <w:iCs w:val="1"/>
          <w:rtl w:val="0"/>
        </w:rPr>
        <w:t xml:space="preserve">gait analysis</w:t>
      </w:r>
      <w:r w:rsidDel="00000000" w:rsidR="00000000" w:rsidRPr="00000000">
        <w:rPr>
          <w:rFonts w:ascii="Google Sans" w:cs="Google Sans" w:eastAsia="Google Sans" w:hAnsi="Google Sans"/>
          <w:rtl w:val="0"/>
        </w:rPr>
        <w:t xml:space="preserve"> (analisi dell'andatura) configura un trattamento di "categorie particolari di dati personali", specificamente dati biometrici, ai sensi dell'Articolo 9 del GDPR?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L'Articolo 4, punto 14, del GDPR definisce i dati biometrici come quei dati personali ottenuti da un trattamento tecnico specifico, relativi alle caratteristiche fisiche, fisiologiche o comportamentali di una persona fisica, "che ne consentono o confermano l'identificazione univoca". L'interpretazione di questo passaggio è dirimente. Il Provvedimento del Garante Privacy italiano del 12 novembre 2014, n. 513, includeva esplicitamente l'andatura (gait) e la dinamica comportamentale tra i dati biometrici assoggettabili a rigorose tutele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Tuttavia, l'evoluzione dottrinale e le successive Linee Guida EDPB 3/2019 (Paragrafo 5.1) e 05/2022 (relative al riconoscimento facciale) hanno operato un distinguo fondamentale che rappresenta la chiave di volta per la compliance della startup: il trattamento di dati fisici, fisionomici o comportamentali non si qualifica giuridicamente come trattamento di dati biometrici (con conseguente applicazione del divieto generale ex Articolo 9 GDPR) se tale trattamento non è tecnicamente e teleologicamente finalizzato a identificare in modo univoco l'interessato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il sistema fosse classificato come elaboratore di dati biometrici a fini di identificazione, il trattamento sarebbe irrimediabilmente illecito in ambito retail, in quanto l'Articolo 9 vieta il trattamento di tali dati in assenza di un consenso esplicito preventivo (Art. 9(2)(a)), requisito impraticabile in un ambiente ad alto traffico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La dottrina informatica evidenzia come l'analisi causale dei video, necessaria per discriminare l'andatura e i gesti dalle semplici variabili di correlazione (come il colore dei vestiti o lo sfondo), porti il sistema ad estrarre pattern intrinseci del soggetto, aumentando l'intrusività</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strategia di mitigazione per evitare la sussunzione del Modulo Loss Prevention nell'alveo dell'Articolo 9 si articola su due direttrici. In primo luogo, deve esserci un "Isolamento dell'Identità" rigoroso: la documentazione tecnica, le </w:t>
      </w:r>
      <w:r w:rsidDel="00000000" w:rsidR="00000000" w:rsidRPr="00000000">
        <w:rPr>
          <w:rFonts w:ascii="Google Sans" w:cs="Google Sans" w:eastAsia="Google Sans" w:hAnsi="Google Sans"/>
          <w:i w:val="1"/>
          <w:iCs w:val="1"/>
          <w:rtl w:val="0"/>
        </w:rPr>
        <w:t xml:space="preserve">Data Protection Impact Assessment</w:t>
      </w:r>
      <w:r w:rsidDel="00000000" w:rsidR="00000000" w:rsidRPr="00000000">
        <w:rPr>
          <w:rFonts w:ascii="Google Sans" w:cs="Google Sans" w:eastAsia="Google Sans" w:hAnsi="Google Sans"/>
          <w:rtl w:val="0"/>
        </w:rPr>
        <w:t xml:space="preserve"> (DPIA) e il marketing aziendale devono asserire e comprovare che l'algoritmo di intelligenza artificiale esegue esclusivamente operazioni di </w:t>
      </w:r>
      <w:r w:rsidDel="00000000" w:rsidR="00000000" w:rsidRPr="00000000">
        <w:rPr>
          <w:rFonts w:ascii="Google Sans" w:cs="Google Sans" w:eastAsia="Google Sans" w:hAnsi="Google Sans"/>
          <w:i w:val="1"/>
          <w:iCs w:val="1"/>
          <w:rtl w:val="0"/>
        </w:rPr>
        <w:t xml:space="preserve">Pose Estimation</w:t>
      </w:r>
      <w:r w:rsidDel="00000000" w:rsidR="00000000" w:rsidRPr="00000000">
        <w:rPr>
          <w:rFonts w:ascii="Google Sans" w:cs="Google Sans" w:eastAsia="Google Sans" w:hAnsi="Google Sans"/>
          <w:rtl w:val="0"/>
        </w:rPr>
        <w:t xml:space="preserve"> (estrazione dello scheletro vettoriale) e </w:t>
      </w:r>
      <w:r w:rsidDel="00000000" w:rsidR="00000000" w:rsidRPr="00000000">
        <w:rPr>
          <w:rFonts w:ascii="Google Sans" w:cs="Google Sans" w:eastAsia="Google Sans" w:hAnsi="Google Sans"/>
          <w:i w:val="1"/>
          <w:iCs w:val="1"/>
          <w:rtl w:val="0"/>
        </w:rPr>
        <w:t xml:space="preserve">Action Recognition</w:t>
      </w:r>
      <w:r w:rsidDel="00000000" w:rsidR="00000000" w:rsidRPr="00000000">
        <w:rPr>
          <w:rFonts w:ascii="Google Sans" w:cs="Google Sans" w:eastAsia="Google Sans" w:hAnsi="Google Sans"/>
          <w:rtl w:val="0"/>
        </w:rPr>
        <w:t xml:space="preserve"> (classificazione dell'azione temporale), omettendo programmaticamente la creazione di qualsivoglia </w:t>
      </w:r>
      <w:r w:rsidDel="00000000" w:rsidR="00000000" w:rsidRPr="00000000">
        <w:rPr>
          <w:rFonts w:ascii="Google Sans" w:cs="Google Sans" w:eastAsia="Google Sans" w:hAnsi="Google Sans"/>
          <w:i w:val="1"/>
          <w:iCs w:val="1"/>
          <w:rtl w:val="0"/>
        </w:rPr>
        <w:t xml:space="preserve">template</w:t>
      </w:r>
      <w:r w:rsidDel="00000000" w:rsidR="00000000" w:rsidRPr="00000000">
        <w:rPr>
          <w:rFonts w:ascii="Google Sans" w:cs="Google Sans" w:eastAsia="Google Sans" w:hAnsi="Google Sans"/>
          <w:rtl w:val="0"/>
        </w:rPr>
        <w:t xml:space="preserve"> biometrico destinato alla comparazione (1:1 o 1:N) con un database di riferimento</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Il sistema analizza l'anomalia cinematica ("è in corso un occultamento") e non l'identità dell'attore. In secondo luogo, il sistema di "Disaccoppiamento dell'Alert" deve essere implementato in modo draconiano: qualora il sistema rilevi un'anomalia, l'alert inviato ai palmari o agli smartwatch del personale di sicurezza del negozio deve essere unicamente di natura testuale e confinato alle coordinate spazio-temporali, ad esempio "Allarme Loss Prevention: Rilevato movimento sospetto in Corsia 4, Reparto Elettronica, ore 14:32". Non deve mai, in alcun caso, includere ritagli di volti (</w:t>
      </w:r>
      <w:r w:rsidDel="00000000" w:rsidR="00000000" w:rsidRPr="00000000">
        <w:rPr>
          <w:rFonts w:ascii="Google Sans" w:cs="Google Sans" w:eastAsia="Google Sans" w:hAnsi="Google Sans"/>
          <w:i w:val="1"/>
          <w:iCs w:val="1"/>
          <w:rtl w:val="0"/>
        </w:rPr>
        <w:t xml:space="preserve">face crops</w:t>
      </w:r>
      <w:r w:rsidDel="00000000" w:rsidR="00000000" w:rsidRPr="00000000">
        <w:rPr>
          <w:rFonts w:ascii="Google Sans" w:cs="Google Sans" w:eastAsia="Google Sans" w:hAnsi="Google Sans"/>
          <w:rtl w:val="0"/>
        </w:rPr>
        <w:t xml:space="preserve">) o descrizioni fisionomiche dettagliate generate dall'IA, al fine di evitare interpretazioni che ricolleghino il sistema al riconoscimento facciale, pratica fortemente avversata dall'EDPB</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Spetterà poi all'operatore umano recarsi sul luogo per una valutazione visiva diretta, salvaguardando il ruolo della macchina come mero strumento ausiliario e anonimo</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NORMATIVA SUL LAVORO E CONTROLLO A DISTANZA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L'installazione di un'infrastruttura di Video Analytics in un punto vendita retail comporta, per ineluttabile necessità fisica, la ripresa continua del personale dipendente (cassieri, scaffalisti, addetti alle vendite, personale di sicurezza). Nell'ordinamento giuridico italiano, la convergenza tra videosorveglianza e rapporti di lavoro subordinato è presidiata in modo estremamente rigoroso dall'Articolo 4 della Legge 20 maggio 1970, n. 300 (Statuto dei Lavoratori), come significativamente novellato dal Decreto Legislativo 151/2015 (Jobs Act).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L'Articolo 4, al suo primo comma, sancisce un divieto assoluto: "gli impianti audiovisivi e gli altri strumenti dai quali derivi anche la possibilità di controllo a distanza dell'attività dei lavoratori possono essere impiegati esclusivamente per esigenze organizzative e produttive, per la sicurezza del lavoro e per la tutela del patrimonio aziendale"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Sebbene il Modulo Loss Prevention rientri a pieno titolo nella fattispecie legittimante della "tutela del patrimonio aziendale" (prevenzione dei furti e degli ammanchi inventariali), la presenza di un fine lecito non esime il datore di lavoro (il Retailer) dal rispetto di un rigido iter procedurale. L'installazione è, infatti, condizionata al preventivo accordo collettivo stipulato con le Rappresentanze Sindacali Aziendali (RSA) o Unitarie (RSU). In difetto di accordo, o in assenza di tali rappresentanze, l'imprenditore è obbligato a richiedere e ottenere l'autorizzazione preventiva da parte dell'Ispettorato Territoriale del Lavoro (ITL) o dell'Ispettorato Nazionale del Lavoro (INL)</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comprendere la gravità e la delicatezza del contesto, è essenziale operare un'esegesi comparata con la giurisprudenza sovranazionale. La Corte Europea dei Diritti dell'Uomo (CEDU), nella sua composizione in Grande Camera, si è pronunciata sulla legittimità della videosorveglianza occulta contro i dipendenti nel celebre caso </w:t>
      </w:r>
      <w:r w:rsidDel="00000000" w:rsidR="00000000" w:rsidRPr="00000000">
        <w:rPr>
          <w:rFonts w:ascii="Google Sans" w:cs="Google Sans" w:eastAsia="Google Sans" w:hAnsi="Google Sans"/>
          <w:i w:val="1"/>
          <w:iCs w:val="1"/>
          <w:rtl w:val="0"/>
        </w:rPr>
        <w:t xml:space="preserve">López Ribalda and Others v. Spain</w:t>
      </w:r>
      <w:r w:rsidDel="00000000" w:rsidR="00000000" w:rsidRPr="00000000">
        <w:rPr>
          <w:rFonts w:ascii="Google Sans" w:cs="Google Sans" w:eastAsia="Google Sans" w:hAnsi="Google Sans"/>
          <w:rtl w:val="0"/>
        </w:rPr>
        <w:t xml:space="preserve"> (Ricorsi nn. 1874/13 e 8567/13, Sentenza del 17 ottobre 2019)</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Il caso verteva su un gruppo di cassiere di un supermercato spagnolo licenziate a seguito di ammanchi finanziari scoperti tramite telecamere nascoste installate dal datore di lavoro</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La Corte di Strasburgo è stata chiamata a bilanciare l'Articolo 8 della Convenzione (diritto al rispetto della vita privata) con i diritti di proprietà del datore di lavoro. Ribaltando la sentenza di primo grado, la Grande Camera ha stabilito che la videosorveglianza, sebbene occulta, non violava l'Articolo 8 poiché era sorretta da ragionevoli e fondati sospetti di furti gravi, era limitata nel tempo e nello spazio (puntata specificamente sulle casse), e le registrazioni erano state utilizzate esclusivamente per lo scopo previsto (dimostrare il furto), rispettando il principio di proporzionalità e superando il margine di apprezzamento nazionale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Tuttavia, è fondamentale sottolineare che l'ordinamento italiano è marcatamente più garantista rispetto ai parametri minimi delineati dalla CEDU. Anche di fronte a fondati sospetti di ammanchi inventariali, la giurisprudenza della Corte di Cassazione italiana ha costantemente ribadito (salvo rarissime eccezioni legate ai c.d. "controlli difensivi occulti" in fase di </w:t>
      </w:r>
      <w:r w:rsidDel="00000000" w:rsidR="00000000" w:rsidRPr="00000000">
        <w:rPr>
          <w:rFonts w:ascii="Google Sans" w:cs="Google Sans" w:eastAsia="Google Sans" w:hAnsi="Google Sans"/>
          <w:i w:val="1"/>
          <w:iCs w:val="1"/>
          <w:rtl w:val="0"/>
        </w:rPr>
        <w:t xml:space="preserve">extrema ratio</w:t>
      </w:r>
      <w:r w:rsidDel="00000000" w:rsidR="00000000" w:rsidRPr="00000000">
        <w:rPr>
          <w:rFonts w:ascii="Google Sans" w:cs="Google Sans" w:eastAsia="Google Sans" w:hAnsi="Google Sans"/>
          <w:rtl w:val="0"/>
        </w:rPr>
        <w:t xml:space="preserve"> per illeciti gravi già in atto) che la procedura codeterminativa o autorizzatoria ex Art. 4 è una condizione di procedibilità e di liceità ineludibile. L'installazione abusiva non solo vizia irreparabilmente l'utilizzabilità della prova nel processo giuslavoristico (rendendo nullo un eventuale licenziamento disciplinare), ma integra un reato contravvenzionale punito penalmente con l'ammenda da 154 a 1.549 euro o con l'arresto da 15 giorni a un anno</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L'ostacolo normativo principale per la startup risiede nella percezione che i sindacati o gli ispettori del lavoro potrebbero avere del sistema: un'intelligenza artificiale che analizza i movimenti in tempo reale potrebbe essere vista come il massimo strumento distopico per la misurazione della performance dei lavoratori (es. calcolare quanto tempo un dipendente trascorre in pausa o con quale velocità scansiona i prodotti).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strategie di mitigazione per superare questo formidabile sbarramento si dispiegano su tre livelli pratici e documentali:</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Tecnologia di Privacy Enhancing (PET) nativa per i lavoratori (Employee Masking):</w:t>
      </w:r>
      <w:r w:rsidDel="00000000" w:rsidR="00000000" w:rsidRPr="00000000">
        <w:rPr>
          <w:rFonts w:ascii="Google Sans" w:cs="Google Sans" w:eastAsia="Google Sans" w:hAnsi="Google Sans"/>
          <w:rtl w:val="0"/>
        </w:rPr>
        <w:t xml:space="preserve"> La startup deve integrare a livello architetturale funzionalità di offuscamento logico irreversibile (Privacy-Preserving Video Anomaly Detection). Gli algoritmi di Object Detection devono essere istruiti a identificare le divise dei dipendenti o specifici loghi aziendali, applicando dinamicamente tecniche di </w:t>
      </w:r>
      <w:r w:rsidDel="00000000" w:rsidR="00000000" w:rsidRPr="00000000">
        <w:rPr>
          <w:rFonts w:ascii="Google Sans" w:cs="Google Sans" w:eastAsia="Google Sans" w:hAnsi="Google Sans"/>
          <w:i w:val="1"/>
          <w:iCs w:val="1"/>
          <w:rtl w:val="0"/>
        </w:rPr>
        <w:t xml:space="preserve">masking</w:t>
      </w:r>
      <w:r w:rsidDel="00000000" w:rsidR="00000000" w:rsidRPr="00000000">
        <w:rPr>
          <w:rFonts w:ascii="Google Sans" w:cs="Google Sans" w:eastAsia="Google Sans" w:hAnsi="Google Sans"/>
          <w:rtl w:val="0"/>
        </w:rPr>
        <w:t xml:space="preserve"> (come il mascheramento dei pixel o l'offuscamento in codifica H.264/HEVC) in modo che i movimenti dei lavoratori vengano del tutto ignorati dalla </w:t>
      </w:r>
      <w:r w:rsidDel="00000000" w:rsidR="00000000" w:rsidRPr="00000000">
        <w:rPr>
          <w:rFonts w:ascii="Google Sans" w:cs="Google Sans" w:eastAsia="Google Sans" w:hAnsi="Google Sans"/>
          <w:i w:val="1"/>
          <w:iCs w:val="1"/>
          <w:rtl w:val="0"/>
        </w:rPr>
        <w:t xml:space="preserve">pipeline</w:t>
      </w:r>
      <w:r w:rsidDel="00000000" w:rsidR="00000000" w:rsidRPr="00000000">
        <w:rPr>
          <w:rFonts w:ascii="Google Sans" w:cs="Google Sans" w:eastAsia="Google Sans" w:hAnsi="Google Sans"/>
          <w:rtl w:val="0"/>
        </w:rPr>
        <w:t xml:space="preserve"> di inferenza del comportamento</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Alternativamente, si possono configurare a livello software delle "geofence" o </w:t>
      </w:r>
      <w:r w:rsidDel="00000000" w:rsidR="00000000" w:rsidRPr="00000000">
        <w:rPr>
          <w:rFonts w:ascii="Google Sans" w:cs="Google Sans" w:eastAsia="Google Sans" w:hAnsi="Google Sans"/>
          <w:i w:val="1"/>
          <w:iCs w:val="1"/>
          <w:rtl w:val="0"/>
        </w:rPr>
        <w:t xml:space="preserve">bounding boxes</w:t>
      </w:r>
      <w:r w:rsidDel="00000000" w:rsidR="00000000" w:rsidRPr="00000000">
        <w:rPr>
          <w:rFonts w:ascii="Google Sans" w:cs="Google Sans" w:eastAsia="Google Sans" w:hAnsi="Google Sans"/>
          <w:rtl w:val="0"/>
        </w:rPr>
        <w:t xml:space="preserve"> di esclusione fissa, corrispondenti alle aree dove i dipendenti stazionano abitualmente (casse, retrobottega, banchi serviti), impedendo all'algoritmo di acquisire coordinate in tali zone.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Semplificazione Autorizzativa (Nota INL 4757/2023):</w:t>
      </w:r>
      <w:r w:rsidDel="00000000" w:rsidR="00000000" w:rsidRPr="00000000">
        <w:rPr>
          <w:rFonts w:ascii="Google Sans" w:cs="Google Sans" w:eastAsia="Google Sans" w:hAnsi="Google Sans"/>
          <w:rtl w:val="0"/>
        </w:rPr>
        <w:t xml:space="preserve"> Al fine di ridurre l'attrito commerciale in fase di vendita verso le catene della Grande Distribuzione Organizzata (GDO), la startup deve predisporre un "Fascicolo Tecnico per ITL" precompilato. Sfruttando la Nota INL prot. n. 4757 del 26 maggio 2023</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la quale ha fornito indicazioni operative semplificate, la startup supporterà il Retailer nella presentazione di un'istanza unificata, se applicabile, o comunque standardizzata. Il fascicolo deve enfatizzare che l'architettura </w:t>
      </w:r>
      <w:r w:rsidDel="00000000" w:rsidR="00000000" w:rsidRPr="00000000">
        <w:rPr>
          <w:rFonts w:ascii="Google Sans" w:cs="Google Sans" w:eastAsia="Google Sans" w:hAnsi="Google Sans"/>
          <w:i w:val="1"/>
          <w:iCs w:val="1"/>
          <w:rtl w:val="0"/>
        </w:rPr>
        <w:t xml:space="preserve">Edge-based</w:t>
      </w:r>
      <w:r w:rsidDel="00000000" w:rsidR="00000000" w:rsidRPr="00000000">
        <w:rPr>
          <w:rFonts w:ascii="Google Sans" w:cs="Google Sans" w:eastAsia="Google Sans" w:hAnsi="Google Sans"/>
          <w:rtl w:val="0"/>
        </w:rPr>
        <w:t xml:space="preserve"> impedisce strutturalmente al datore di lavoro di accedere allo streaming in tempo reale o alle registrazioni per fini di controllo qualitativo del lavoro.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Clausole Contrattuali (Sinallagma B2B):</w:t>
      </w:r>
      <w:r w:rsidDel="00000000" w:rsidR="00000000" w:rsidRPr="00000000">
        <w:rPr>
          <w:rFonts w:ascii="Google Sans" w:cs="Google Sans" w:eastAsia="Google Sans" w:hAnsi="Google Sans"/>
          <w:rtl w:val="0"/>
        </w:rPr>
        <w:t xml:space="preserve"> Nel contratto di licenza d'uso del software tra la Startup e il Retailer, deve essere inserita una clausola risolutiva espressa e di malleva che vieti esplicitamente l'utilizzo delle analitiche per l'avvio di procedimenti disciplinari per scarso rendimento o infrazioni minori contro il personale dipendente, ribadendo che la teleologia unica del Modulo Loss Prevention è la tutela del patrimonio contro le predazioni di terzi</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Requisiti Art. 4 Statuto dei Lavoratori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Supporto Tecnico e Legale della Startup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Finalità legittima (Tutela Patrimonio)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Relegazione rigorosa dei modelli AI al solo Loss Prevention.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Divieto di controllo a distanza della prestazione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Implementazione di </w:t>
            </w:r>
            <w:r w:rsidDel="00000000" w:rsidR="00000000" w:rsidRPr="00000000">
              <w:rPr>
                <w:rFonts w:ascii="Google Sans" w:cs="Google Sans" w:eastAsia="Google Sans" w:hAnsi="Google Sans"/>
                <w:i w:val="1"/>
                <w:iCs w:val="1"/>
                <w:rtl w:val="0"/>
              </w:rPr>
              <w:t xml:space="preserve">Employee Masking</w:t>
            </w:r>
            <w:r w:rsidDel="00000000" w:rsidR="00000000" w:rsidRPr="00000000">
              <w:rPr>
                <w:rFonts w:ascii="Google Sans" w:cs="Google Sans" w:eastAsia="Google Sans" w:hAnsi="Google Sans"/>
                <w:rtl w:val="0"/>
              </w:rPr>
              <w:t xml:space="preserve"> tramite rilevazione delle divise e Geofencing delle aree casse.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Procedura Codeterminativa / Autorizzatoria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Fornitura di un Fascicolo Tecnico dettagliato sull'elaborazione Edge in RAM per supportare l'istanza all'INL/Sindacati.</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COMPLIANCE ALL'EU AI ACT (REG. UE 2024/1689)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la recente entrata in vigore del Regolamento (UE) 2024/1689 (EU AI Act), la startup si trova ad affrontare la legislazione orizzontale sull'intelligenza artificiale più avanzata a livello globale. Il framework legale introdotto è basato sulla magnitudo del rischio (Risk-Based Approach), e classifica i sistemi di intelligenza artificiale in categorie decrescenti: rischio inaccettabile (pratiche vietate), rischio alto, rischio limitato e rischio minimo. Questa normativa si interseca verticalmente con le soluzioni di Video Analytics comportamentale, imponendo un vaglio formale rigorosissimo per evitare il blocco della commercializzazione e sanzioni di natura afflittiva.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Pratiche Vietate e Riconoscimento delle Emozioni (Articolo 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L'insidia giuridica primordiale risiede nell'Articolo 5 dell'AI Act, il quale sancisce un divieto assoluto di immettere sul mercato o mettere in servizio sistemi di IA che attuino pratiche vietate. In particolare, l'Articolo 5, paragrafo 1, lettera f), proibisce esplicitamente i sistemi di IA finalizzati a dedurre le emozioni di una persona fisica (Emotion Recognition) all'interno dei luoghi di lavoro e negli istituti di istruzione, ad eccezione dei casi in cui l'uso sia strettamente necessario per motivi medici o di sicurezza intrinseca (safety)</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È essenziale rimarcare che un supermercato o un negozio al dettaglio si qualifica senza ombra di dubbio come "luogo di lavoro" per il personale del Retailer. Anche il Considerando 31 e il Considerando 111 condannano pratiche manipolative, discriminatorie o il social scoring, sottolineando come l'inferenza di stati mentali possa ledere profondamente la dignità umana</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l'algoritmo di Loss Prevention viene pubblicizzato, documentato o progettato con lo scopo di interpretare l'ansia, il nervosismo, o i micro-movimenti espressivi tipici della persona in procinto di commettere un illecito, la piattaforma ricade inesorabilmente nel divieto assoluto. Una simile qualificazione comporterebbe conseguenze esiziali, esponendo la startup a sanzioni pecuniarie sino a 35 milioni di euro o al 7% del fatturato annuo globale, a seconda di quale importo sia superiore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strategia di mitigazione per neutralizzare questo rischio richiede una chirurgica operazione di </w:t>
      </w:r>
      <w:r w:rsidDel="00000000" w:rsidR="00000000" w:rsidRPr="00000000">
        <w:rPr>
          <w:rFonts w:ascii="Google Sans" w:cs="Google Sans" w:eastAsia="Google Sans" w:hAnsi="Google Sans"/>
          <w:i w:val="1"/>
          <w:iCs w:val="1"/>
          <w:rtl w:val="0"/>
        </w:rPr>
        <w:t xml:space="preserve">rebranding</w:t>
      </w:r>
      <w:r w:rsidDel="00000000" w:rsidR="00000000" w:rsidRPr="00000000">
        <w:rPr>
          <w:rFonts w:ascii="Google Sans" w:cs="Google Sans" w:eastAsia="Google Sans" w:hAnsi="Google Sans"/>
          <w:rtl w:val="0"/>
        </w:rPr>
        <w:t xml:space="preserve"> tecnico e semantico da parte dell'ufficio legale e di prodotto della startup. Il sistema non deve mai essere concettualizzato come un valutatore di "intenzioni", "stati mentali" o "emozioni". Al contrario, tutta la letteratura aziendale (white papers, manuali tecnici, contratti) e l'effettivo training dell'algoritmo devono fondarsi esclusivamente sui concetti di </w:t>
      </w:r>
      <w:r w:rsidDel="00000000" w:rsidR="00000000" w:rsidRPr="00000000">
        <w:rPr>
          <w:rFonts w:ascii="Google Sans" w:cs="Google Sans" w:eastAsia="Google Sans" w:hAnsi="Google Sans"/>
          <w:b w:val="1"/>
          <w:bCs w:val="1"/>
          <w:rtl w:val="0"/>
        </w:rPr>
        <w:t xml:space="preserve">Object Detection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Pose Estimation</w:t>
      </w:r>
      <w:r w:rsidDel="00000000" w:rsidR="00000000" w:rsidRPr="00000000">
        <w:rPr>
          <w:rFonts w:ascii="Google Sans" w:cs="Google Sans" w:eastAsia="Google Sans" w:hAnsi="Google Sans"/>
          <w:rtl w:val="0"/>
        </w:rPr>
        <w:t xml:space="preserve"> e </w:t>
      </w:r>
      <w:r w:rsidDel="00000000" w:rsidR="00000000" w:rsidRPr="00000000">
        <w:rPr>
          <w:rFonts w:ascii="Google Sans" w:cs="Google Sans" w:eastAsia="Google Sans" w:hAnsi="Google Sans"/>
          <w:b w:val="1"/>
          <w:bCs w:val="1"/>
          <w:rtl w:val="0"/>
        </w:rPr>
        <w:t xml:space="preserve">Action Detection</w:t>
      </w:r>
      <w:r w:rsidDel="00000000" w:rsidR="00000000" w:rsidRPr="00000000">
        <w:rPr>
          <w:rFonts w:ascii="Google Sans" w:cs="Google Sans" w:eastAsia="Google Sans" w:hAnsi="Google Sans"/>
          <w:rtl w:val="0"/>
        </w:rPr>
        <w:t xml:space="preserve"> basati su traiettorie cinematiche e vettoriali</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Il sistema non desume "il nervosismo del taccheggiatore"; esso rileva oggettivamente una traiettoria anomala e prolungata (c.d. </w:t>
      </w:r>
      <w:r w:rsidDel="00000000" w:rsidR="00000000" w:rsidRPr="00000000">
        <w:rPr>
          <w:rFonts w:ascii="Google Sans" w:cs="Google Sans" w:eastAsia="Google Sans" w:hAnsi="Google Sans"/>
          <w:i w:val="1"/>
          <w:iCs w:val="1"/>
          <w:rtl w:val="0"/>
        </w:rPr>
        <w:t xml:space="preserve">Loitering</w:t>
      </w:r>
      <w:r w:rsidDel="00000000" w:rsidR="00000000" w:rsidRPr="00000000">
        <w:rPr>
          <w:rFonts w:ascii="Google Sans" w:cs="Google Sans" w:eastAsia="Google Sans" w:hAnsi="Google Sans"/>
          <w:rtl w:val="0"/>
        </w:rPr>
        <w:t xml:space="preserve">) o l'azione fisica meccanica di sovrapporre un indumento a una merce esposta (</w:t>
      </w:r>
      <w:r w:rsidDel="00000000" w:rsidR="00000000" w:rsidRPr="00000000">
        <w:rPr>
          <w:rFonts w:ascii="Google Sans" w:cs="Google Sans" w:eastAsia="Google Sans" w:hAnsi="Google Sans"/>
          <w:i w:val="1"/>
          <w:iCs w:val="1"/>
          <w:rtl w:val="0"/>
        </w:rPr>
        <w:t xml:space="preserve">Hand-to-pocket anomaly</w:t>
      </w:r>
      <w:r w:rsidDel="00000000" w:rsidR="00000000" w:rsidRPr="00000000">
        <w:rPr>
          <w:rFonts w:ascii="Google Sans" w:cs="Google Sans" w:eastAsia="Google Sans" w:hAnsi="Google Sans"/>
          <w:rtl w:val="0"/>
        </w:rPr>
        <w:t xml:space="preserve">). Questo approccio descrittivo e fattuale sposta il sistema dal terreno minato del riconoscimento delle emozioni all'ambito lecito dell'analisi biomeccanica spaziale, evadendo del tutto i divieti previsti dall'Articolo 5(1)(f)</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Sistemi ad Alto Rischio e la Deroga dell'Articolo 6(3)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volta superato lo scoglio dell'Articolo 5, l'analisi deve spostarsi sull'Articolo 6 e sull'Allegato III, che elencano i sistemi di IA considerati ad "Alto Rischio", assoggettati a obblighi gravosi di gestione della qualità, trasparenza, sorveglianza umana e logging. I punti sensibili dell'Allegato III rilevanti per il Video Analytics riguardano l'impiego per scopi biometrici, per l'occupazione (controllo dei lavoratori) e per l'applicazione della legge (</w:t>
      </w:r>
      <w:r w:rsidDel="00000000" w:rsidR="00000000" w:rsidRPr="00000000">
        <w:rPr>
          <w:rFonts w:ascii="Google Sans" w:cs="Google Sans" w:eastAsia="Google Sans" w:hAnsi="Google Sans"/>
          <w:i w:val="1"/>
          <w:iCs w:val="1"/>
          <w:rtl w:val="0"/>
        </w:rPr>
        <w:t xml:space="preserve">Law Enforcement</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Sebbene il sistema operi in ambito privato retail (e non per le forze di polizia pubbliche) e sebbene, come dimostrato nel primo pilastro, l'architettura tecnica eluda l'identificazione biometrica, permane il rischio che un auditor o un'Autorità di Vigilanza possa contestare una sussunzione nell'Allegato III in virtù di un potenziale monitoraggio dei lavoratori.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Tuttavia, la startup può e deve avvalersi della formidabile via d'uscita offerta dal dettato dell'</w:t>
      </w:r>
      <w:r w:rsidDel="00000000" w:rsidR="00000000" w:rsidRPr="00000000">
        <w:rPr>
          <w:rFonts w:ascii="Google Sans" w:cs="Google Sans" w:eastAsia="Google Sans" w:hAnsi="Google Sans"/>
          <w:b w:val="1"/>
          <w:bCs w:val="1"/>
          <w:rtl w:val="0"/>
        </w:rPr>
        <w:t xml:space="preserve">Articolo 6, paragrafo 3</w:t>
      </w:r>
      <w:r w:rsidDel="00000000" w:rsidR="00000000" w:rsidRPr="00000000">
        <w:rPr>
          <w:rFonts w:ascii="Google Sans" w:cs="Google Sans" w:eastAsia="Google Sans" w:hAnsi="Google Sans"/>
          <w:rtl w:val="0"/>
        </w:rPr>
        <w:t xml:space="preserve"> dell'AI Act. Tale norma introduce un'eccezione cruciale: un sistema di intelligenza artificiale, seppur astrattamente sussumibile tra quelli elencati nell'Allegato III, sfugge alla stringente qualificazione di Alto Rischio qualora non presenti un rischio significativo di danno per la salute, la sicurezza o i diritti fondamentali delle persone fisiche, e in particolare quando non influisce in maniera materiale sul risultato di un processo decisionale umano</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attivare questa deroga, è sufficiente che il sistema soddisfi una o più delle condizioni previste dalla norma, tra cui l'esecuzione di un mero </w:t>
      </w:r>
      <w:r w:rsidDel="00000000" w:rsidR="00000000" w:rsidRPr="00000000">
        <w:rPr>
          <w:rFonts w:ascii="Google Sans" w:cs="Google Sans" w:eastAsia="Google Sans" w:hAnsi="Google Sans"/>
          <w:b w:val="1"/>
          <w:bCs w:val="1"/>
          <w:rtl w:val="0"/>
        </w:rPr>
        <w:t xml:space="preserve">compito preparatorio</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preparatory task</w:t>
      </w:r>
      <w:r w:rsidDel="00000000" w:rsidR="00000000" w:rsidRPr="00000000">
        <w:rPr>
          <w:rFonts w:ascii="Google Sans" w:cs="Google Sans" w:eastAsia="Google Sans" w:hAnsi="Google Sans"/>
          <w:rtl w:val="0"/>
        </w:rPr>
        <w:t xml:space="preserve">) ai fini di una valutazione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Requisito per la Deroga ex Art. 6(3) AI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Implementazione Architetturale nel Modulo Loss Prevention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Compito puramente preparatorio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sistema si limita ad analizzare un pattern di movimento e generare una stringa di testo probabilistica, preparando il terreno per l'analisi umana senza giungere a una conclusione definitiva sull'avvenuto furto.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Non influenza in modo materiale la decisione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sistema non adotta azioni fisiche preclusive (non blocca tornelli, non emette allarmi sonori palesi, non qualifica giuridicamente l'atto). La decisione di intervenire è demandata all'arbitrio del vigilante.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Divieto di Profilazione Persistente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deroga non si applica se il sistema effettua </w:t>
            </w:r>
            <w:r w:rsidDel="00000000" w:rsidR="00000000" w:rsidRPr="00000000">
              <w:rPr>
                <w:rFonts w:ascii="Google Sans" w:cs="Google Sans" w:eastAsia="Google Sans" w:hAnsi="Google Sans"/>
                <w:i w:val="1"/>
                <w:iCs w:val="1"/>
                <w:rtl w:val="0"/>
              </w:rPr>
              <w:t xml:space="preserve">profiling</w:t>
            </w:r>
            <w:r w:rsidDel="00000000" w:rsidR="00000000" w:rsidRPr="00000000">
              <w:rPr>
                <w:rFonts w:ascii="Google Sans" w:cs="Google Sans" w:eastAsia="Google Sans" w:hAnsi="Google Sans"/>
                <w:rtl w:val="0"/>
              </w:rPr>
              <w:t xml:space="preserve"> (Art. 4(4) GDPR). Distruggendo i dati in RAM e operando per istanti separati senza identificazione, si disinnesca la clausola di esclusione.</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 punto di vista della </w:t>
      </w:r>
      <w:r w:rsidDel="00000000" w:rsidR="00000000" w:rsidRPr="00000000">
        <w:rPr>
          <w:rFonts w:ascii="Google Sans" w:cs="Google Sans" w:eastAsia="Google Sans" w:hAnsi="Google Sans"/>
          <w:i w:val="1"/>
          <w:iCs w:val="1"/>
          <w:rtl w:val="0"/>
        </w:rPr>
        <w:t xml:space="preserve">compliance strategy</w:t>
      </w:r>
      <w:r w:rsidDel="00000000" w:rsidR="00000000" w:rsidRPr="00000000">
        <w:rPr>
          <w:rFonts w:ascii="Google Sans" w:cs="Google Sans" w:eastAsia="Google Sans" w:hAnsi="Google Sans"/>
          <w:rtl w:val="0"/>
        </w:rPr>
        <w:t xml:space="preserve">, la soluzione pratica impone di concepire il Modulo Loss Prevention come un "trigger preparatorio e sussidiario" inserito in uno schema </w:t>
      </w:r>
      <w:r w:rsidDel="00000000" w:rsidR="00000000" w:rsidRPr="00000000">
        <w:rPr>
          <w:rFonts w:ascii="Google Sans" w:cs="Google Sans" w:eastAsia="Google Sans" w:hAnsi="Google Sans"/>
          <w:i w:val="1"/>
          <w:iCs w:val="1"/>
          <w:rtl w:val="0"/>
        </w:rPr>
        <w:t xml:space="preserve">Human-in-the-Loop</w:t>
      </w:r>
      <w:r w:rsidDel="00000000" w:rsidR="00000000" w:rsidRPr="00000000">
        <w:rPr>
          <w:rFonts w:ascii="Google Sans" w:cs="Google Sans" w:eastAsia="Google Sans" w:hAnsi="Google Sans"/>
          <w:rtl w:val="0"/>
        </w:rPr>
        <w:t xml:space="preserve"> (HITL). Nel momento in cui il sistema edge-based ravvisa un'anomalia cinematica, esso non prende alcuna decisione automatizzata con effetti legali per l'individuo. Si limita, piuttosto, a inviare una telemetria o un avviso testuale all'operatore di sicurezza o allo store manager. Sarà l'intelletto umano a vagliare l'informazione preliminare, a dirigere la propria attenzione (fisicamente o tramite il VMS tradizionale) sulla scena dell'evento, e ad assumere l'effettiva responsabilità decisionale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Quest'architettura di subalternità tecnologica al decisore umano, accuratamente documentata, permette di sottrarre l'intero prodotto dalla asfissiante burocrazia dei sistemi High-Risk.</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ADEMPIMENTI E DOCUMENTAZIONE OBBLIGATORIA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validazione dell'infrastruttura Edge-based impone la redazione di un impianto documentale rigoroso, al fine di soddisfare il principio cardine dell'Accountability di cui all'Articolo 5, paragrafo 2, del GDPR. In questo schema contrattuale e operativo, si delinea una chiara ripartizione dei ruoli: il Retailer riveste la qualifica di Titolare del Trattamento (Art. 24 GDPR), in quanto detentore del potere decisionale circa le finalità dell'uso della piattaforma nel proprio negozio; la Startup agisce in qualità di Responsabile del Trattamento (Art. 28 GDPR), limitandosi a processare i flussi per conto del Retailer fornendo l'infrastruttura informatica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Valutazione d'Impatto sulla Protezione dei Dati (DPIA)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Sotto l'egida dell'Articolo 35 del GDPR, il Titolare è tenuto a effettuare una Valutazione d'Impatto preventiva ogniqualvolta l'uso di nuove tecnologie presenti un rischio elevato. A fugare ogni dubbio sulla discrezionalità di tale adempimento, il Garante per la Protezione dei Dati Personali italiano, con il Provvedimento n. 467/2018 (confermato dalle FAQ del dicembre 2020), ha inserito la videosorveglianza sistematica su larga scala in zone accessibili al pubblico incrociata con l'utilizzo di nuove tecnologie algoritmiche (esattamente la fattispecie in esame) nell'elenco dei trattamenti per i quali la DPIA è inequivocabilmente </w:t>
      </w:r>
      <w:r w:rsidDel="00000000" w:rsidR="00000000" w:rsidRPr="00000000">
        <w:rPr>
          <w:rFonts w:ascii="Google Sans" w:cs="Google Sans" w:eastAsia="Google Sans" w:hAnsi="Google Sans"/>
          <w:b w:val="1"/>
          <w:bCs w:val="1"/>
          <w:rtl w:val="0"/>
        </w:rPr>
        <w:t xml:space="preserve">obbligatoria</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Benché l'obbligo giuridico incomba formalmente sul Retailer, la complessità dell'estensione di una DPIA rappresenta spesso un deterrente formidabile (c.d. </w:t>
      </w:r>
      <w:r w:rsidDel="00000000" w:rsidR="00000000" w:rsidRPr="00000000">
        <w:rPr>
          <w:rFonts w:ascii="Google Sans" w:cs="Google Sans" w:eastAsia="Google Sans" w:hAnsi="Google Sans"/>
          <w:i w:val="1"/>
          <w:iCs w:val="1"/>
          <w:rtl w:val="0"/>
        </w:rPr>
        <w:t xml:space="preserve">deal breaker</w:t>
      </w:r>
      <w:r w:rsidDel="00000000" w:rsidR="00000000" w:rsidRPr="00000000">
        <w:rPr>
          <w:rFonts w:ascii="Google Sans" w:cs="Google Sans" w:eastAsia="Google Sans" w:hAnsi="Google Sans"/>
          <w:rtl w:val="0"/>
        </w:rPr>
        <w:t xml:space="preserve">) in fase commerciale. La soluzione strategica per mitigare questo collo di bottiglia consiste nella predisposizione da parte della startup di un "</w:t>
      </w:r>
      <w:r w:rsidDel="00000000" w:rsidR="00000000" w:rsidRPr="00000000">
        <w:rPr>
          <w:rFonts w:ascii="Google Sans" w:cs="Google Sans" w:eastAsia="Google Sans" w:hAnsi="Google Sans"/>
          <w:i w:val="1"/>
          <w:iCs w:val="1"/>
          <w:rtl w:val="0"/>
        </w:rPr>
        <w:t xml:space="preserve">DPIA Toolkit</w:t>
      </w:r>
      <w:r w:rsidDel="00000000" w:rsidR="00000000" w:rsidRPr="00000000">
        <w:rPr>
          <w:rFonts w:ascii="Google Sans" w:cs="Google Sans" w:eastAsia="Google Sans" w:hAnsi="Google Sans"/>
          <w:rtl w:val="0"/>
        </w:rPr>
        <w:t xml:space="preserve">" precompilato, un documento di decine di pagine che funge da allegato contrattuale. Questo toolkit conterrà un'analisi dei rischi prefigurata, l'esposizione tecnica dettagliata dei flussi di dati (dimostrando l'impossibilità di </w:t>
      </w:r>
      <w:r w:rsidDel="00000000" w:rsidR="00000000" w:rsidRPr="00000000">
        <w:rPr>
          <w:rFonts w:ascii="Google Sans" w:cs="Google Sans" w:eastAsia="Google Sans" w:hAnsi="Google Sans"/>
          <w:i w:val="1"/>
          <w:iCs w:val="1"/>
          <w:rtl w:val="0"/>
        </w:rPr>
        <w:t xml:space="preserve">data breach</w:t>
      </w:r>
      <w:r w:rsidDel="00000000" w:rsidR="00000000" w:rsidRPr="00000000">
        <w:rPr>
          <w:rFonts w:ascii="Google Sans" w:cs="Google Sans" w:eastAsia="Google Sans" w:hAnsi="Google Sans"/>
          <w:rtl w:val="0"/>
        </w:rPr>
        <w:t xml:space="preserve"> gravosi grazie all'elaborazione effimera in RAM e alla distruzione a t=0) e l'analisi dei bilanciamenti (LIA)</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Consegnando una DPIA pronta al 90%, che il DPO del cliente dovrà solo asseverare per la parte organizzativa locale, la startup converte un ostacolo burocratico in un acceleratore di vendita.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Trasparenza e Informativa a Doppio Livello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livello di intrusività percepita dai clienti in un negozio dotato di Video Analytics impone l'adozione di rigorosi obblighi di trasparenza, normati dall'Articolo 13 del GDPR e approfonditi dall'EDPB. Le Linee Guida 3/2019 prescrivono categoricamente l'utilizzo di un approccio stratificato (c.d. </w:t>
      </w:r>
      <w:r w:rsidDel="00000000" w:rsidR="00000000" w:rsidRPr="00000000">
        <w:rPr>
          <w:rFonts w:ascii="Google Sans" w:cs="Google Sans" w:eastAsia="Google Sans" w:hAnsi="Google Sans"/>
          <w:i w:val="1"/>
          <w:iCs w:val="1"/>
          <w:rtl w:val="0"/>
        </w:rPr>
        <w:t xml:space="preserve">layered approach</w:t>
      </w:r>
      <w:r w:rsidDel="00000000" w:rsidR="00000000" w:rsidRPr="00000000">
        <w:rPr>
          <w:rFonts w:ascii="Google Sans" w:cs="Google Sans" w:eastAsia="Google Sans" w:hAnsi="Google Sans"/>
          <w:rtl w:val="0"/>
        </w:rPr>
        <w:t xml:space="preserve">) per la fornitura dell'informativa, ritenendo insufficiente il semplice pittogramma stilizzato della telecamera</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Livello Informativo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Contenuto e Posizionamento (Requisiti EDPB)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Primo Livello (Warning 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Cartello esposto </w:t>
            </w:r>
            <w:r w:rsidDel="00000000" w:rsidR="00000000" w:rsidRPr="00000000">
              <w:rPr>
                <w:rFonts w:ascii="Google Sans" w:cs="Google Sans" w:eastAsia="Google Sans" w:hAnsi="Google Sans"/>
                <w:i w:val="1"/>
                <w:iCs w:val="1"/>
                <w:rtl w:val="0"/>
              </w:rPr>
              <w:t xml:space="preserve">prima</w:t>
            </w:r>
            <w:r w:rsidDel="00000000" w:rsidR="00000000" w:rsidRPr="00000000">
              <w:rPr>
                <w:rFonts w:ascii="Google Sans" w:cs="Google Sans" w:eastAsia="Google Sans" w:hAnsi="Google Sans"/>
                <w:rtl w:val="0"/>
              </w:rPr>
              <w:t xml:space="preserve"> che l'interessato entri nell'area di captazione (ad altezza occhi). Deve includere: l'identità del Titolare, i contatti del DPO, le finalità specifiche ("Ottimizzazione spazi aziendali" e "Prevenzione furti"), i diritti salienti, e un rimando chiaro all'informativa estesa (tramite URL o QR Code)</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Non è richiesto indicare l'ubicazione esatta di ogni telecamera</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Secondo Livello (Privacy Policy Estesa)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Raggiungibile digitalmente o disponibile in formato cartaceo al desk informativo. Deve contenere tutti gli elementi dell'Art. 13 GDPR e delineare chiaramente i presidi tecnici a garanzia della privacy.</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soluzione redazionale per il Secondo Livello è cruciale per la gestione del rischio reputazionale del brand (Retailer). Il testo dovrà spiegare in linguaggio accessibile che i flussi video sono utilizzati temporaneamente per permettere al software di estrarre perimetri numerici e che </w:t>
      </w:r>
      <w:r w:rsidDel="00000000" w:rsidR="00000000" w:rsidRPr="00000000">
        <w:rPr>
          <w:rFonts w:ascii="Google Sans" w:cs="Google Sans" w:eastAsia="Google Sans" w:hAnsi="Google Sans"/>
          <w:b w:val="1"/>
          <w:bCs w:val="1"/>
          <w:rtl w:val="0"/>
        </w:rPr>
        <w:t xml:space="preserve">non viene attuato alcun riconoscimento facciale o identificativo</w:t>
      </w:r>
      <w:r w:rsidDel="00000000" w:rsidR="00000000" w:rsidRPr="00000000">
        <w:rPr>
          <w:rFonts w:ascii="Google Sans" w:cs="Google Sans" w:eastAsia="Google Sans" w:hAnsi="Google Sans"/>
          <w:rtl w:val="0"/>
        </w:rPr>
        <w:t xml:space="preserve">, né viene stoccata alcuna clip video a fini statistici. Questa trasparenza chirurgica disinnesca sul nascere le polemiche mediatiche legate alla retorica del "capitalismo della sorveglianza".</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Log degli Accessi e Data Retention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Sebbene i dati elaborati vengano distrutti in tempo reale elidendo il problema della ritenzione dei filmati (solitamente vincolata al tetto delle 24-48 ore per ragioni di sicurezza, estensibile fino a 7 giorni, come da FAQ 2020 del Garante)</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il Provvedimento Generale in materia di Videosorveglianza dell'8 aprile 2010 e successive integrazioni impongono obblighi rigorosi in ordine alla tracciabilità</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È mandatorio implementare un robusto sistema di </w:t>
      </w:r>
      <w:r w:rsidDel="00000000" w:rsidR="00000000" w:rsidRPr="00000000">
        <w:rPr>
          <w:rFonts w:ascii="Google Sans" w:cs="Google Sans" w:eastAsia="Google Sans" w:hAnsi="Google Sans"/>
          <w:i w:val="1"/>
          <w:iCs w:val="1"/>
          <w:rtl w:val="0"/>
        </w:rPr>
        <w:t xml:space="preserve">logging</w:t>
      </w:r>
      <w:r w:rsidDel="00000000" w:rsidR="00000000" w:rsidRPr="00000000">
        <w:rPr>
          <w:rFonts w:ascii="Google Sans" w:cs="Google Sans" w:eastAsia="Google Sans" w:hAnsi="Google Sans"/>
          <w:rtl w:val="0"/>
        </w:rPr>
        <w:t xml:space="preserve"> che tracci tutti gli accessi amministrativi effettuati dai sistemisti della startup all'infrastruttura Edge installata nei negozi (nel caso si rendessero necessari interventi di </w:t>
      </w:r>
      <w:r w:rsidDel="00000000" w:rsidR="00000000" w:rsidRPr="00000000">
        <w:rPr>
          <w:rFonts w:ascii="Google Sans" w:cs="Google Sans" w:eastAsia="Google Sans" w:hAnsi="Google Sans"/>
          <w:i w:val="1"/>
          <w:iCs w:val="1"/>
          <w:rtl w:val="0"/>
        </w:rPr>
        <w:t xml:space="preserve">troubleshooting</w:t>
      </w:r>
      <w:r w:rsidDel="00000000" w:rsidR="00000000" w:rsidRPr="00000000">
        <w:rPr>
          <w:rFonts w:ascii="Google Sans" w:cs="Google Sans" w:eastAsia="Google Sans" w:hAnsi="Google Sans"/>
          <w:rtl w:val="0"/>
        </w:rPr>
        <w:t xml:space="preserve"> o manutenzione algoritmica)</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Tali log devono garantire l'immodificabilità e la tracciabilità delle sessioni, dimostrando inoppugnabilmente in caso di audit che il personale tecnico esterno non ha facoltà né strumenti per bypassare le architetture di offuscamento per visualizzare lo stream grezzo delle telecamere di sicurezza IP. I log andranno conservati solitamente per una durata di 6 mesi, conformemente alle best practice sugli Amministratori di Sistema stabilite dal Garante</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CERTIFICAZIONI ED ECONOMIA DELLA COMPLIANCE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L'Economia dell'Innovazione Normativa (Regulatory Innovation Economics) suggerisce che in ecosistemi complessi e sanzionatori come quello europeo, la compliance legale debba superare il vecchio paradigma di mero centro di costo o attrito procedurale. Essa deve essere ingegnerizzata per divenire il fulcro della proposta di valore, tramutandosi in un asset tangibile: </w:t>
      </w:r>
      <w:r w:rsidDel="00000000" w:rsidR="00000000" w:rsidRPr="00000000">
        <w:rPr>
          <w:rFonts w:ascii="Google Sans" w:cs="Google Sans" w:eastAsia="Google Sans" w:hAnsi="Google Sans"/>
          <w:i w:val="1"/>
          <w:iCs w:val="1"/>
          <w:rtl w:val="0"/>
        </w:rPr>
        <w:t xml:space="preserve">Compliance as a Competitive Advantage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mercato è saturo di vendor extra-europei (statunitensi e asiatici) che offrono soluzioni hardware e software di elaborazione video a costi infrastrutturali marginali, ma che operano prevalentemente trasferendo enormi moli di dati verso </w:t>
      </w:r>
      <w:r w:rsidDel="00000000" w:rsidR="00000000" w:rsidRPr="00000000">
        <w:rPr>
          <w:rFonts w:ascii="Google Sans" w:cs="Google Sans" w:eastAsia="Google Sans" w:hAnsi="Google Sans"/>
          <w:i w:val="1"/>
          <w:iCs w:val="1"/>
          <w:rtl w:val="0"/>
        </w:rPr>
        <w:t xml:space="preserve">cloud computing</w:t>
      </w:r>
      <w:r w:rsidDel="00000000" w:rsidR="00000000" w:rsidRPr="00000000">
        <w:rPr>
          <w:rFonts w:ascii="Google Sans" w:cs="Google Sans" w:eastAsia="Google Sans" w:hAnsi="Google Sans"/>
          <w:rtl w:val="0"/>
        </w:rPr>
        <w:t xml:space="preserve"> situati in giurisdizioni terze. Tale impostazione espone i Retailer a gravosi rischi legati alle limitazioni imposte dal Capitolo V del GDPR e alle prescrizioni conseguenti alla celebre sentenza </w:t>
      </w:r>
      <w:r w:rsidDel="00000000" w:rsidR="00000000" w:rsidRPr="00000000">
        <w:rPr>
          <w:rFonts w:ascii="Google Sans" w:cs="Google Sans" w:eastAsia="Google Sans" w:hAnsi="Google Sans"/>
          <w:i w:val="1"/>
          <w:iCs w:val="1"/>
          <w:rtl w:val="0"/>
        </w:rPr>
        <w:t xml:space="preserve">Schrems II</w:t>
      </w:r>
      <w:r w:rsidDel="00000000" w:rsidR="00000000" w:rsidRPr="00000000">
        <w:rPr>
          <w:rFonts w:ascii="Google Sans" w:cs="Google Sans" w:eastAsia="Google Sans" w:hAnsi="Google Sans"/>
          <w:rtl w:val="0"/>
        </w:rPr>
        <w:t xml:space="preserve"> della CGUE, oltre al pericolo costante di un'ingerenza delle agenzie di intelligence estere</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contrario, la tecnologia della startup esaminata, profondamente radicata nel concetto di Edge Computing e in un processo di distruzione istantanea dell'informazione identificativa locale, immunizza il Titolare del Trattamento da qualsiasi rischio relativo ai trasferimenti transfrontalieri di dati e abbassa esponenzialmente la superficie di attacco in caso di violazione informatica (</w:t>
      </w:r>
      <w:r w:rsidDel="00000000" w:rsidR="00000000" w:rsidRPr="00000000">
        <w:rPr>
          <w:rFonts w:ascii="Google Sans" w:cs="Google Sans" w:eastAsia="Google Sans" w:hAnsi="Google Sans"/>
          <w:i w:val="1"/>
          <w:iCs w:val="1"/>
          <w:rtl w:val="0"/>
        </w:rPr>
        <w:t xml:space="preserve">Data Breach</w:t>
      </w:r>
      <w:r w:rsidDel="00000000" w:rsidR="00000000" w:rsidRPr="00000000">
        <w:rPr>
          <w:rFonts w:ascii="Google Sans" w:cs="Google Sans" w:eastAsia="Google Sans" w:hAnsi="Google Sans"/>
          <w:rtl w:val="0"/>
        </w:rPr>
        <w:t xml:space="preserve">). Questo posizionamento sul mercato è economicamente vincente.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consolidare definitivamente questa supremazia e abbattere le resistenze dei dipartimenti legali delle catene di distribuzione (sempre più prudenti in seguito alle imponenti sanzioni combinate dalle DPA per infrazioni video), si raccomanda l'adozione di due strategie di lungo termine: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Certificazione Accreditata (Articolo 42 GDPR):</w:t>
      </w:r>
      <w:r w:rsidDel="00000000" w:rsidR="00000000" w:rsidRPr="00000000">
        <w:rPr>
          <w:rFonts w:ascii="Google Sans" w:cs="Google Sans" w:eastAsia="Google Sans" w:hAnsi="Google Sans"/>
          <w:rtl w:val="0"/>
        </w:rPr>
        <w:t xml:space="preserve"> L'Articolo 42 del Regolamento incoraggia l'istituzione di meccanismi di certificazione della protezione dei dati per dimostrare la conformità dei trattamenti effettuati dai Responsabili. La startup dovrebbe investire nell'ottenimento di un sigillo di garanzia formale, quale l'</w:t>
      </w:r>
      <w:r w:rsidDel="00000000" w:rsidR="00000000" w:rsidRPr="00000000">
        <w:rPr>
          <w:rFonts w:ascii="Google Sans" w:cs="Google Sans" w:eastAsia="Google Sans" w:hAnsi="Google Sans"/>
          <w:b w:val="1"/>
          <w:bCs w:val="1"/>
          <w:rtl w:val="0"/>
        </w:rPr>
        <w:t xml:space="preserve">EuroPriSe</w:t>
      </w:r>
      <w:r w:rsidDel="00000000" w:rsidR="00000000" w:rsidRPr="00000000">
        <w:rPr>
          <w:rFonts w:ascii="Google Sans" w:cs="Google Sans" w:eastAsia="Google Sans" w:hAnsi="Google Sans"/>
          <w:rtl w:val="0"/>
        </w:rPr>
        <w:t xml:space="preserve"> (European Privacy Seal) o la certificazione italiana </w:t>
      </w:r>
      <w:r w:rsidDel="00000000" w:rsidR="00000000" w:rsidRPr="00000000">
        <w:rPr>
          <w:rFonts w:ascii="Google Sans" w:cs="Google Sans" w:eastAsia="Google Sans" w:hAnsi="Google Sans"/>
          <w:b w:val="1"/>
          <w:bCs w:val="1"/>
          <w:rtl w:val="0"/>
        </w:rPr>
        <w:t xml:space="preserve">ISDP©10003:2020</w:t>
      </w:r>
      <w:r w:rsidDel="00000000" w:rsidR="00000000" w:rsidRPr="00000000">
        <w:rPr>
          <w:rFonts w:ascii="Google Sans" w:cs="Google Sans" w:eastAsia="Google Sans" w:hAnsi="Google Sans"/>
          <w:rtl w:val="0"/>
        </w:rPr>
        <w:t xml:space="preserve">, rilasciata sotto l'accreditamento dell'Ente Unico Nazionale (Accredia)</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 L'acquisizione di una certificazione accreditata inverte l'onere probatorio nelle gare d'appalto private: di fronte a un DPO del Retailer che solleva dubbi sull'architettura tecnica, l'esibizione del certificato ex Art. 42 attesta irrefutabilmente che l'azienda presenta le "garanzie sufficienti" previste dall'Articolo 28 del GDPR.</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Productization of Compliance (CaaS - Compliance as a Service):</w:t>
      </w:r>
      <w:r w:rsidDel="00000000" w:rsidR="00000000" w:rsidRPr="00000000">
        <w:rPr>
          <w:rFonts w:ascii="Google Sans" w:cs="Google Sans" w:eastAsia="Google Sans" w:hAnsi="Google Sans"/>
          <w:rtl w:val="0"/>
        </w:rPr>
        <w:t xml:space="preserve"> Tutte le soluzioni documentali analizzate nei pilastri precedenti (DPIA, schemi per l'INL, cartellonistica, accordi sindacali) non devono essere trattati come appunti legali periferici, ma confezionati e brandizzati all'interno di un "Security Assurance Package" fornito insieme al software. Rendendo il processo di adozione </w:t>
      </w:r>
      <w:r w:rsidDel="00000000" w:rsidR="00000000" w:rsidRPr="00000000">
        <w:rPr>
          <w:rFonts w:ascii="Google Sans" w:cs="Google Sans" w:eastAsia="Google Sans" w:hAnsi="Google Sans"/>
          <w:i w:val="1"/>
          <w:iCs w:val="1"/>
          <w:rtl w:val="0"/>
        </w:rPr>
        <w:t xml:space="preserve">frictionless</w:t>
      </w:r>
      <w:r w:rsidDel="00000000" w:rsidR="00000000" w:rsidRPr="00000000">
        <w:rPr>
          <w:rFonts w:ascii="Google Sans" w:cs="Google Sans" w:eastAsia="Google Sans" w:hAnsi="Google Sans"/>
          <w:rtl w:val="0"/>
        </w:rPr>
        <w:t xml:space="preserve"> dal punto di vista legale, si abbrevia il ciclo di conversione delle vendite (Sales Cycle), giustificando l'applicazione di un </w:t>
      </w:r>
      <w:r w:rsidDel="00000000" w:rsidR="00000000" w:rsidRPr="00000000">
        <w:rPr>
          <w:rFonts w:ascii="Google Sans" w:cs="Google Sans" w:eastAsia="Google Sans" w:hAnsi="Google Sans"/>
          <w:i w:val="1"/>
          <w:iCs w:val="1"/>
          <w:rtl w:val="0"/>
        </w:rPr>
        <w:t xml:space="preserve">premium pricing</w:t>
      </w:r>
      <w:r w:rsidDel="00000000" w:rsidR="00000000" w:rsidRPr="00000000">
        <w:rPr>
          <w:rFonts w:ascii="Google Sans" w:cs="Google Sans" w:eastAsia="Google Sans" w:hAnsi="Google Sans"/>
          <w:rtl w:val="0"/>
        </w:rPr>
        <w:t xml:space="preserve"> tipico delle soluzioni enterprise </w:t>
      </w:r>
      <w:r w:rsidDel="00000000" w:rsidR="00000000" w:rsidRPr="00000000">
        <w:rPr>
          <w:rFonts w:ascii="Google Sans" w:cs="Google Sans" w:eastAsia="Google Sans" w:hAnsi="Google Sans"/>
          <w:i w:val="1"/>
          <w:iCs w:val="1"/>
          <w:rtl w:val="0"/>
        </w:rPr>
        <w:t xml:space="preserve">privacy-first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ultima analisi, mantenendo rigorosamente il Modulo Analytics ancorato a metriche di gruppo spersonalizzate e circoscrivendo ontologicamente il Modulo Loss Prevention all'ambito dell'astrazione cinematica vettoriale – rifuggendo così dalle maglie dei sistemi ad Alto Rischio dell'AI Act e dei divieti biometrici dell'Art. 9 GDPR –, l'architettura delineata si dimostra non solo conforme alle leggi vigenti, ma costituisce uno standard di eccellenza etica e tecnologica nel panorama europeo del retail fisico.</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institute of legislation and legal policy under - ZiyoNET, </w:t>
      </w:r>
      <w:hyperlink r:id="rId6">
        <w:r w:rsidDel="00000000" w:rsidR="00000000" w:rsidRPr="00000000">
          <w:rPr>
            <w:rFonts w:ascii="Google Sans" w:cs="Google Sans" w:eastAsia="Google Sans" w:hAnsi="Google Sans"/>
            <w:color w:val="0000ee"/>
            <w:sz w:val="24"/>
            <w:szCs w:val="24"/>
            <w:u w:val="single"/>
            <w:rtl w:val="0"/>
          </w:rPr>
          <w:t xml:space="preserve">https://api.ziyonet.uz/uploads/books/10008782/EQU7jEQY9FT2Zt5.pdf</w:t>
        </w:r>
      </w:hyperlink>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for Video Surveillance: Lawful Basis to DPIA - Fora Soft, </w:t>
      </w:r>
      <w:hyperlink r:id="rId7">
        <w:r w:rsidDel="00000000" w:rsidR="00000000" w:rsidRPr="00000000">
          <w:rPr>
            <w:rFonts w:ascii="Google Sans" w:cs="Google Sans" w:eastAsia="Google Sans" w:hAnsi="Google Sans"/>
            <w:color w:val="0000ee"/>
            <w:sz w:val="24"/>
            <w:szCs w:val="24"/>
            <w:u w:val="single"/>
            <w:rtl w:val="0"/>
          </w:rPr>
          <w:t xml:space="preserve">https://www.forasoft.com/learn/video-surveillance/articles-vms/gdpr-for-video-surveillance</w:t>
        </w:r>
      </w:hyperlink>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EDPB Guidelines on video processing, </w:t>
      </w:r>
      <w:hyperlink r:id="rId8">
        <w:r w:rsidDel="00000000" w:rsidR="00000000" w:rsidRPr="00000000">
          <w:rPr>
            <w:rFonts w:ascii="Google Sans" w:cs="Google Sans" w:eastAsia="Google Sans" w:hAnsi="Google Sans"/>
            <w:color w:val="0000ee"/>
            <w:sz w:val="24"/>
            <w:szCs w:val="24"/>
            <w:u w:val="single"/>
            <w:rtl w:val="0"/>
          </w:rPr>
          <w:t xml:space="preserve">https://streamlex.eu/law-resources/edpb-guidelines-on-video-processing/</w:t>
        </w:r>
      </w:hyperlink>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EDPB guidelines on video devices - CIPP Training.com, </w:t>
      </w:r>
      <w:hyperlink r:id="rId9">
        <w:r w:rsidDel="00000000" w:rsidR="00000000" w:rsidRPr="00000000">
          <w:rPr>
            <w:rFonts w:ascii="Google Sans" w:cs="Google Sans" w:eastAsia="Google Sans" w:hAnsi="Google Sans"/>
            <w:color w:val="0000ee"/>
            <w:sz w:val="24"/>
            <w:szCs w:val="24"/>
            <w:u w:val="single"/>
            <w:rtl w:val="0"/>
          </w:rPr>
          <w:t xml:space="preserve">https://cipptraining.com/edpb-guidelines-on-processing-through-video-devices/</w:t>
        </w:r>
      </w:hyperlink>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3/2019 on processing of personal data through video, </w:t>
      </w:r>
      <w:hyperlink r:id="rId10">
        <w:r w:rsidDel="00000000" w:rsidR="00000000" w:rsidRPr="00000000">
          <w:rPr>
            <w:rFonts w:ascii="Google Sans" w:cs="Google Sans" w:eastAsia="Google Sans" w:hAnsi="Google Sans"/>
            <w:color w:val="0000ee"/>
            <w:sz w:val="24"/>
            <w:szCs w:val="24"/>
            <w:u w:val="single"/>
            <w:rtl w:val="0"/>
          </w:rPr>
          <w:t xml:space="preserve">https://www.edpb.europa.eu/system/files/documents/files/file1/edpb_guidelines_201903_video_devices_en_0.pdf</w:t>
        </w:r>
      </w:hyperlink>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latest CJEU Case and EDPB New Guidelines - EU Law Analysis, </w:t>
      </w:r>
      <w:hyperlink r:id="rId11">
        <w:r w:rsidDel="00000000" w:rsidR="00000000" w:rsidRPr="00000000">
          <w:rPr>
            <w:rFonts w:ascii="Google Sans" w:cs="Google Sans" w:eastAsia="Google Sans" w:hAnsi="Google Sans"/>
            <w:color w:val="0000ee"/>
            <w:sz w:val="24"/>
            <w:szCs w:val="24"/>
            <w:u w:val="single"/>
            <w:rtl w:val="0"/>
          </w:rPr>
          <w:t xml:space="preserve">http://eulawanalysis.blogspot.com/2024/10/latest-updates-on-legitimate-interest.html</w:t>
        </w:r>
      </w:hyperlink>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CJEU: Commercial interests can qualify as legitimate interests under, </w:t>
      </w:r>
      <w:hyperlink r:id="rId12">
        <w:r w:rsidDel="00000000" w:rsidR="00000000" w:rsidRPr="00000000">
          <w:rPr>
            <w:rFonts w:ascii="Google Sans" w:cs="Google Sans" w:eastAsia="Google Sans" w:hAnsi="Google Sans"/>
            <w:color w:val="0000ee"/>
            <w:sz w:val="24"/>
            <w:szCs w:val="24"/>
            <w:u w:val="single"/>
            <w:rtl w:val="0"/>
          </w:rPr>
          <w:t xml:space="preserve">https://www.fedma.org/2024/10/04/cjeu-commercial-interests-can-qualify-as-legitimate-interests-under-the-gdpr/</w:t>
        </w:r>
      </w:hyperlink>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CJEU: Commercial interest may be considered necessary for, </w:t>
      </w:r>
      <w:hyperlink r:id="rId13">
        <w:r w:rsidDel="00000000" w:rsidR="00000000" w:rsidRPr="00000000">
          <w:rPr>
            <w:rFonts w:ascii="Google Sans" w:cs="Google Sans" w:eastAsia="Google Sans" w:hAnsi="Google Sans"/>
            <w:color w:val="0000ee"/>
            <w:sz w:val="24"/>
            <w:szCs w:val="24"/>
            <w:u w:val="single"/>
            <w:rtl w:val="0"/>
          </w:rPr>
          <w:t xml:space="preserve">https://www.hsfkramer.com/notes/data/2024-posts/CJEU--Commercial-interest-may-be-considered-necessary-for-controller-s-legitimate-interest-</w:t>
        </w:r>
      </w:hyperlink>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the CJEU Case C-621/22 and the EDPB Guidelines, </w:t>
      </w:r>
      <w:hyperlink r:id="rId14">
        <w:r w:rsidDel="00000000" w:rsidR="00000000" w:rsidRPr="00000000">
          <w:rPr>
            <w:rFonts w:ascii="Google Sans" w:cs="Google Sans" w:eastAsia="Google Sans" w:hAnsi="Google Sans"/>
            <w:color w:val="0000ee"/>
            <w:sz w:val="24"/>
            <w:szCs w:val="24"/>
            <w:u w:val="single"/>
            <w:rtl w:val="0"/>
          </w:rPr>
          <w:t xml:space="preserve">https://kluwerlawonline.com/journalarticle/Global+Privacy+Law+Review/6.1/GPLR2025006</w:t>
        </w:r>
      </w:hyperlink>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CJEU - C‑621/22 - Koninklijke Nederlandse Lawn Tennisbond, </w:t>
      </w:r>
      <w:hyperlink r:id="rId15">
        <w:r w:rsidDel="00000000" w:rsidR="00000000" w:rsidRPr="00000000">
          <w:rPr>
            <w:rFonts w:ascii="Google Sans" w:cs="Google Sans" w:eastAsia="Google Sans" w:hAnsi="Google Sans"/>
            <w:color w:val="0000ee"/>
            <w:sz w:val="24"/>
            <w:szCs w:val="24"/>
            <w:u w:val="single"/>
            <w:rtl w:val="0"/>
          </w:rPr>
          <w:t xml:space="preserve">https://gdprhub.eu/CJEU_-_C%E2%80%91621/22_-_Koninklijke_Nederlandse_Lawn_Tennisbond</w:t>
        </w:r>
      </w:hyperlink>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court of justice calls the Dutch data protection authority to order, </w:t>
      </w:r>
      <w:hyperlink r:id="rId16">
        <w:r w:rsidDel="00000000" w:rsidR="00000000" w:rsidRPr="00000000">
          <w:rPr>
            <w:rFonts w:ascii="Google Sans" w:cs="Google Sans" w:eastAsia="Google Sans" w:hAnsi="Google Sans"/>
            <w:color w:val="0000ee"/>
            <w:sz w:val="24"/>
            <w:szCs w:val="24"/>
            <w:u w:val="single"/>
            <w:rtl w:val="0"/>
          </w:rPr>
          <w:t xml:space="preserve">https://research.tilburguniversity.edu/en/publications/commercial-but-legitimate-interest-the-court-of-justice-calls-the/</w:t>
        </w:r>
      </w:hyperlink>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62022CJ0621 - EUR-Lex - European Union, </w:t>
      </w:r>
      <w:hyperlink r:id="rId17">
        <w:r w:rsidDel="00000000" w:rsidR="00000000" w:rsidRPr="00000000">
          <w:rPr>
            <w:rFonts w:ascii="Google Sans" w:cs="Google Sans" w:eastAsia="Google Sans" w:hAnsi="Google Sans"/>
            <w:color w:val="0000ee"/>
            <w:sz w:val="24"/>
            <w:szCs w:val="24"/>
            <w:u w:val="single"/>
            <w:rtl w:val="0"/>
          </w:rPr>
          <w:t xml:space="preserve">https://eur-lex.europa.eu/legal-content/EN/TXT/HTML/?uri=CELEX:62022CJ0621</w:t>
        </w:r>
      </w:hyperlink>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Legitimate Interests Assessment (LIA) Under GDPR - Secure Privacy, </w:t>
      </w:r>
      <w:hyperlink r:id="rId18">
        <w:r w:rsidDel="00000000" w:rsidR="00000000" w:rsidRPr="00000000">
          <w:rPr>
            <w:rFonts w:ascii="Google Sans" w:cs="Google Sans" w:eastAsia="Google Sans" w:hAnsi="Google Sans"/>
            <w:color w:val="0000ee"/>
            <w:sz w:val="24"/>
            <w:szCs w:val="24"/>
            <w:u w:val="single"/>
            <w:rtl w:val="0"/>
          </w:rPr>
          <w:t xml:space="preserve">https://secureprivacy.ai/blog/legitimate-interests-assessment-gdpr-guide</w:t>
        </w:r>
      </w:hyperlink>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Legitimate Interest as a GDPR Legal Basis (and When, </w:t>
      </w:r>
      <w:hyperlink r:id="rId19">
        <w:r w:rsidDel="00000000" w:rsidR="00000000" w:rsidRPr="00000000">
          <w:rPr>
            <w:rFonts w:ascii="Google Sans" w:cs="Google Sans" w:eastAsia="Google Sans" w:hAnsi="Google Sans"/>
            <w:color w:val="0000ee"/>
            <w:sz w:val="24"/>
            <w:szCs w:val="24"/>
            <w:u w:val="single"/>
            <w:rtl w:val="0"/>
          </w:rPr>
          <w:t xml:space="preserve">https://usercentrics.com/knowledge-hub/gdpr-legitimate-interest/</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1/2024 on processing of personal data based on Article, </w:t>
      </w:r>
      <w:hyperlink r:id="rId20">
        <w:r w:rsidDel="00000000" w:rsidR="00000000" w:rsidRPr="00000000">
          <w:rPr>
            <w:rFonts w:ascii="Google Sans" w:cs="Google Sans" w:eastAsia="Google Sans" w:hAnsi="Google Sans"/>
            <w:color w:val="0000ee"/>
            <w:sz w:val="24"/>
            <w:szCs w:val="24"/>
            <w:u w:val="single"/>
            <w:rtl w:val="0"/>
          </w:rPr>
          <w:t xml:space="preserve">https://www.edpb.europa.eu/system/files/2024-10/edpb_guidelines_202401_legitimateinterest_en.pdf</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Causality and “In-the-Wild” Video-Based Person Re-Identification, </w:t>
      </w:r>
      <w:hyperlink r:id="rId21">
        <w:r w:rsidDel="00000000" w:rsidR="00000000" w:rsidRPr="00000000">
          <w:rPr>
            <w:rFonts w:ascii="Google Sans" w:cs="Google Sans" w:eastAsia="Google Sans" w:hAnsi="Google Sans"/>
            <w:color w:val="0000ee"/>
            <w:sz w:val="24"/>
            <w:szCs w:val="24"/>
            <w:u w:val="single"/>
            <w:rtl w:val="0"/>
          </w:rPr>
          <w:t xml:space="preserve">https://www.mdpi.com/2079-9292/14/13/2669</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Causality and ”In-the-Wild” Video-Based Person Re-ID: A Survey, </w:t>
      </w:r>
      <w:hyperlink r:id="rId22">
        <w:r w:rsidDel="00000000" w:rsidR="00000000" w:rsidRPr="00000000">
          <w:rPr>
            <w:rFonts w:ascii="Google Sans" w:cs="Google Sans" w:eastAsia="Google Sans" w:hAnsi="Google Sans"/>
            <w:color w:val="0000ee"/>
            <w:sz w:val="24"/>
            <w:szCs w:val="24"/>
            <w:u w:val="single"/>
            <w:rtl w:val="0"/>
          </w:rPr>
          <w:t xml:space="preserve">https://arxiv.org/html/2505.20540v1</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 Count: Privacy-Preserving Face-Based Crowd Monitoring - arXiv, </w:t>
      </w:r>
      <w:hyperlink r:id="rId23">
        <w:r w:rsidDel="00000000" w:rsidR="00000000" w:rsidRPr="00000000">
          <w:rPr>
            <w:rFonts w:ascii="Google Sans" w:cs="Google Sans" w:eastAsia="Google Sans" w:hAnsi="Google Sans"/>
            <w:color w:val="0000ee"/>
            <w:sz w:val="24"/>
            <w:szCs w:val="24"/>
            <w:u w:val="single"/>
            <w:rtl w:val="0"/>
          </w:rPr>
          <w:t xml:space="preserve">https://arxiv.org/pdf/2604.14250</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Newsletter 8 - 14 settembre 2003 - g-docweb-display Portlet, </w:t>
      </w:r>
      <w:hyperlink r:id="rId24">
        <w:r w:rsidDel="00000000" w:rsidR="00000000" w:rsidRPr="00000000">
          <w:rPr>
            <w:rFonts w:ascii="Google Sans" w:cs="Google Sans" w:eastAsia="Google Sans" w:hAnsi="Google Sans"/>
            <w:color w:val="0000ee"/>
            <w:sz w:val="24"/>
            <w:szCs w:val="24"/>
            <w:u w:val="single"/>
            <w:rtl w:val="0"/>
          </w:rPr>
          <w:t xml:space="preserve">https://www.garanteprivacy.it/home/docweb/-/docweb-display/print/299143</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GARANTE PER LA PROTEZIONE DEI DATI PERSONALI, </w:t>
      </w:r>
      <w:hyperlink r:id="rId25">
        <w:r w:rsidDel="00000000" w:rsidR="00000000" w:rsidRPr="00000000">
          <w:rPr>
            <w:rFonts w:ascii="Google Sans" w:cs="Google Sans" w:eastAsia="Google Sans" w:hAnsi="Google Sans"/>
            <w:color w:val="0000ee"/>
            <w:sz w:val="24"/>
            <w:szCs w:val="24"/>
            <w:u w:val="single"/>
            <w:rtl w:val="0"/>
          </w:rPr>
          <w:t xml:space="preserve">https://www.dirittobancario.it/wp-content/uploads/sites/default/files/allegati/provvedimento_garante_per_la_protezione_dei_dati_personali_12_novembre_2014_n._513.pdf</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Facial recognition and data protection: new guidelines in the, </w:t>
      </w:r>
      <w:hyperlink r:id="rId26">
        <w:r w:rsidDel="00000000" w:rsidR="00000000" w:rsidRPr="00000000">
          <w:rPr>
            <w:rFonts w:ascii="Google Sans" w:cs="Google Sans" w:eastAsia="Google Sans" w:hAnsi="Google Sans"/>
            <w:color w:val="0000ee"/>
            <w:sz w:val="24"/>
            <w:szCs w:val="24"/>
            <w:u w:val="single"/>
            <w:rtl w:val="0"/>
          </w:rPr>
          <w:t xml:space="preserve">https://www.osborneclarke.com/insights/facial-recognition-and-data-protection-new-guidelines-european-union</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Pose-Based Anomaly Detection for Retail Security - arXiv, </w:t>
      </w:r>
      <w:hyperlink r:id="rId27">
        <w:r w:rsidDel="00000000" w:rsidR="00000000" w:rsidRPr="00000000">
          <w:rPr>
            <w:rFonts w:ascii="Google Sans" w:cs="Google Sans" w:eastAsia="Google Sans" w:hAnsi="Google Sans"/>
            <w:color w:val="0000ee"/>
            <w:sz w:val="24"/>
            <w:szCs w:val="24"/>
            <w:u w:val="single"/>
            <w:rtl w:val="0"/>
          </w:rPr>
          <w:t xml:space="preserve">https://arxiv.org/html/2501.06591v1</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Recoverable Anonymization for Pose Estimation: A Privacy ... - arXiv, </w:t>
      </w:r>
      <w:hyperlink r:id="rId28">
        <w:r w:rsidDel="00000000" w:rsidR="00000000" w:rsidRPr="00000000">
          <w:rPr>
            <w:rFonts w:ascii="Google Sans" w:cs="Google Sans" w:eastAsia="Google Sans" w:hAnsi="Google Sans"/>
            <w:color w:val="0000ee"/>
            <w:sz w:val="24"/>
            <w:szCs w:val="24"/>
            <w:u w:val="single"/>
            <w:rtl w:val="0"/>
          </w:rPr>
          <w:t xml:space="preserve">https://arxiv.org/html/2409.02715v1</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Privacy-Preserving Video Anomaly Detection: A Survey - arXiv, </w:t>
      </w:r>
      <w:hyperlink r:id="rId29">
        <w:r w:rsidDel="00000000" w:rsidR="00000000" w:rsidRPr="00000000">
          <w:rPr>
            <w:rFonts w:ascii="Google Sans" w:cs="Google Sans" w:eastAsia="Google Sans" w:hAnsi="Google Sans"/>
            <w:color w:val="0000ee"/>
            <w:sz w:val="24"/>
            <w:szCs w:val="24"/>
            <w:u w:val="single"/>
            <w:rtl w:val="0"/>
          </w:rPr>
          <w:t xml:space="preserve">https://arxiv.org/html/2411.14565v1</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Videosorveglianza: norme, privacy e sanzioni - Impianti Bianchi, </w:t>
      </w:r>
      <w:hyperlink r:id="rId30">
        <w:r w:rsidDel="00000000" w:rsidR="00000000" w:rsidRPr="00000000">
          <w:rPr>
            <w:rFonts w:ascii="Google Sans" w:cs="Google Sans" w:eastAsia="Google Sans" w:hAnsi="Google Sans"/>
            <w:color w:val="0000ee"/>
            <w:sz w:val="24"/>
            <w:szCs w:val="24"/>
            <w:u w:val="single"/>
            <w:rtl w:val="0"/>
          </w:rPr>
          <w:t xml:space="preserve">https://www.impiantibianchi.it/videosorveglianza-norme-privacy-e-sanzioni/</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Videosorveglianza nei luoghi di lavoro: la guida completa, </w:t>
      </w:r>
      <w:hyperlink r:id="rId31">
        <w:r w:rsidDel="00000000" w:rsidR="00000000" w:rsidRPr="00000000">
          <w:rPr>
            <w:rFonts w:ascii="Google Sans" w:cs="Google Sans" w:eastAsia="Google Sans" w:hAnsi="Google Sans"/>
            <w:color w:val="0000ee"/>
            <w:sz w:val="24"/>
            <w:szCs w:val="24"/>
            <w:u w:val="single"/>
            <w:rtl w:val="0"/>
          </w:rPr>
          <w:t xml:space="preserve">https://www.studiocampesato.it/videosorveglianza-luoghi-di-lavoro/</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Video Surveillance of the Employees Between the Right to,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https://www.researchgate.net/publication/345416880_Video_Surveillance_of_the_Employees_Between_the_Right_to_Privacy_and_Right_to_Property_After_Lopez_Ribalda_and_Others_v_Spain</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Covert video surveillance of employees of a Spanish supermarket, </w:t>
      </w:r>
      <w:hyperlink r:id="rId33">
        <w:r w:rsidDel="00000000" w:rsidR="00000000" w:rsidRPr="00000000">
          <w:rPr>
            <w:rFonts w:ascii="Google Sans" w:cs="Google Sans" w:eastAsia="Google Sans" w:hAnsi="Google Sans"/>
            <w:color w:val="0000ee"/>
            <w:sz w:val="24"/>
            <w:szCs w:val="24"/>
            <w:u w:val="single"/>
            <w:rtl w:val="0"/>
          </w:rPr>
          <w:t xml:space="preserve">https://www.abogacia.es/en/conocenos/bruselas/sentencias/tedh/video-vigilancia-encubierta-a-empleados-de-una-cadena-de-supermercados-espanoles/</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Union: European Court of Human Rights allows for the, </w:t>
      </w:r>
      <w:hyperlink r:id="rId34">
        <w:r w:rsidDel="00000000" w:rsidR="00000000" w:rsidRPr="00000000">
          <w:rPr>
            <w:rFonts w:ascii="Google Sans" w:cs="Google Sans" w:eastAsia="Google Sans" w:hAnsi="Google Sans"/>
            <w:color w:val="0000ee"/>
            <w:sz w:val="24"/>
            <w:szCs w:val="24"/>
            <w:u w:val="single"/>
            <w:rtl w:val="0"/>
          </w:rPr>
          <w:t xml:space="preserve">https://leglobal.law/2019/11/26/european-union-european-court-of-human-rights-allows-for-the-secret-video-surveillance-of-employees/</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LÓPEZ RIBALDA AND OTHERS v. SPAIN - HUDOC, </w:t>
      </w:r>
      <w:hyperlink r:id="rId35">
        <w:r w:rsidDel="00000000" w:rsidR="00000000" w:rsidRPr="00000000">
          <w:rPr>
            <w:rFonts w:ascii="Google Sans" w:cs="Google Sans" w:eastAsia="Google Sans" w:hAnsi="Google Sans"/>
            <w:color w:val="0000ee"/>
            <w:sz w:val="24"/>
            <w:szCs w:val="24"/>
            <w:u w:val="single"/>
            <w:rtl w:val="0"/>
          </w:rPr>
          <w:t xml:space="preserve">https://hudoc.echr.coe.int/fre?i=001-197098</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López Ribalda and Others v. Spain [GC] - HUDOC, </w:t>
      </w:r>
      <w:hyperlink r:id="rId36">
        <w:r w:rsidDel="00000000" w:rsidR="00000000" w:rsidRPr="00000000">
          <w:rPr>
            <w:rFonts w:ascii="Google Sans" w:cs="Google Sans" w:eastAsia="Google Sans" w:hAnsi="Google Sans"/>
            <w:color w:val="0000ee"/>
            <w:sz w:val="24"/>
            <w:szCs w:val="24"/>
            <w:u w:val="single"/>
            <w:rtl w:val="0"/>
          </w:rPr>
          <w:t xml:space="preserve">https://hudoc.echr.coe.int/eng?i=002-12630</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López Ribalda and Others v. Spain – covert surveillance in the, </w:t>
      </w:r>
      <w:hyperlink r:id="rId37">
        <w:r w:rsidDel="00000000" w:rsidR="00000000" w:rsidRPr="00000000">
          <w:rPr>
            <w:rFonts w:ascii="Google Sans" w:cs="Google Sans" w:eastAsia="Google Sans" w:hAnsi="Google Sans"/>
            <w:color w:val="0000ee"/>
            <w:sz w:val="24"/>
            <w:szCs w:val="24"/>
            <w:u w:val="single"/>
            <w:rtl w:val="0"/>
          </w:rPr>
          <w:t xml:space="preserve">https://strasbourgobservers.com/2019/12/06/lopez-ribalda-and-others-v-spain-covert-surveillance-in-the-workplace-attenuating-the-protection-of-privacy-for-employees/</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López Ribalda and Others v. Spain | Etuc-Lex, </w:t>
      </w:r>
      <w:hyperlink r:id="rId38">
        <w:r w:rsidDel="00000000" w:rsidR="00000000" w:rsidRPr="00000000">
          <w:rPr>
            <w:rFonts w:ascii="Google Sans" w:cs="Google Sans" w:eastAsia="Google Sans" w:hAnsi="Google Sans"/>
            <w:color w:val="0000ee"/>
            <w:sz w:val="24"/>
            <w:szCs w:val="24"/>
            <w:u w:val="single"/>
            <w:rtl w:val="0"/>
          </w:rPr>
          <w:t xml:space="preserve">https://etuclex.etuc.org/cases/lopez-ribalda-and-others-v-spain</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Videosorveglianza e GDPR: Normativa Completa per Aziende, </w:t>
      </w:r>
      <w:hyperlink r:id="rId39">
        <w:r w:rsidDel="00000000" w:rsidR="00000000" w:rsidRPr="00000000">
          <w:rPr>
            <w:rFonts w:ascii="Google Sans" w:cs="Google Sans" w:eastAsia="Google Sans" w:hAnsi="Google Sans"/>
            <w:color w:val="0000ee"/>
            <w:sz w:val="24"/>
            <w:szCs w:val="24"/>
            <w:u w:val="single"/>
            <w:rtl w:val="0"/>
          </w:rPr>
          <w:t xml:space="preserve">https://bulltech.it/blog/videosorveglianza-gdpr-normativa</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INL: video-sorveglianza – indicazioni per il rilascio di provvedimenti, </w:t>
      </w:r>
      <w:hyperlink r:id="rId40">
        <w:r w:rsidDel="00000000" w:rsidR="00000000" w:rsidRPr="00000000">
          <w:rPr>
            <w:rFonts w:ascii="Google Sans" w:cs="Google Sans" w:eastAsia="Google Sans" w:hAnsi="Google Sans"/>
            <w:color w:val="0000ee"/>
            <w:sz w:val="24"/>
            <w:szCs w:val="24"/>
            <w:u w:val="single"/>
            <w:rtl w:val="0"/>
          </w:rPr>
          <w:t xml:space="preserve">https://www.dottrinalavoro.it/notizie-c/inl-video-sorveglianza-indicazioni-per-il-rilascio-di-provvedimenti-autorizzativi</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Controllo a distanza del lavoratore: autorizzazioni itl per più province, </w:t>
      </w:r>
      <w:hyperlink r:id="rId41">
        <w:r w:rsidDel="00000000" w:rsidR="00000000" w:rsidRPr="00000000">
          <w:rPr>
            <w:rFonts w:ascii="Google Sans" w:cs="Google Sans" w:eastAsia="Google Sans" w:hAnsi="Google Sans"/>
            <w:color w:val="0000ee"/>
            <w:sz w:val="24"/>
            <w:szCs w:val="24"/>
            <w:u w:val="single"/>
            <w:rtl w:val="0"/>
          </w:rPr>
          <w:t xml:space="preserve">https://studioarinella.it/controllo-a-distanza-del-lavoratore-autorizzazioni-itl-per-piu-province/</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on prohibited artificial intelligence practices established, </w:t>
      </w:r>
      <w:hyperlink r:id="rId42">
        <w:r w:rsidDel="00000000" w:rsidR="00000000" w:rsidRPr="00000000">
          <w:rPr>
            <w:rFonts w:ascii="Google Sans" w:cs="Google Sans" w:eastAsia="Google Sans" w:hAnsi="Google Sans"/>
            <w:color w:val="0000ee"/>
            <w:sz w:val="24"/>
            <w:szCs w:val="24"/>
            <w:u w:val="single"/>
            <w:rtl w:val="0"/>
          </w:rPr>
          <w:t xml:space="preserve">https://ai-act-service-desk.ec.europa.eu/sites/default/files/2025-08/guidelines_on_prohibited_artificial_intelligence_practices_established_by_regulation_eu_20241689_ai_act_english_ied3r5nwo50xggpcfmwckm3nuc_112367-1.PDF</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Recognition - Blue Arrow, </w:t>
      </w:r>
      <w:hyperlink r:id="rId43">
        <w:r w:rsidDel="00000000" w:rsidR="00000000" w:rsidRPr="00000000">
          <w:rPr>
            <w:rFonts w:ascii="Google Sans" w:cs="Google Sans" w:eastAsia="Google Sans" w:hAnsi="Google Sans"/>
            <w:color w:val="0000ee"/>
            <w:sz w:val="24"/>
            <w:szCs w:val="24"/>
            <w:u w:val="single"/>
            <w:rtl w:val="0"/>
          </w:rPr>
          <w:t xml:space="preserve">https://bluearrow.ai/emotion-recognition/</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unpacked #25: European Commission releases critical AI, </w:t>
      </w:r>
      <w:hyperlink r:id="rId44">
        <w:r w:rsidDel="00000000" w:rsidR="00000000" w:rsidRPr="00000000">
          <w:rPr>
            <w:rFonts w:ascii="Google Sans" w:cs="Google Sans" w:eastAsia="Google Sans" w:hAnsi="Google Sans"/>
            <w:color w:val="0000ee"/>
            <w:sz w:val="24"/>
            <w:szCs w:val="24"/>
            <w:u w:val="single"/>
            <w:rtl w:val="0"/>
          </w:rPr>
          <w:t xml:space="preserve">https://www.freshfields.com/en/our-thinking/blogs/technology-quotient/eu-ai-act-unpacked-25-european-commission-releases-critical-ai-act-implementati-102kfql</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Prohibited AI Practices Under the EU AI Act, </w:t>
      </w:r>
      <w:hyperlink r:id="rId45">
        <w:r w:rsidDel="00000000" w:rsidR="00000000" w:rsidRPr="00000000">
          <w:rPr>
            <w:rFonts w:ascii="Google Sans" w:cs="Google Sans" w:eastAsia="Google Sans" w:hAnsi="Google Sans"/>
            <w:color w:val="0000ee"/>
            <w:sz w:val="24"/>
            <w:szCs w:val="24"/>
            <w:u w:val="single"/>
            <w:rtl w:val="0"/>
          </w:rPr>
          <w:t xml:space="preserve">https://www.euaiact.com/blog/prohibited-ai-practices-under-the-eu-ai-act</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Regulation in Europe: Key Aspects of the EU AI Act️ | by Tahir, </w:t>
      </w:r>
      <w:hyperlink r:id="rId46">
        <w:r w:rsidDel="00000000" w:rsidR="00000000" w:rsidRPr="00000000">
          <w:rPr>
            <w:rFonts w:ascii="Google Sans" w:cs="Google Sans" w:eastAsia="Google Sans" w:hAnsi="Google Sans"/>
            <w:color w:val="0000ee"/>
            <w:sz w:val="24"/>
            <w:szCs w:val="24"/>
            <w:u w:val="single"/>
            <w:rtl w:val="0"/>
          </w:rPr>
          <w:t xml:space="preserve">https://medium.com/@tahirbalarabe2/ai-regulation-in-europe-key-aspects-of-the-eu-ai-act%EF%B8%8F-dcc9157fe366</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escalation criteria for international AI incident response, </w:t>
      </w:r>
      <w:hyperlink r:id="rId47">
        <w:r w:rsidDel="00000000" w:rsidR="00000000" w:rsidRPr="00000000">
          <w:rPr>
            <w:rFonts w:ascii="Google Sans" w:cs="Google Sans" w:eastAsia="Google Sans" w:hAnsi="Google Sans"/>
            <w:color w:val="0000ee"/>
            <w:sz w:val="24"/>
            <w:szCs w:val="24"/>
            <w:u w:val="single"/>
            <w:rtl w:val="0"/>
          </w:rPr>
          <w:t xml:space="preserve">https://arxiv.org/html/2604.23183v1</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Pixels to Privacy: Temporally Consistent Video Anonymization, </w:t>
      </w:r>
      <w:hyperlink r:id="rId48">
        <w:r w:rsidDel="00000000" w:rsidR="00000000" w:rsidRPr="00000000">
          <w:rPr>
            <w:rFonts w:ascii="Google Sans" w:cs="Google Sans" w:eastAsia="Google Sans" w:hAnsi="Google Sans"/>
            <w:color w:val="0000ee"/>
            <w:sz w:val="24"/>
            <w:szCs w:val="24"/>
            <w:u w:val="single"/>
            <w:rtl w:val="0"/>
          </w:rPr>
          <w:t xml:space="preserve">https://arxiv.org/abs/2603.26336</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Annex III List: All 8 High-Risk Areas + Art 6(3) | CloseIT, </w:t>
      </w:r>
      <w:hyperlink r:id="rId49">
        <w:r w:rsidDel="00000000" w:rsidR="00000000" w:rsidRPr="00000000">
          <w:rPr>
            <w:rFonts w:ascii="Google Sans" w:cs="Google Sans" w:eastAsia="Google Sans" w:hAnsi="Google Sans"/>
            <w:color w:val="0000ee"/>
            <w:sz w:val="24"/>
            <w:szCs w:val="24"/>
            <w:u w:val="single"/>
            <w:rtl w:val="0"/>
          </w:rPr>
          <w:t xml:space="preserve">https://www.closeit.co/eu-ai-act/article-6-high-risk-classification/</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AI Act Classification: A Decision Framework, </w:t>
      </w:r>
      <w:hyperlink r:id="rId50">
        <w:r w:rsidDel="00000000" w:rsidR="00000000" w:rsidRPr="00000000">
          <w:rPr>
            <w:rFonts w:ascii="Google Sans" w:cs="Google Sans" w:eastAsia="Google Sans" w:hAnsi="Google Sans"/>
            <w:color w:val="0000ee"/>
            <w:sz w:val="24"/>
            <w:szCs w:val="24"/>
            <w:u w:val="single"/>
            <w:rtl w:val="0"/>
          </w:rPr>
          <w:t xml:space="preserve">https://regulatorydecoded.com/eu-ai-act-classification-article-6-annex-iii/</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AI System High-Risk? The EU AI Act Classification Guide, </w:t>
      </w:r>
      <w:hyperlink r:id="rId51">
        <w:r w:rsidDel="00000000" w:rsidR="00000000" w:rsidRPr="00000000">
          <w:rPr>
            <w:rFonts w:ascii="Google Sans" w:cs="Google Sans" w:eastAsia="Google Sans" w:hAnsi="Google Sans"/>
            <w:color w:val="0000ee"/>
            <w:sz w:val="24"/>
            <w:szCs w:val="24"/>
            <w:u w:val="single"/>
            <w:rtl w:val="0"/>
          </w:rPr>
          <w:t xml:space="preserve">https://www.euaiact.com/blog/eu-ai-act-high-risk-classification</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6(3) Eligibility Assessment · EU AI Act | Sprinkling Act, </w:t>
      </w:r>
      <w:hyperlink r:id="rId52">
        <w:r w:rsidDel="00000000" w:rsidR="00000000" w:rsidRPr="00000000">
          <w:rPr>
            <w:rFonts w:ascii="Google Sans" w:cs="Google Sans" w:eastAsia="Google Sans" w:hAnsi="Google Sans"/>
            <w:color w:val="0000ee"/>
            <w:sz w:val="24"/>
            <w:szCs w:val="24"/>
            <w:u w:val="single"/>
            <w:rtl w:val="0"/>
          </w:rPr>
          <w:t xml:space="preserve">https://sprinklingact.com/ie/article-6-3</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My AI Claim Not-High-Risk Status? Article 6(3) Derogation, </w:t>
      </w:r>
      <w:hyperlink r:id="rId53">
        <w:r w:rsidDel="00000000" w:rsidR="00000000" w:rsidRPr="00000000">
          <w:rPr>
            <w:rFonts w:ascii="Google Sans" w:cs="Google Sans" w:eastAsia="Google Sans" w:hAnsi="Google Sans"/>
            <w:color w:val="0000ee"/>
            <w:sz w:val="24"/>
            <w:szCs w:val="24"/>
            <w:u w:val="single"/>
            <w:rtl w:val="0"/>
          </w:rPr>
          <w:t xml:space="preserve">https://regumatrix.eu/compliance/not-high-risk-derogation</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Act dal 2 Agosto 2026: guida pratica per imprenditori per ... - cfweb, </w:t>
      </w:r>
      <w:hyperlink r:id="rId54">
        <w:r w:rsidDel="00000000" w:rsidR="00000000" w:rsidRPr="00000000">
          <w:rPr>
            <w:rFonts w:ascii="Google Sans" w:cs="Google Sans" w:eastAsia="Google Sans" w:hAnsi="Google Sans"/>
            <w:color w:val="0000ee"/>
            <w:sz w:val="24"/>
            <w:szCs w:val="24"/>
            <w:u w:val="single"/>
            <w:rtl w:val="0"/>
          </w:rPr>
          <w:t xml:space="preserve">https://www.cfweb.it/ai-act-2-agosto-2026-guida-pratica-intelligenza-artificiale/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videosorveglianza e protezione dei dati personali - Garante Privacy, </w:t>
      </w:r>
      <w:hyperlink r:id="rId55">
        <w:r w:rsidDel="00000000" w:rsidR="00000000" w:rsidRPr="00000000">
          <w:rPr>
            <w:rFonts w:ascii="Google Sans" w:cs="Google Sans" w:eastAsia="Google Sans" w:hAnsi="Google Sans"/>
            <w:color w:val="0000ee"/>
            <w:sz w:val="24"/>
            <w:szCs w:val="24"/>
            <w:u w:val="single"/>
            <w:rtl w:val="0"/>
          </w:rPr>
          <w:t xml:space="preserve">https://garanteprivacy.it/garante/doc.jsp?ID=9496574</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EDPB Publishes Final Guidance on Facial Recognition Technology, </w:t>
      </w:r>
      <w:hyperlink r:id="rId56">
        <w:r w:rsidDel="00000000" w:rsidR="00000000" w:rsidRPr="00000000">
          <w:rPr>
            <w:rFonts w:ascii="Google Sans" w:cs="Google Sans" w:eastAsia="Google Sans" w:hAnsi="Google Sans"/>
            <w:color w:val="0000ee"/>
            <w:sz w:val="24"/>
            <w:szCs w:val="24"/>
            <w:u w:val="single"/>
            <w:rtl w:val="0"/>
          </w:rPr>
          <w:t xml:space="preserve">https://www.pearlcohen.com/edpb-publishes-final-guidance-on-facial-recognition-technology-in-law-enforcement/</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Linee Guida EDPB 3/2019 sulla videosorveglianza, </w:t>
      </w:r>
      <w:hyperlink r:id="rId57">
        <w:r w:rsidDel="00000000" w:rsidR="00000000" w:rsidRPr="00000000">
          <w:rPr>
            <w:rFonts w:ascii="Google Sans" w:cs="Google Sans" w:eastAsia="Google Sans" w:hAnsi="Google Sans"/>
            <w:color w:val="0000ee"/>
            <w:sz w:val="24"/>
            <w:szCs w:val="24"/>
            <w:u w:val="single"/>
            <w:rtl w:val="0"/>
          </w:rPr>
          <w:t xml:space="preserve">https://certifico.com/component/content/article/linee-guida-edpb-3-2019-sulla-videosorveglianza?catid=67&amp;Itemid=496</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Linee Guida EDPB 3/2019 sulla videosorveglianza, </w:t>
      </w:r>
      <w:hyperlink r:id="rId58">
        <w:r w:rsidDel="00000000" w:rsidR="00000000" w:rsidRPr="00000000">
          <w:rPr>
            <w:rFonts w:ascii="Google Sans" w:cs="Google Sans" w:eastAsia="Google Sans" w:hAnsi="Google Sans"/>
            <w:color w:val="0000ee"/>
            <w:sz w:val="24"/>
            <w:szCs w:val="24"/>
            <w:u w:val="single"/>
            <w:rtl w:val="0"/>
          </w:rPr>
          <w:t xml:space="preserve">https://certifico.com/categorie/357-sicurezza-lavoro/news-sicurezza/10059-linee-guida-edpb-3-2019-sulla-videosorveglianza</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Telecamera di sicurezza: ripresa dei clienti e nessuna informativa, </w:t>
      </w:r>
      <w:hyperlink r:id="rId59">
        <w:r w:rsidDel="00000000" w:rsidR="00000000" w:rsidRPr="00000000">
          <w:rPr>
            <w:rFonts w:ascii="Google Sans" w:cs="Google Sans" w:eastAsia="Google Sans" w:hAnsi="Google Sans"/>
            <w:color w:val="0000ee"/>
            <w:sz w:val="24"/>
            <w:szCs w:val="24"/>
            <w:u w:val="single"/>
            <w:rtl w:val="0"/>
          </w:rPr>
          <w:t xml:space="preserve">https://studiolegalelisi.it/approfondimenti/telecamera-di-sicurezza-ripresa-dei-clienti-e-nessuna-informativa-privacy-violata/</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Videosorveglianza e tutela dei cittadini - Elettronica Conte, </w:t>
      </w:r>
      <w:hyperlink r:id="rId60">
        <w:r w:rsidDel="00000000" w:rsidR="00000000" w:rsidRPr="00000000">
          <w:rPr>
            <w:rFonts w:ascii="Google Sans" w:cs="Google Sans" w:eastAsia="Google Sans" w:hAnsi="Google Sans"/>
            <w:color w:val="0000ee"/>
            <w:sz w:val="24"/>
            <w:szCs w:val="24"/>
            <w:u w:val="single"/>
            <w:rtl w:val="0"/>
          </w:rPr>
          <w:t xml:space="preserve">https://elettronicaconte.it/2021/06/17/videosorveglianza-e-tutela-dei-cittadini/</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Informativa Videosorveglianza - AV Set Produzioni SpA, </w:t>
      </w:r>
      <w:hyperlink r:id="rId61">
        <w:r w:rsidDel="00000000" w:rsidR="00000000" w:rsidRPr="00000000">
          <w:rPr>
            <w:rFonts w:ascii="Google Sans" w:cs="Google Sans" w:eastAsia="Google Sans" w:hAnsi="Google Sans"/>
            <w:color w:val="0000ee"/>
            <w:sz w:val="24"/>
            <w:szCs w:val="24"/>
            <w:u w:val="single"/>
            <w:rtl w:val="0"/>
          </w:rPr>
          <w:t xml:space="preserve">https://www.avset.it/informativa-videosorveglianza/</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Videosorveglianza. Verifica preliminare richiesta da Eni S.p.A., </w:t>
      </w:r>
      <w:hyperlink r:id="rId62">
        <w:r w:rsidDel="00000000" w:rsidR="00000000" w:rsidRPr="00000000">
          <w:rPr>
            <w:rFonts w:ascii="Google Sans" w:cs="Google Sans" w:eastAsia="Google Sans" w:hAnsi="Google Sans"/>
            <w:color w:val="0000ee"/>
            <w:sz w:val="24"/>
            <w:szCs w:val="24"/>
            <w:u w:val="single"/>
            <w:rtl w:val="0"/>
          </w:rPr>
          <w:t xml:space="preserve">https://www.garanteprivacy.it/home/docweb/-/docweb-display/docweb/1893742</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 saperne di più - Diritti.xyz, </w:t>
      </w:r>
      <w:hyperlink r:id="rId63">
        <w:r w:rsidDel="00000000" w:rsidR="00000000" w:rsidRPr="00000000">
          <w:rPr>
            <w:rFonts w:ascii="Google Sans" w:cs="Google Sans" w:eastAsia="Google Sans" w:hAnsi="Google Sans"/>
            <w:color w:val="0000ee"/>
            <w:sz w:val="24"/>
            <w:szCs w:val="24"/>
            <w:u w:val="single"/>
            <w:rtl w:val="0"/>
          </w:rPr>
          <w:t xml:space="preserve">https://diritti.xyz/come_funziona.html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Attestation of Compliance: What It Means - Glocert International, </w:t>
      </w:r>
      <w:hyperlink r:id="rId64">
        <w:r w:rsidDel="00000000" w:rsidR="00000000" w:rsidRPr="00000000">
          <w:rPr>
            <w:rFonts w:ascii="Google Sans" w:cs="Google Sans" w:eastAsia="Google Sans" w:hAnsi="Google Sans"/>
            <w:color w:val="0000ee"/>
            <w:sz w:val="24"/>
            <w:szCs w:val="24"/>
            <w:u w:val="single"/>
            <w:rtl w:val="0"/>
          </w:rPr>
          <w:t xml:space="preserve">https://www.glocertinternational.com/resources/articles/gdpr-attestation-of-compliance-what-it-means/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ottrinalavoro.it/notizie-c/inl-video-sorveglianza-indicazioni-per-il-rilascio-di-provvedimenti-autorizzativi" TargetMode="External"/><Relationship Id="rId42" Type="http://schemas.openxmlformats.org/officeDocument/2006/relationships/hyperlink" Target="https://ai-act-service-desk.ec.europa.eu/sites/default/files/2025-08/guidelines_on_prohibited_artificial_intelligence_practices_established_by_regulation_eu_20241689_ai_act_english_ied3r5nwo50xggpcfmwckm3nuc_112367-1.PDF" TargetMode="External"/><Relationship Id="rId41" Type="http://schemas.openxmlformats.org/officeDocument/2006/relationships/hyperlink" Target="https://studioarinella.it/controllo-a-distanza-del-lavoratore-autorizzazioni-itl-per-piu-province/" TargetMode="External"/><Relationship Id="rId44" Type="http://schemas.openxmlformats.org/officeDocument/2006/relationships/hyperlink" Target="https://www.freshfields.com/en/our-thinking/blogs/technology-quotient/eu-ai-act-unpacked-25-european-commission-releases-critical-ai-act-implementati-102kfql" TargetMode="External"/><Relationship Id="rId43" Type="http://schemas.openxmlformats.org/officeDocument/2006/relationships/hyperlink" Target="https://bluearrow.ai/emotion-recognition/" TargetMode="External"/><Relationship Id="rId46" Type="http://schemas.openxmlformats.org/officeDocument/2006/relationships/hyperlink" Target="https://medium.com/@tahirbalarabe2/ai-regulation-in-europe-key-aspects-of-the-eu-ai-act%EF%B8%8F-dcc9157fe366" TargetMode="External"/><Relationship Id="rId45" Type="http://schemas.openxmlformats.org/officeDocument/2006/relationships/hyperlink" Target="https://www.euaiact.com/blog/prohibited-ai-practices-under-the-eu-ai-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pptraining.com/edpb-guidelines-on-processing-through-video-devices/" TargetMode="External"/><Relationship Id="rId48" Type="http://schemas.openxmlformats.org/officeDocument/2006/relationships/hyperlink" Target="https://arxiv.org/abs/2603.26336" TargetMode="External"/><Relationship Id="rId47" Type="http://schemas.openxmlformats.org/officeDocument/2006/relationships/hyperlink" Target="https://arxiv.org/html/2604.23183v1" TargetMode="External"/><Relationship Id="rId49" Type="http://schemas.openxmlformats.org/officeDocument/2006/relationships/hyperlink" Target="https://www.closeit.co/eu-ai-act/article-6-high-risk-classification/" TargetMode="External"/><Relationship Id="rId5" Type="http://schemas.openxmlformats.org/officeDocument/2006/relationships/styles" Target="styles.xml"/><Relationship Id="rId6" Type="http://schemas.openxmlformats.org/officeDocument/2006/relationships/hyperlink" Target="https://api.ziyonet.uz/uploads/books/10008782/EQU7jEQY9FT2Zt5.pdf" TargetMode="External"/><Relationship Id="rId7" Type="http://schemas.openxmlformats.org/officeDocument/2006/relationships/hyperlink" Target="https://www.forasoft.com/learn/video-surveillance/articles-vms/gdpr-for-video-surveillance" TargetMode="External"/><Relationship Id="rId8" Type="http://schemas.openxmlformats.org/officeDocument/2006/relationships/hyperlink" Target="https://streamlex.eu/law-resources/edpb-guidelines-on-video-processing/" TargetMode="External"/><Relationship Id="rId31" Type="http://schemas.openxmlformats.org/officeDocument/2006/relationships/hyperlink" Target="https://www.studiocampesato.it/videosorveglianza-luoghi-di-lavoro/" TargetMode="External"/><Relationship Id="rId30" Type="http://schemas.openxmlformats.org/officeDocument/2006/relationships/hyperlink" Target="https://www.impiantibianchi.it/videosorveglianza-norme-privacy-e-sanzioni/" TargetMode="External"/><Relationship Id="rId33" Type="http://schemas.openxmlformats.org/officeDocument/2006/relationships/hyperlink" Target="https://www.abogacia.es/en/conocenos/bruselas/sentencias/tedh/video-vigilancia-encubierta-a-empleados-de-una-cadena-de-supermercados-espanoles/" TargetMode="External"/><Relationship Id="rId32" Type="http://schemas.openxmlformats.org/officeDocument/2006/relationships/hyperlink" Target="https://www.researchgate.net/publication/345416880_Video_Surveillance_of_the_Employees_Between_the_Right_to_Privacy_and_Right_to_Property_After_Lopez_Ribalda_and_Others_v_Spain" TargetMode="External"/><Relationship Id="rId35" Type="http://schemas.openxmlformats.org/officeDocument/2006/relationships/hyperlink" Target="https://hudoc.echr.coe.int/fre?i=001-197098" TargetMode="External"/><Relationship Id="rId34" Type="http://schemas.openxmlformats.org/officeDocument/2006/relationships/hyperlink" Target="https://leglobal.law/2019/11/26/european-union-european-court-of-human-rights-allows-for-the-secret-video-surveillance-of-employees/" TargetMode="External"/><Relationship Id="rId37" Type="http://schemas.openxmlformats.org/officeDocument/2006/relationships/hyperlink" Target="https://strasbourgobservers.com/2019/12/06/lopez-ribalda-and-others-v-spain-covert-surveillance-in-the-workplace-attenuating-the-protection-of-privacy-for-employees/" TargetMode="External"/><Relationship Id="rId36" Type="http://schemas.openxmlformats.org/officeDocument/2006/relationships/hyperlink" Target="https://hudoc.echr.coe.int/eng?i=002-12630" TargetMode="External"/><Relationship Id="rId39" Type="http://schemas.openxmlformats.org/officeDocument/2006/relationships/hyperlink" Target="https://bulltech.it/blog/videosorveglianza-gdpr-normativa" TargetMode="External"/><Relationship Id="rId38" Type="http://schemas.openxmlformats.org/officeDocument/2006/relationships/hyperlink" Target="https://etuclex.etuc.org/cases/lopez-ribalda-and-others-v-spain" TargetMode="External"/><Relationship Id="rId62" Type="http://schemas.openxmlformats.org/officeDocument/2006/relationships/hyperlink" Target="https://www.garanteprivacy.it/home/docweb/-/docweb-display/docweb/1893742" TargetMode="External"/><Relationship Id="rId61" Type="http://schemas.openxmlformats.org/officeDocument/2006/relationships/hyperlink" Target="https://www.avset.it/informativa-videosorveglianza/" TargetMode="External"/><Relationship Id="rId20" Type="http://schemas.openxmlformats.org/officeDocument/2006/relationships/hyperlink" Target="https://www.edpb.europa.eu/system/files/2024-10/edpb_guidelines_202401_legitimateinterest_en.pdf" TargetMode="External"/><Relationship Id="rId64" Type="http://schemas.openxmlformats.org/officeDocument/2006/relationships/hyperlink" Target="https://www.glocertinternational.com/resources/articles/gdpr-attestation-of-compliance-what-it-means/" TargetMode="External"/><Relationship Id="rId63" Type="http://schemas.openxmlformats.org/officeDocument/2006/relationships/hyperlink" Target="https://diritti.xyz/come_funziona.html" TargetMode="External"/><Relationship Id="rId22" Type="http://schemas.openxmlformats.org/officeDocument/2006/relationships/hyperlink" Target="https://arxiv.org/html/2505.20540v1" TargetMode="External"/><Relationship Id="rId21" Type="http://schemas.openxmlformats.org/officeDocument/2006/relationships/hyperlink" Target="https://www.mdpi.com/2079-9292/14/13/2669" TargetMode="External"/><Relationship Id="rId24" Type="http://schemas.openxmlformats.org/officeDocument/2006/relationships/hyperlink" Target="https://www.garanteprivacy.it/home/docweb/-/docweb-display/print/299143" TargetMode="External"/><Relationship Id="rId23" Type="http://schemas.openxmlformats.org/officeDocument/2006/relationships/hyperlink" Target="https://arxiv.org/pdf/2604.14250" TargetMode="External"/><Relationship Id="rId60" Type="http://schemas.openxmlformats.org/officeDocument/2006/relationships/hyperlink" Target="https://elettronicaconte.it/2021/06/17/videosorveglianza-e-tutela-dei-cittadini/" TargetMode="External"/><Relationship Id="rId26" Type="http://schemas.openxmlformats.org/officeDocument/2006/relationships/hyperlink" Target="https://www.osborneclarke.com/insights/facial-recognition-and-data-protection-new-guidelines-european-union" TargetMode="External"/><Relationship Id="rId25" Type="http://schemas.openxmlformats.org/officeDocument/2006/relationships/hyperlink" Target="https://www.dirittobancario.it/wp-content/uploads/sites/default/files/allegati/provvedimento_garante_per_la_protezione_dei_dati_personali_12_novembre_2014_n._513.pdf" TargetMode="External"/><Relationship Id="rId28" Type="http://schemas.openxmlformats.org/officeDocument/2006/relationships/hyperlink" Target="https://arxiv.org/html/2409.02715v1" TargetMode="External"/><Relationship Id="rId27" Type="http://schemas.openxmlformats.org/officeDocument/2006/relationships/hyperlink" Target="https://arxiv.org/html/2501.06591v1" TargetMode="External"/><Relationship Id="rId29" Type="http://schemas.openxmlformats.org/officeDocument/2006/relationships/hyperlink" Target="https://arxiv.org/html/2411.14565v1" TargetMode="External"/><Relationship Id="rId51" Type="http://schemas.openxmlformats.org/officeDocument/2006/relationships/hyperlink" Target="https://www.euaiact.com/blog/eu-ai-act-high-risk-classification" TargetMode="External"/><Relationship Id="rId50" Type="http://schemas.openxmlformats.org/officeDocument/2006/relationships/hyperlink" Target="https://regulatorydecoded.com/eu-ai-act-classification-article-6-annex-iii/" TargetMode="External"/><Relationship Id="rId53" Type="http://schemas.openxmlformats.org/officeDocument/2006/relationships/hyperlink" Target="https://regumatrix.eu/compliance/not-high-risk-derogation" TargetMode="External"/><Relationship Id="rId52" Type="http://schemas.openxmlformats.org/officeDocument/2006/relationships/hyperlink" Target="https://sprinklingact.com/ie/article-6-3" TargetMode="External"/><Relationship Id="rId11" Type="http://schemas.openxmlformats.org/officeDocument/2006/relationships/hyperlink" Target="http://eulawanalysis.blogspot.com/2024/10/latest-updates-on-legitimate-interest.html" TargetMode="External"/><Relationship Id="rId55" Type="http://schemas.openxmlformats.org/officeDocument/2006/relationships/hyperlink" Target="https://garanteprivacy.it/garante/doc.jsp?ID=9496574" TargetMode="External"/><Relationship Id="rId10" Type="http://schemas.openxmlformats.org/officeDocument/2006/relationships/hyperlink" Target="https://www.edpb.europa.eu/system/files/documents/files/file1/edpb_guidelines_201903_video_devices_en_0.pdf" TargetMode="External"/><Relationship Id="rId54" Type="http://schemas.openxmlformats.org/officeDocument/2006/relationships/hyperlink" Target="https://www.cfweb.it/ai-act-2-agosto-2026-guida-pratica-intelligenza-artificiale/" TargetMode="External"/><Relationship Id="rId13" Type="http://schemas.openxmlformats.org/officeDocument/2006/relationships/hyperlink" Target="https://www.hsfkramer.com/notes/data/2024-posts/CJEU--Commercial-interest-may-be-considered-necessary-for-controller-s-legitimate-interest-" TargetMode="External"/><Relationship Id="rId57" Type="http://schemas.openxmlformats.org/officeDocument/2006/relationships/hyperlink" Target="https://certifico.com/component/content/article/linee-guida-edpb-3-2019-sulla-videosorveglianza?catid=67&amp;Itemid=496" TargetMode="External"/><Relationship Id="rId12" Type="http://schemas.openxmlformats.org/officeDocument/2006/relationships/hyperlink" Target="https://www.fedma.org/2024/10/04/cjeu-commercial-interests-can-qualify-as-legitimate-interests-under-the-gdpr/" TargetMode="External"/><Relationship Id="rId56" Type="http://schemas.openxmlformats.org/officeDocument/2006/relationships/hyperlink" Target="https://www.pearlcohen.com/edpb-publishes-final-guidance-on-facial-recognition-technology-in-law-enforcement/" TargetMode="External"/><Relationship Id="rId15" Type="http://schemas.openxmlformats.org/officeDocument/2006/relationships/hyperlink" Target="https://gdprhub.eu/CJEU_-_C%E2%80%91621/22_-_Koninklijke_Nederlandse_Lawn_Tennisbond" TargetMode="External"/><Relationship Id="rId59" Type="http://schemas.openxmlformats.org/officeDocument/2006/relationships/hyperlink" Target="https://studiolegalelisi.it/approfondimenti/telecamera-di-sicurezza-ripresa-dei-clienti-e-nessuna-informativa-privacy-violata/" TargetMode="External"/><Relationship Id="rId14" Type="http://schemas.openxmlformats.org/officeDocument/2006/relationships/hyperlink" Target="https://kluwerlawonline.com/journalarticle/Global+Privacy+Law+Review/6.1/GPLR2025006" TargetMode="External"/><Relationship Id="rId58" Type="http://schemas.openxmlformats.org/officeDocument/2006/relationships/hyperlink" Target="https://certifico.com/categorie/357-sicurezza-lavoro/news-sicurezza/10059-linee-guida-edpb-3-2019-sulla-videosorveglianza" TargetMode="External"/><Relationship Id="rId17" Type="http://schemas.openxmlformats.org/officeDocument/2006/relationships/hyperlink" Target="https://eur-lex.europa.eu/legal-content/EN/TXT/HTML/?uri=CELEX:62022CJ0621" TargetMode="External"/><Relationship Id="rId16" Type="http://schemas.openxmlformats.org/officeDocument/2006/relationships/hyperlink" Target="https://research.tilburguniversity.edu/en/publications/commercial-but-legitimate-interest-the-court-of-justice-calls-the/" TargetMode="External"/><Relationship Id="rId19" Type="http://schemas.openxmlformats.org/officeDocument/2006/relationships/hyperlink" Target="https://usercentrics.com/knowledge-hub/gdpr-legitimate-interest/" TargetMode="External"/><Relationship Id="rId18" Type="http://schemas.openxmlformats.org/officeDocument/2006/relationships/hyperlink" Target="https://secureprivacy.ai/blog/legitimate-interests-assessment-gdpr-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