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Rapporto Strategico e Operativo sulle Certificazioni di Sicurezza e Privacy per le Startup</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1. Il Contesto Strategico della Compliance Digitale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Nel panorama economico odierno, caratterizzato da una digitalizzazione pervasiva e da un quadro normativo in continuo e severo inasprimento, la conformità agli standard di sicurezza delle informazioni e di protezione dei dati personali ha trasceso la dimensione del mero adempimento formale. Per una startup, in particolare se operante in modelli Business-to-Business (B2B), Software-as-a-Service (SaaS), o nello sviluppo di tecnologie di frontiera come l'Intelligenza Artificiale e l'analisi video, l'ottenimento di certificazioni riconosciute costituisce una condizione imprescindibile per l'accesso al mercato e per l'attrazione di capitali di rischio.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Le aziende strutturate e le pubbliche amministrazioni richiedono ormai garanzie oggettive e certificate prima di affidare a terzi l'elaborazione dei propri dati. Questo fenomeno è guidato dall'intersezione di normative complesse quali il Regolamento Generale sulla Protezione dei Dati (GDPR), la Direttiva NIS2 sulla cybersicurezza e, più recentemente, l'Artificial Intelligence Act (AI Act) europeo</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L'architettura della conformità richiede pertanto un approccio olistico che unisca la governance IT, la sicurezza fisica e logica, e una consulenza legale altamente specializzata. Il presente rapporto analizza in profondità le procedure, i requisiti legali, l'impatto economico e i partner strategici per l'ottenimento delle certificazioni ISO 27001, ISO 27701, ISDP 10003 ed EuroPriSe nel contesto italiano.</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2. Analisi degli Standard di Certificazione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La scelta dello standard certificativo più idoneo dipende intrinsecamente dal modello di business della startup, dalla tipologia di dati trattati e dai mercati geografici di riferimento. Le principali opzioni si dividono tra certificazioni di sistema e certificazioni di prodotto.</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2.1 ISO/IEC 27001:2022 (Sistema di Gestione della Sicurezza delle Informazioni)</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La norma ISO/IEC 27001 rappresenta lo standard internazionale di riferimento per i Sistemi di Gestione della Sicurezza delle Informazioni (SGSI, o ISMS nell'acronimo inglese). L'iterazione più recente, pubblicata nel 2022, è divenuta obbligatoria per tutte le nuove certificazioni e i rinnovi a partire dal 30 aprile 2024, introducendo un focus ancor più marcato su tematiche emergenti quali la cybersecurity, la cyber threat intelligence e la protezione dei dati in ambienti cloud</w:t>
      </w:r>
      <w:r w:rsidDel="00000000" w:rsidR="00000000" w:rsidRPr="00000000">
        <w:rPr>
          <w:rFonts w:ascii="Arial" w:cs="Arial" w:eastAsia="Arial" w:hAnsi="Arial"/>
          <w:sz w:val="24"/>
          <w:szCs w:val="24"/>
          <w:vertAlign w:val="superscript"/>
          <w:rtl w:val="0"/>
        </w:rPr>
        <w:t xml:space="preserve">4</w:t>
      </w:r>
      <w:r w:rsidDel="00000000" w:rsidR="00000000" w:rsidRPr="00000000">
        <w:rPr>
          <w:rFonts w:ascii="Arial" w:cs="Arial" w:eastAsia="Arial" w:hAnsi="Arial"/>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La particolarità dello standard ISO 27001 è la sua natura sistemica. L'auditor non si limita a verificare la presenza di difese perimetrali come firewall o software antivirus, ma valuta l'interezza dei processi aziendali, includendo la gestione delle risorse umane (procedure di assunzione, offboarding), il controllo della catena di fornitura, la continuità operativa e la gestione degli incidenti</w:t>
      </w:r>
      <w:r w:rsidDel="00000000" w:rsidR="00000000" w:rsidRPr="00000000">
        <w:rPr>
          <w:rFonts w:ascii="Arial" w:cs="Arial" w:eastAsia="Arial" w:hAnsi="Arial"/>
          <w:sz w:val="24"/>
          <w:szCs w:val="24"/>
          <w:vertAlign w:val="superscript"/>
          <w:rtl w:val="0"/>
        </w:rPr>
        <w:t xml:space="preserve">6</w:t>
      </w:r>
      <w:r w:rsidDel="00000000" w:rsidR="00000000" w:rsidRPr="00000000">
        <w:rPr>
          <w:rFonts w:ascii="Arial" w:cs="Arial" w:eastAsia="Arial" w:hAnsi="Arial"/>
          <w:rtl w:val="0"/>
        </w:rPr>
        <w:t xml:space="preserve">. In Italia, il mercato delle certificazioni ISO 27001 è in fortissima espansione, con oltre 5.200 organizzazioni certificate nel primo trimestre del 2026, un volume sostenuto in gran parte dalle imposizioni indirette della direttiva NIS2, che spinge le aziende capofiliera a pretendere la certificazione dai propri fornitori</w:t>
      </w:r>
      <w:r w:rsidDel="00000000" w:rsidR="00000000" w:rsidRPr="00000000">
        <w:rPr>
          <w:rFonts w:ascii="Arial" w:cs="Arial" w:eastAsia="Arial" w:hAnsi="Arial"/>
          <w:sz w:val="24"/>
          <w:szCs w:val="24"/>
          <w:vertAlign w:val="superscript"/>
          <w:rtl w:val="0"/>
        </w:rPr>
        <w:t xml:space="preserve">7</w:t>
      </w:r>
      <w:r w:rsidDel="00000000" w:rsidR="00000000" w:rsidRPr="00000000">
        <w:rPr>
          <w:rFonts w:ascii="Arial" w:cs="Arial" w:eastAsia="Arial" w:hAnsi="Arial"/>
          <w:rtl w:val="0"/>
        </w:rPr>
        <w:t xml:space="preserve">.</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2.2 ISO/IEC 27701:2019 (Sistema di Gestione delle Informazioni sulla Privacy)</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L'ISO/IEC 27701 funge da estensione diretta dell'ISO 27001. Mentre lo standard principale si concentra sulla sicurezza delle informazioni secondo la triade di riservatezza, integrità e disponibilità, la 27701 declina questi principi specificamente per la protezione dei dati personali, istituendo un Sistema di Gestione delle Informazioni sulla Privacy (PIMS).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Un elemento di fondamentale importanza di questo standard è la sua flessibilità di applicazione. La norma fornisce requisiti e linee guida sia per le organizzazioni che operano in veste di Titolari del Trattamento (Data Controllers), sia per quelle che operano come Responsabili del Trattamento (Data Processors)</w:t>
      </w:r>
      <w:r w:rsidDel="00000000" w:rsidR="00000000" w:rsidRPr="00000000">
        <w:rPr>
          <w:rFonts w:ascii="Arial" w:cs="Arial" w:eastAsia="Arial" w:hAnsi="Arial"/>
          <w:sz w:val="24"/>
          <w:szCs w:val="24"/>
          <w:vertAlign w:val="superscript"/>
          <w:rtl w:val="0"/>
        </w:rPr>
        <w:t xml:space="preserve">8</w:t>
      </w:r>
      <w:r w:rsidDel="00000000" w:rsidR="00000000" w:rsidRPr="00000000">
        <w:rPr>
          <w:rFonts w:ascii="Arial" w:cs="Arial" w:eastAsia="Arial" w:hAnsi="Arial"/>
          <w:rtl w:val="0"/>
        </w:rPr>
        <w:t xml:space="preserve">. Per una startup SaaS che elabora dati per conto di aziende clienti, certificarsi ISO 27701 in qualità di Data Processor rappresenta una dimostrazione formale e internazionalmente riconosciuta di conformità all'Articolo 28 del GDPR, rassicurando i partner commerciali sulla solidità delle misure tecniche e organizzative adottate.</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2.3 ISDP 10003:2020 (Certificazione Accreditata GDPR)</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ISDP 10003 è uno schema di certificazione volontario, specificamente sviluppato per valutare e dimostrare la conformità ai dettami del Regolamento Europeo sulla protezione dei dati, ed è attualmente l'unico schema accreditato da Accredia in Italia per tale scopo</w:t>
      </w:r>
      <w:r w:rsidDel="00000000" w:rsidR="00000000" w:rsidRPr="00000000">
        <w:rPr>
          <w:rFonts w:ascii="Arial" w:cs="Arial" w:eastAsia="Arial" w:hAnsi="Arial"/>
          <w:sz w:val="24"/>
          <w:szCs w:val="24"/>
          <w:vertAlign w:val="superscript"/>
          <w:rtl w:val="0"/>
        </w:rPr>
        <w:t xml:space="preserve">9</w:t>
      </w:r>
      <w:r w:rsidDel="00000000" w:rsidR="00000000" w:rsidRPr="00000000">
        <w:rPr>
          <w:rFonts w:ascii="Arial" w:cs="Arial" w:eastAsia="Arial" w:hAnsi="Arial"/>
          <w:rtl w:val="0"/>
        </w:rPr>
        <w:t xml:space="preserv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 differenza della famiglia ISO, che possiede una valenza globale ma astratta rispetto alle singole normative locali, ISDP 10003 fornisce principi ed elementi di controllo per una completa valutazione della conformità dei processi interni in riferimento diretto agli articoli del GDPR</w:t>
      </w:r>
      <w:r w:rsidDel="00000000" w:rsidR="00000000" w:rsidRPr="00000000">
        <w:rPr>
          <w:rFonts w:ascii="Arial" w:cs="Arial" w:eastAsia="Arial" w:hAnsi="Arial"/>
          <w:sz w:val="24"/>
          <w:szCs w:val="24"/>
          <w:vertAlign w:val="superscript"/>
          <w:rtl w:val="0"/>
        </w:rPr>
        <w:t xml:space="preserve">9</w:t>
      </w:r>
      <w:r w:rsidDel="00000000" w:rsidR="00000000" w:rsidRPr="00000000">
        <w:rPr>
          <w:rFonts w:ascii="Arial" w:cs="Arial" w:eastAsia="Arial" w:hAnsi="Arial"/>
          <w:rtl w:val="0"/>
        </w:rPr>
        <w:t xml:space="preserve">. Lo standard mappa i requisiti normativi europei, come i principi di liceità, minimizzazione, privacy by design e by default, traducendoli in controlli operativi certificabili da un ente terzo indipendente.</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2.4 EuroPriSe (European Privacy Seal)</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Mentre ISO 27001, ISO 27701 e ISDP 10003 si configurano come certificazioni relative ai processi organizzativi di un'intera azienda, l'European Privacy Seal (EuroPriSe) rappresenta una certificazione di prodotto o di servizio.</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Per una startup che ha sviluppato uno specifico prodotto digitale (ad esempio, una piattaforma di risorse umane, un sistema di video-analisi per il retail, o un dispositivo per la telemedicina), EuroPriSe valuta esattamente l'architettura tecnica e legale di quello strumento. La procedura di valutazione verifica che il servizio IT o il prodotto sia conforme al quadro normativo dell'Unione Europea, richiedendo tipicamente dalle 1 alle 3 settimane di intenso lavoro di assessment da parte di professionisti qualificati in ambito privacy, in funzione della complessità dello scope</w:t>
      </w:r>
      <w:r w:rsidDel="00000000" w:rsidR="00000000" w:rsidRPr="00000000">
        <w:rPr>
          <w:rFonts w:ascii="Arial" w:cs="Arial" w:eastAsia="Arial" w:hAnsi="Arial"/>
          <w:sz w:val="24"/>
          <w:szCs w:val="24"/>
          <w:vertAlign w:val="superscript"/>
          <w:rtl w:val="0"/>
        </w:rPr>
        <w:t xml:space="preserve">10</w:t>
      </w:r>
      <w:r w:rsidDel="00000000" w:rsidR="00000000" w:rsidRPr="00000000">
        <w:rPr>
          <w:rFonts w:ascii="Arial" w:cs="Arial" w:eastAsia="Arial" w:hAnsi="Arial"/>
          <w:rtl w:val="0"/>
        </w:rPr>
        <w:t xml:space="preserve">. L'ottenimento di questo sigillo è uno strumento di marketing formidabile, in quanto dimostra una compliance "by design" inconfutabile, riducendo drasticamente le frizioni durante i processi di procurement dei clienti.</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3. Procedure Dettagliate e Fasi Operative per la Certificazione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L'iter per l'ottenimento di una certificazione complessa, in particolare la ISO 27001 e le sue estensioni, non coincide semplicemente con un audit finale, ma rappresenta un progetto di trasformazione aziendale. Il processo deve essere rigorosamente diviso in due macro-fasi: l'implementazione interna (il lavoro operativo, documentale, legale e tecnico) e la certificazione esterna (la validazione da parte dell'ente accreditato)</w:t>
      </w:r>
      <w:r w:rsidDel="00000000" w:rsidR="00000000" w:rsidRPr="00000000">
        <w:rPr>
          <w:rFonts w:ascii="Arial" w:cs="Arial" w:eastAsia="Arial" w:hAnsi="Arial"/>
          <w:sz w:val="24"/>
          <w:szCs w:val="24"/>
          <w:vertAlign w:val="superscript"/>
          <w:rtl w:val="0"/>
        </w:rPr>
        <w:t xml:space="preserve">6</w:t>
      </w:r>
      <w:r w:rsidDel="00000000" w:rsidR="00000000" w:rsidRPr="00000000">
        <w:rPr>
          <w:rFonts w:ascii="Arial" w:cs="Arial" w:eastAsia="Arial" w:hAnsi="Arial"/>
          <w:rtl w:val="0"/>
        </w:rPr>
        <w:t xml:space="preserv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Il tempo necessario per il completamento del percorso varia significativamente in base alle dimensioni dell'organizzazione. Per una micro-impresa o startup fino a 20 dipendenti, il processo di implementazione richiede tipicamente dai 3 ai 4 mesi, mentre per organizzazioni tra i 21 e i 50 dipendenti i tempi si dilatano dai 5 agli 8 mesi</w:t>
      </w:r>
      <w:r w:rsidDel="00000000" w:rsidR="00000000" w:rsidRPr="00000000">
        <w:rPr>
          <w:rFonts w:ascii="Arial" w:cs="Arial" w:eastAsia="Arial" w:hAnsi="Arial"/>
          <w:sz w:val="24"/>
          <w:szCs w:val="24"/>
          <w:vertAlign w:val="superscript"/>
          <w:rtl w:val="0"/>
        </w:rPr>
        <w:t xml:space="preserve">6</w:t>
      </w:r>
      <w:r w:rsidDel="00000000" w:rsidR="00000000" w:rsidRPr="00000000">
        <w:rPr>
          <w:rFonts w:ascii="Arial" w:cs="Arial" w:eastAsia="Arial" w:hAnsi="Arial"/>
          <w:rtl w:val="0"/>
        </w:rPr>
        <w:t xml:space="preserve">. Qualsiasi tentativo di comprimere queste tempistiche rischia di generare un sistema puramente cartaceo che fallirà in fase di audit. Di seguito vengono analizzate le fasi procedurali necessarie.</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Fase 1: Inizializzazione e Analisi del Contesto</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La procedura si apre con la definizione del perimetro (scope) del Sistema di Gestione, decidendo quali sedi, dipartimenti o servizi cloud includere</w:t>
      </w:r>
      <w:r w:rsidDel="00000000" w:rsidR="00000000" w:rsidRPr="00000000">
        <w:rPr>
          <w:rFonts w:ascii="Arial" w:cs="Arial" w:eastAsia="Arial" w:hAnsi="Arial"/>
          <w:sz w:val="24"/>
          <w:szCs w:val="24"/>
          <w:vertAlign w:val="superscript"/>
          <w:rtl w:val="0"/>
        </w:rPr>
        <w:t xml:space="preserve">6</w:t>
      </w:r>
      <w:r w:rsidDel="00000000" w:rsidR="00000000" w:rsidRPr="00000000">
        <w:rPr>
          <w:rFonts w:ascii="Arial" w:cs="Arial" w:eastAsia="Arial" w:hAnsi="Arial"/>
          <w:rtl w:val="0"/>
        </w:rPr>
        <w:t xml:space="preserve">. Per una startup, è quasi sempre imperativo includere l'intera operatività per non creare "zone d'ombra" inaccettabili per i clienti. Successivamente, la direzione deve costituire il team di progetto, assegnando ruoli chiari e fornendo il budget adeguato</w:t>
      </w:r>
      <w:r w:rsidDel="00000000" w:rsidR="00000000" w:rsidRPr="00000000">
        <w:rPr>
          <w:rFonts w:ascii="Arial" w:cs="Arial" w:eastAsia="Arial" w:hAnsi="Arial"/>
          <w:sz w:val="24"/>
          <w:szCs w:val="24"/>
          <w:vertAlign w:val="superscript"/>
          <w:rtl w:val="0"/>
        </w:rPr>
        <w:t xml:space="preserve">11</w:t>
      </w:r>
      <w:r w:rsidDel="00000000" w:rsidR="00000000" w:rsidRPr="00000000">
        <w:rPr>
          <w:rFonts w:ascii="Arial" w:cs="Arial" w:eastAsia="Arial" w:hAnsi="Arial"/>
          <w:rtl w:val="0"/>
        </w:rPr>
        <w:t xml:space="preserve">. Un errore comune e fatale è delegare l'intero processo al dipartimento IT; la sicurezza delle informazioni tocca contratti legali, gestione dei fornitori e risorse umane, rendendo indispensabile un approccio multidisciplinare</w:t>
      </w:r>
      <w:r w:rsidDel="00000000" w:rsidR="00000000" w:rsidRPr="00000000">
        <w:rPr>
          <w:rFonts w:ascii="Arial" w:cs="Arial" w:eastAsia="Arial" w:hAnsi="Arial"/>
          <w:sz w:val="24"/>
          <w:szCs w:val="24"/>
          <w:vertAlign w:val="superscript"/>
          <w:rtl w:val="0"/>
        </w:rPr>
        <w:t xml:space="preserve">6</w:t>
      </w:r>
      <w:r w:rsidDel="00000000" w:rsidR="00000000" w:rsidRPr="00000000">
        <w:rPr>
          <w:rFonts w:ascii="Arial" w:cs="Arial" w:eastAsia="Arial" w:hAnsi="Arial"/>
          <w:rtl w:val="0"/>
        </w:rPr>
        <w:t xml:space="preserv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Si procede quindi alla conduzione di un inventario degli asset informativi, mappando server, archivi cloud, database, dispositivi aziendali e proprietà intellettuale, per comprendere esattamente dove risiedono i dati e come viaggiano attraverso l'infrastruttura</w:t>
      </w:r>
      <w:r w:rsidDel="00000000" w:rsidR="00000000" w:rsidRPr="00000000">
        <w:rPr>
          <w:rFonts w:ascii="Arial" w:cs="Arial" w:eastAsia="Arial" w:hAnsi="Arial"/>
          <w:sz w:val="24"/>
          <w:szCs w:val="24"/>
          <w:vertAlign w:val="superscript"/>
          <w:rtl w:val="0"/>
        </w:rPr>
        <w:t xml:space="preserve">6</w:t>
      </w:r>
      <w:r w:rsidDel="00000000" w:rsidR="00000000" w:rsidRPr="00000000">
        <w:rPr>
          <w:rFonts w:ascii="Arial" w:cs="Arial" w:eastAsia="Arial" w:hAnsi="Arial"/>
          <w:rtl w:val="0"/>
        </w:rPr>
        <w:t xml:space="preserve">.</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Fase 2: Valutazione e Trattamento dei Rischi (Risk Assessment)</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Il cuore dell'infrastruttura ISO 27001 è l'analisi dei rischi</w:t>
      </w:r>
      <w:r w:rsidDel="00000000" w:rsidR="00000000" w:rsidRPr="00000000">
        <w:rPr>
          <w:rFonts w:ascii="Arial" w:cs="Arial" w:eastAsia="Arial" w:hAnsi="Arial"/>
          <w:sz w:val="24"/>
          <w:szCs w:val="24"/>
          <w:vertAlign w:val="superscript"/>
          <w:rtl w:val="0"/>
        </w:rPr>
        <w:t xml:space="preserve">11</w:t>
      </w:r>
      <w:r w:rsidDel="00000000" w:rsidR="00000000" w:rsidRPr="00000000">
        <w:rPr>
          <w:rFonts w:ascii="Arial" w:cs="Arial" w:eastAsia="Arial" w:hAnsi="Arial"/>
          <w:rtl w:val="0"/>
        </w:rPr>
        <w:t xml:space="preserve">. La startup deve implementare una metodologia formale per identificare le minacce che gravano sugli asset mappati, come attacchi ransomware, esfiltrazione di dati da parte di dipendenti infedeli, o guasti ai provider cloud. Ogni rischio viene pesato in base all'impatto potenziale e alla probabilità di accadimento</w:t>
      </w:r>
      <w:r w:rsidDel="00000000" w:rsidR="00000000" w:rsidRPr="00000000">
        <w:rPr>
          <w:rFonts w:ascii="Arial" w:cs="Arial" w:eastAsia="Arial" w:hAnsi="Arial"/>
          <w:sz w:val="24"/>
          <w:szCs w:val="24"/>
          <w:vertAlign w:val="superscript"/>
          <w:rtl w:val="0"/>
        </w:rPr>
        <w:t xml:space="preserve">6</w:t>
      </w:r>
      <w:r w:rsidDel="00000000" w:rsidR="00000000" w:rsidRPr="00000000">
        <w:rPr>
          <w:rFonts w:ascii="Arial" w:cs="Arial" w:eastAsia="Arial" w:hAnsi="Arial"/>
          <w:rtl w:val="0"/>
        </w:rPr>
        <w:t xml:space="preserv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 valle della valutazione, la direzione deve definire un piano di trattamento dei rischi. Per ogni vulnerabilità identificata, l'azienda decide se mitigare il rischio (applicando controlli tecnici o organizzativi), trasferirlo (stipulando coperture assicurative cyber), evitarlo (dismettendo la tecnologia rischiosa) o accettarlo formalmente, documentandone le ragioni strategiche</w:t>
      </w:r>
      <w:r w:rsidDel="00000000" w:rsidR="00000000" w:rsidRPr="00000000">
        <w:rPr>
          <w:rFonts w:ascii="Arial" w:cs="Arial" w:eastAsia="Arial" w:hAnsi="Arial"/>
          <w:sz w:val="24"/>
          <w:szCs w:val="24"/>
          <w:vertAlign w:val="superscript"/>
          <w:rtl w:val="0"/>
        </w:rPr>
        <w:t xml:space="preserve">6</w:t>
      </w:r>
      <w:r w:rsidDel="00000000" w:rsidR="00000000" w:rsidRPr="00000000">
        <w:rPr>
          <w:rFonts w:ascii="Arial" w:cs="Arial" w:eastAsia="Arial" w:hAnsi="Arial"/>
          <w:rtl w:val="0"/>
        </w:rPr>
        <w:t xml:space="preserve">.</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Fase 3: Selezione dei Controlli e Produzione Documentale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Sulla base del piano di trattamento, la startup seleziona i controlli appropriati dall'Allegato A (Annex A) della norma ISO 27001:2022. Questa fase culmina nella redazione della Dichiarazione di Applicabilità (Statement of Applicability - SoA), il documento centrale che giustifica le inclusioni e le esclusioni di ogni singolo controllo normativo</w:t>
      </w:r>
      <w:r w:rsidDel="00000000" w:rsidR="00000000" w:rsidRPr="00000000">
        <w:rPr>
          <w:rFonts w:ascii="Arial" w:cs="Arial" w:eastAsia="Arial" w:hAnsi="Arial"/>
          <w:sz w:val="24"/>
          <w:szCs w:val="24"/>
          <w:vertAlign w:val="superscript"/>
          <w:rtl w:val="0"/>
        </w:rPr>
        <w:t xml:space="preserve">6</w:t>
      </w:r>
      <w:r w:rsidDel="00000000" w:rsidR="00000000" w:rsidRPr="00000000">
        <w:rPr>
          <w:rFonts w:ascii="Arial" w:cs="Arial" w:eastAsia="Arial" w:hAnsi="Arial"/>
          <w:rtl w:val="0"/>
        </w:rPr>
        <w:t xml:space="preserv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Parallelamente, i consulenti e i team interni devono redigere l'architettura documentale del sistema, creando policy dettagliate che regolamentino, tra le altre cose, il controllo degli accessi fisici e logici, la risposta agli incidenti di sicurezza, l'uso della crittografia, la gestione dei dispositivi mobili (BYOD) e i requisiti di sicurezza richiesti alle terze parti</w:t>
      </w:r>
      <w:r w:rsidDel="00000000" w:rsidR="00000000" w:rsidRPr="00000000">
        <w:rPr>
          <w:rFonts w:ascii="Arial" w:cs="Arial" w:eastAsia="Arial" w:hAnsi="Arial"/>
          <w:sz w:val="24"/>
          <w:szCs w:val="24"/>
          <w:vertAlign w:val="superscript"/>
          <w:rtl w:val="0"/>
        </w:rPr>
        <w:t xml:space="preserve">6</w:t>
      </w:r>
      <w:r w:rsidDel="00000000" w:rsidR="00000000" w:rsidRPr="00000000">
        <w:rPr>
          <w:rFonts w:ascii="Arial" w:cs="Arial" w:eastAsia="Arial" w:hAnsi="Arial"/>
          <w:rtl w:val="0"/>
        </w:rPr>
        <w:t xml:space="preserve">.</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Fase 4: Implementazione Operativa, Generazione di Evidenze e Formazione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La documentazione deve essere tradotta in operatività quotidiana. La startup deve applicare concretamente i controlli: attivare le autenticazioni a più fattori (MFA), configurare i firewall, crittografare i database, ed eseguire e testare i backup</w:t>
      </w:r>
      <w:r w:rsidDel="00000000" w:rsidR="00000000" w:rsidRPr="00000000">
        <w:rPr>
          <w:rFonts w:ascii="Arial" w:cs="Arial" w:eastAsia="Arial" w:hAnsi="Arial"/>
          <w:sz w:val="24"/>
          <w:szCs w:val="24"/>
          <w:vertAlign w:val="superscript"/>
          <w:rtl w:val="0"/>
        </w:rPr>
        <w:t xml:space="preserve">6</w:t>
      </w:r>
      <w:r w:rsidDel="00000000" w:rsidR="00000000" w:rsidRPr="00000000">
        <w:rPr>
          <w:rFonts w:ascii="Arial" w:cs="Arial" w:eastAsia="Arial" w:hAnsi="Arial"/>
          <w:rtl w:val="0"/>
        </w:rPr>
        <w:t xml:space="preserve">. Questo periodo è cruciale per la generazione delle cosiddette "evidenze", ovvero i log, i verbali e le registrazioni di sistema che dimostrano a un ispettore esterno che le procedure non sono solo teoriche</w:t>
      </w:r>
      <w:r w:rsidDel="00000000" w:rsidR="00000000" w:rsidRPr="00000000">
        <w:rPr>
          <w:rFonts w:ascii="Arial" w:cs="Arial" w:eastAsia="Arial" w:hAnsi="Arial"/>
          <w:sz w:val="24"/>
          <w:szCs w:val="24"/>
          <w:vertAlign w:val="superscript"/>
          <w:rtl w:val="0"/>
        </w:rPr>
        <w:t xml:space="preserve">6</w:t>
      </w:r>
      <w:r w:rsidDel="00000000" w:rsidR="00000000" w:rsidRPr="00000000">
        <w:rPr>
          <w:rFonts w:ascii="Arial" w:cs="Arial" w:eastAsia="Arial" w:hAnsi="Arial"/>
          <w:rtl w:val="0"/>
        </w:rPr>
        <w:t xml:space="preserv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Contestualmente, tutto il personale deve essere formato sulle nuove procedure. La norma richiede che la formazione sia continua, registrata e capace di promuovere una reale consapevolezza sui rischi (security awareness), pena il rigetto della certificazione in sede di audit</w:t>
      </w:r>
      <w:r w:rsidDel="00000000" w:rsidR="00000000" w:rsidRPr="00000000">
        <w:rPr>
          <w:rFonts w:ascii="Arial" w:cs="Arial" w:eastAsia="Arial" w:hAnsi="Arial"/>
          <w:sz w:val="24"/>
          <w:szCs w:val="24"/>
          <w:vertAlign w:val="superscript"/>
          <w:rtl w:val="0"/>
        </w:rPr>
        <w:t xml:space="preserve">11</w:t>
      </w:r>
      <w:r w:rsidDel="00000000" w:rsidR="00000000" w:rsidRPr="00000000">
        <w:rPr>
          <w:rFonts w:ascii="Arial" w:cs="Arial" w:eastAsia="Arial" w:hAnsi="Arial"/>
          <w:rtl w:val="0"/>
        </w:rPr>
        <w:t xml:space="preserve">.</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Fase 5: Audit e Validazione Esterna</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Prima di coinvolgere un ente terzo, la norma impone l'esecuzione di un audit interno, volto a individuare preventivamente eventuali falle (non conformità) nel sistema, seguito dal Riesame della Direzione in cui i vertici aziendali valutano le prestazioni del SGSI</w:t>
      </w:r>
      <w:r w:rsidDel="00000000" w:rsidR="00000000" w:rsidRPr="00000000">
        <w:rPr>
          <w:rFonts w:ascii="Arial" w:cs="Arial" w:eastAsia="Arial" w:hAnsi="Arial"/>
          <w:sz w:val="24"/>
          <w:szCs w:val="24"/>
          <w:vertAlign w:val="superscript"/>
          <w:rtl w:val="0"/>
        </w:rPr>
        <w:t xml:space="preserve">6</w:t>
      </w:r>
      <w:r w:rsidDel="00000000" w:rsidR="00000000" w:rsidRPr="00000000">
        <w:rPr>
          <w:rFonts w:ascii="Arial" w:cs="Arial" w:eastAsia="Arial" w:hAnsi="Arial"/>
          <w:rtl w:val="0"/>
        </w:rPr>
        <w:t xml:space="preserv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Infine, la startup ingaggia un Ente di Certificazione indipendente accreditato (come BSI, Bureau Veritas o DNV)</w:t>
      </w:r>
      <w:r w:rsidDel="00000000" w:rsidR="00000000" w:rsidRPr="00000000">
        <w:rPr>
          <w:rFonts w:ascii="Arial" w:cs="Arial" w:eastAsia="Arial" w:hAnsi="Arial"/>
          <w:sz w:val="24"/>
          <w:szCs w:val="24"/>
          <w:vertAlign w:val="superscript"/>
          <w:rtl w:val="0"/>
        </w:rPr>
        <w:t xml:space="preserve">12</w:t>
      </w:r>
      <w:r w:rsidDel="00000000" w:rsidR="00000000" w:rsidRPr="00000000">
        <w:rPr>
          <w:rFonts w:ascii="Arial" w:cs="Arial" w:eastAsia="Arial" w:hAnsi="Arial"/>
          <w:rtl w:val="0"/>
        </w:rPr>
        <w:t xml:space="preserve">. L'audit ufficiale si divide in due step: lo Stage 1 (Documentary Review), in cui l'auditor esamina la completezza formale delle policy e del SoA, e lo Stage 2 (Certification Audit), che prevede ispezioni sul campo, interviste ai dipendenti e analisi tecniche per attestare l'aderenza operativa alle policy</w:t>
      </w:r>
      <w:r w:rsidDel="00000000" w:rsidR="00000000" w:rsidRPr="00000000">
        <w:rPr>
          <w:rFonts w:ascii="Arial" w:cs="Arial" w:eastAsia="Arial" w:hAnsi="Arial"/>
          <w:sz w:val="24"/>
          <w:szCs w:val="24"/>
          <w:vertAlign w:val="superscript"/>
          <w:rtl w:val="0"/>
        </w:rPr>
        <w:t xml:space="preserve">7</w:t>
      </w:r>
      <w:r w:rsidDel="00000000" w:rsidR="00000000" w:rsidRPr="00000000">
        <w:rPr>
          <w:rFonts w:ascii="Arial" w:cs="Arial" w:eastAsia="Arial" w:hAnsi="Arial"/>
          <w:rtl w:val="0"/>
        </w:rPr>
        <w:t xml:space="preserve">. Il superamento di entrambi gli stadi porta all'emissione del certificato, valido per un triennio, vincolato all'esecuzione di audit di sorveglianza annuali</w:t>
      </w:r>
      <w:r w:rsidDel="00000000" w:rsidR="00000000" w:rsidRPr="00000000">
        <w:rPr>
          <w:rFonts w:ascii="Arial" w:cs="Arial" w:eastAsia="Arial" w:hAnsi="Arial"/>
          <w:sz w:val="24"/>
          <w:szCs w:val="24"/>
          <w:vertAlign w:val="superscript"/>
          <w:rtl w:val="0"/>
        </w:rPr>
        <w:t xml:space="preserve">7</w:t>
      </w:r>
      <w:r w:rsidDel="00000000" w:rsidR="00000000" w:rsidRPr="00000000">
        <w:rPr>
          <w:rFonts w:ascii="Arial" w:cs="Arial" w:eastAsia="Arial" w:hAnsi="Arial"/>
          <w:rtl w:val="0"/>
        </w:rPr>
        <w:t xml:space="preserve">.</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4. Implicazioni Legali Avanzate per Startup Tecnologiche (AI, Video Analytics, Biometria)</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Un aspetto critico e spesso sottovalutato nei preventivi di compliance è l'imponente mole di lavoro legale specializzato necessario prima ancora di poter iniziare l'iter di certificazione ISO 27701 o ISDP 10003. Se l'infrastruttura di base (ISO 27001) verifica la tenuta informatica, le norme sulla privacy richiedono la dimostrazione inoppugnabile della liceità del trattamento, un ostacolo particolarmente arduo per le startup che sviluppano modelli di Intelligenza Artificiale, algoritmi di riconoscimento facciale o analisi video per il settore retail. Superare un audit per una certificazione privacy in questi settori richiede la produzione di documentazione legale complessa, fondata sulla giurisprudenza europea più recente.</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4.1 La Sfida del Legittimo Interesse e le Sentenze della CGUE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L'elaborazione di dati senza il consenso esplicito degli interessati è frequente nei modelli operativi B2B o nelle tecnologie di monitoraggio. In questi casi, la base giuridica prevalente è il "Legittimo Interesse" (Art. 6(1)(f) GDPR)</w:t>
      </w:r>
      <w:r w:rsidDel="00000000" w:rsidR="00000000" w:rsidRPr="00000000">
        <w:rPr>
          <w:rFonts w:ascii="Arial" w:cs="Arial" w:eastAsia="Arial" w:hAnsi="Arial"/>
          <w:sz w:val="24"/>
          <w:szCs w:val="24"/>
          <w:vertAlign w:val="superscript"/>
          <w:rtl w:val="0"/>
        </w:rPr>
        <w:t xml:space="preserve">13</w:t>
      </w:r>
      <w:r w:rsidDel="00000000" w:rsidR="00000000" w:rsidRPr="00000000">
        <w:rPr>
          <w:rFonts w:ascii="Arial" w:cs="Arial" w:eastAsia="Arial" w:hAnsi="Arial"/>
          <w:rtl w:val="0"/>
        </w:rPr>
        <w:t xml:space="preserve">. Fino a tempi recenti, vi era incertezza sulla validità di interessi puramente commerciali. La svolta è giunta nell'ottobre 2024 con la sentenza della Corte di Giustizia dell'Unione Europea (CGUE) nel caso C-621/22, la quale ha sancito che un interesse esclusivamente commerciale può legittimamente costituire una base per il trattamento, a patto che non sia in contrasto con la legge</w:t>
      </w:r>
      <w:r w:rsidDel="00000000" w:rsidR="00000000" w:rsidRPr="00000000">
        <w:rPr>
          <w:rFonts w:ascii="Arial" w:cs="Arial" w:eastAsia="Arial" w:hAnsi="Arial"/>
          <w:sz w:val="24"/>
          <w:szCs w:val="24"/>
          <w:vertAlign w:val="superscript"/>
          <w:rtl w:val="0"/>
        </w:rPr>
        <w:t xml:space="preserve">16</w:t>
      </w:r>
      <w:r w:rsidDel="00000000" w:rsidR="00000000" w:rsidRPr="00000000">
        <w:rPr>
          <w:rFonts w:ascii="Arial" w:cs="Arial" w:eastAsia="Arial" w:hAnsi="Arial"/>
          <w:rtl w:val="0"/>
        </w:rPr>
        <w:t xml:space="preserv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Questa pronuncia è stata immediatamente recepita dalle Linee Guida 1/2024 del Comitato Europeo per la Protezione dei Dati (EDPB), le quali, pur confermando l'apertura, hanno innalzato il rigore documentale richiesto</w:t>
      </w:r>
      <w:r w:rsidDel="00000000" w:rsidR="00000000" w:rsidRPr="00000000">
        <w:rPr>
          <w:rFonts w:ascii="Arial" w:cs="Arial" w:eastAsia="Arial" w:hAnsi="Arial"/>
          <w:sz w:val="24"/>
          <w:szCs w:val="24"/>
          <w:vertAlign w:val="superscript"/>
          <w:rtl w:val="0"/>
        </w:rPr>
        <w:t xml:space="preserve">15</w:t>
      </w:r>
      <w:r w:rsidDel="00000000" w:rsidR="00000000" w:rsidRPr="00000000">
        <w:rPr>
          <w:rFonts w:ascii="Arial" w:cs="Arial" w:eastAsia="Arial" w:hAnsi="Arial"/>
          <w:rtl w:val="0"/>
        </w:rPr>
        <w:t xml:space="preserve">. Per poter superare un audit ISO 27701 basato sul legittimo interesse, la startup deve finanziare la redazione legale di un rigoroso Legitimate Interest Assessment (LIA), strutturato in tre fasi cumulative:</w:t>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Test dello Scopo:</w:t>
      </w:r>
      <w:r w:rsidDel="00000000" w:rsidR="00000000" w:rsidRPr="00000000">
        <w:rPr>
          <w:rFonts w:ascii="Arial" w:cs="Arial" w:eastAsia="Arial" w:hAnsi="Arial"/>
          <w:rtl w:val="0"/>
        </w:rPr>
        <w:t xml:space="preserve"> L'interesse deve essere reale, specifico, attuale e lecito, rigettando giustificazioni generiche come "miglioramento del servizio"</w:t>
      </w:r>
      <w:r w:rsidDel="00000000" w:rsidR="00000000" w:rsidRPr="00000000">
        <w:rPr>
          <w:rFonts w:ascii="Arial" w:cs="Arial" w:eastAsia="Arial" w:hAnsi="Arial"/>
          <w:sz w:val="24"/>
          <w:szCs w:val="24"/>
          <w:vertAlign w:val="superscript"/>
          <w:rtl w:val="0"/>
        </w:rPr>
        <w:t xml:space="preserve">15</w:t>
      </w:r>
      <w:r w:rsidDel="00000000" w:rsidR="00000000" w:rsidRPr="00000000">
        <w:rPr>
          <w:rFonts w:ascii="Arial" w:cs="Arial" w:eastAsia="Arial" w:hAnsi="Arial"/>
          <w:rtl w:val="0"/>
        </w:rPr>
        <w:t xml:space="preserve">.</w:t>
      </w:r>
    </w:p>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Test di Necessità:</w:t>
      </w:r>
      <w:r w:rsidDel="00000000" w:rsidR="00000000" w:rsidRPr="00000000">
        <w:rPr>
          <w:rFonts w:ascii="Arial" w:cs="Arial" w:eastAsia="Arial" w:hAnsi="Arial"/>
          <w:rtl w:val="0"/>
        </w:rPr>
        <w:t xml:space="preserve"> Il titolare deve dimostrare, sotto il profilo legale e tecnico, che non esistono alternative ragionevoli o meno intrusive per il raggiungimento dello scopo commerciale</w:t>
      </w:r>
      <w:r w:rsidDel="00000000" w:rsidR="00000000" w:rsidRPr="00000000">
        <w:rPr>
          <w:rFonts w:ascii="Arial" w:cs="Arial" w:eastAsia="Arial" w:hAnsi="Arial"/>
          <w:sz w:val="24"/>
          <w:szCs w:val="24"/>
          <w:vertAlign w:val="superscript"/>
          <w:rtl w:val="0"/>
        </w:rPr>
        <w:t xml:space="preserve">15</w:t>
      </w:r>
      <w:r w:rsidDel="00000000" w:rsidR="00000000" w:rsidRPr="00000000">
        <w:rPr>
          <w:rFonts w:ascii="Arial" w:cs="Arial" w:eastAsia="Arial" w:hAnsi="Arial"/>
          <w:rtl w:val="0"/>
        </w:rPr>
        <w:t xml:space="preserve">.</w:t>
      </w:r>
    </w:p>
    <w:p w:rsidR="00000000" w:rsidDel="00000000" w:rsidP="00000000" w:rsidRDefault="00000000" w:rsidRPr="00000000" w14:paraId="0000002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Test di Bilanciamento:</w:t>
      </w:r>
      <w:r w:rsidDel="00000000" w:rsidR="00000000" w:rsidRPr="00000000">
        <w:rPr>
          <w:rFonts w:ascii="Arial" w:cs="Arial" w:eastAsia="Arial" w:hAnsi="Arial"/>
          <w:rtl w:val="0"/>
        </w:rPr>
        <w:t xml:space="preserve"> L'interesse dell'azienda deve essere ponderato contro le ragionevoli aspettative, i diritti e le libertà fondamentali degli interessati, analizzando l'impatto del trattamento e implementando misure mitigative rigorose</w:t>
      </w:r>
      <w:r w:rsidDel="00000000" w:rsidR="00000000" w:rsidRPr="00000000">
        <w:rPr>
          <w:rFonts w:ascii="Arial" w:cs="Arial" w:eastAsia="Arial" w:hAnsi="Arial"/>
          <w:sz w:val="24"/>
          <w:szCs w:val="24"/>
          <w:vertAlign w:val="superscript"/>
          <w:rtl w:val="0"/>
        </w:rPr>
        <w:t xml:space="preserve">15</w:t>
      </w:r>
      <w:r w:rsidDel="00000000" w:rsidR="00000000" w:rsidRPr="00000000">
        <w:rPr>
          <w:rFonts w:ascii="Arial" w:cs="Arial" w:eastAsia="Arial" w:hAnsi="Arial"/>
          <w:rtl w:val="0"/>
        </w:rPr>
        <w:t xml:space="preserve">.</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4.2 Analisi Video, Dati Biometrici e Valutazione di Impatto (DPIA)</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Le startup che offrono servizi di elaborazione video affrontano ostacoli legali ancora maggiori. Il Garante per la Protezione dei Dati Personali italiano ha stabilito l'obbligatorietà della Valutazione d'Impatto sulla Protezione dei Dati (DPIA) per i trattamenti che prevedono una sorveglianza sistematica su larga scala, specialmente qualora impieghino nuove tecnologie</w:t>
      </w:r>
      <w:r w:rsidDel="00000000" w:rsidR="00000000" w:rsidRPr="00000000">
        <w:rPr>
          <w:rFonts w:ascii="Arial" w:cs="Arial" w:eastAsia="Arial" w:hAnsi="Arial"/>
          <w:sz w:val="24"/>
          <w:szCs w:val="24"/>
          <w:vertAlign w:val="superscript"/>
          <w:rtl w:val="0"/>
        </w:rPr>
        <w:t xml:space="preserve">14</w:t>
      </w:r>
      <w:r w:rsidDel="00000000" w:rsidR="00000000" w:rsidRPr="00000000">
        <w:rPr>
          <w:rFonts w:ascii="Arial" w:cs="Arial" w:eastAsia="Arial" w:hAnsi="Arial"/>
          <w:rtl w:val="0"/>
        </w:rPr>
        <w:t xml:space="preserv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L'applicazione dell'analisi video (es. in contesti di smart city, retail analytics, o monitoraggio flotte) rientra nelle rigorose Linee Guida EDPB 3/2019. L'autorità europea sottolinea che le telecamere generano enormi volumi di dati personali (volti, andature, targhe) e aumentano i rischi di utilizzo secondario o improprio</w:t>
      </w:r>
      <w:r w:rsidDel="00000000" w:rsidR="00000000" w:rsidRPr="00000000">
        <w:rPr>
          <w:rFonts w:ascii="Arial" w:cs="Arial" w:eastAsia="Arial" w:hAnsi="Arial"/>
          <w:sz w:val="24"/>
          <w:szCs w:val="24"/>
          <w:vertAlign w:val="superscript"/>
          <w:rtl w:val="0"/>
        </w:rPr>
        <w:t xml:space="preserve">13</w:t>
      </w:r>
      <w:r w:rsidDel="00000000" w:rsidR="00000000" w:rsidRPr="00000000">
        <w:rPr>
          <w:rFonts w:ascii="Arial" w:cs="Arial" w:eastAsia="Arial" w:hAnsi="Arial"/>
          <w:rtl w:val="0"/>
        </w:rPr>
        <w:t xml:space="preserve">. Inoltre, laddove le immagini video vengano analizzate tramite algoritmi progettati per identificare in modo univoco una persona (tramite geometria facciale o analisi comportamentale complessa), il dato cessa di essere "personale" e diviene un "dato biometrico", rientrante nelle categorie particolari di cui all'Articolo 9 del GDPR</w:t>
      </w:r>
      <w:r w:rsidDel="00000000" w:rsidR="00000000" w:rsidRPr="00000000">
        <w:rPr>
          <w:rFonts w:ascii="Arial" w:cs="Arial" w:eastAsia="Arial" w:hAnsi="Arial"/>
          <w:sz w:val="24"/>
          <w:szCs w:val="24"/>
          <w:vertAlign w:val="superscript"/>
          <w:rtl w:val="0"/>
        </w:rPr>
        <w:t xml:space="preserve">13</w:t>
      </w:r>
      <w:r w:rsidDel="00000000" w:rsidR="00000000" w:rsidRPr="00000000">
        <w:rPr>
          <w:rFonts w:ascii="Arial" w:cs="Arial" w:eastAsia="Arial" w:hAnsi="Arial"/>
          <w:rtl w:val="0"/>
        </w:rPr>
        <w:t xml:space="preserv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Le Linee Guida EDPB 05/2022 sulle tecnologie di riconoscimento facciale ribadiscono che l'estrazione di template matematici per scopi di identificazione o autenticazione rappresenta una forte ingerenza nei diritti fondamentali e deve soggiacere a regole rigidissime, vietando di default la creazione indiscriminata di database e imponendo la trasparenza tramite approcci informativi a più livelli (cartellonistica preventiva e informativa estesa)</w:t>
      </w:r>
      <w:r w:rsidDel="00000000" w:rsidR="00000000" w:rsidRPr="00000000">
        <w:rPr>
          <w:rFonts w:ascii="Arial" w:cs="Arial" w:eastAsia="Arial" w:hAnsi="Arial"/>
          <w:sz w:val="24"/>
          <w:szCs w:val="24"/>
          <w:vertAlign w:val="superscript"/>
          <w:rtl w:val="0"/>
        </w:rPr>
        <w:t xml:space="preserve">24</w:t>
      </w:r>
      <w:r w:rsidDel="00000000" w:rsidR="00000000" w:rsidRPr="00000000">
        <w:rPr>
          <w:rFonts w:ascii="Arial" w:cs="Arial" w:eastAsia="Arial" w:hAnsi="Arial"/>
          <w:rtl w:val="0"/>
        </w:rPr>
        <w:t xml:space="preserve">. Pertanto, una startup attiva in queste tecnologie, prima di potersi certificare ISO 27701, deve dimostrare all'auditor di aver implementato tecniche di minimizzazione estreme. Un esempio accademico e industriale è l'utilizzo di metodologie di inferenza causale, reti avversarie generative (GANs) per l'offuscamento in tempo reale alla periferia della rete (edge computing), o l'uso di filtri di Bloom crittografati per eseguire il conteggio delle persone senza mantenere traccia dei loro dati biometrici identificativi (privacy-preserving video analytics)</w:t>
      </w:r>
      <w:r w:rsidDel="00000000" w:rsidR="00000000" w:rsidRPr="00000000">
        <w:rPr>
          <w:rFonts w:ascii="Arial" w:cs="Arial" w:eastAsia="Arial" w:hAnsi="Arial"/>
          <w:sz w:val="24"/>
          <w:szCs w:val="24"/>
          <w:vertAlign w:val="superscript"/>
          <w:rtl w:val="0"/>
        </w:rPr>
        <w:t xml:space="preserve">29</w:t>
      </w:r>
      <w:r w:rsidDel="00000000" w:rsidR="00000000" w:rsidRPr="00000000">
        <w:rPr>
          <w:rFonts w:ascii="Arial" w:cs="Arial" w:eastAsia="Arial" w:hAnsi="Arial"/>
          <w:rtl w:val="0"/>
        </w:rPr>
        <w:t xml:space="preserve">.</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4.3 Videosorveglianza nei Luoghi di Lavoro: Articolo 4 dello Statuto dei Lavoratori</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Per le startup che installano telecamere nei propri uffici, o che vendono sistemi di telecamere ad altre aziende in Italia, vi è un ulteriore livello di conformità che impatta direttamente sui costi legali: l'Articolo 4 della Legge 300/1970 (Statuto dei Lavoratori)</w:t>
      </w:r>
      <w:r w:rsidDel="00000000" w:rsidR="00000000" w:rsidRPr="00000000">
        <w:rPr>
          <w:rFonts w:ascii="Arial" w:cs="Arial" w:eastAsia="Arial" w:hAnsi="Arial"/>
          <w:sz w:val="24"/>
          <w:szCs w:val="24"/>
          <w:vertAlign w:val="superscript"/>
          <w:rtl w:val="0"/>
        </w:rPr>
        <w:t xml:space="preserve">14</w:t>
      </w:r>
      <w:r w:rsidDel="00000000" w:rsidR="00000000" w:rsidRPr="00000000">
        <w:rPr>
          <w:rFonts w:ascii="Arial" w:cs="Arial" w:eastAsia="Arial" w:hAnsi="Arial"/>
          <w:rtl w:val="0"/>
        </w:rPr>
        <w:t xml:space="preserv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La norma vieta categoricamente l'installazione di impianti audiovisivi per il controllo a distanza della prestazione lavorativa</w:t>
      </w:r>
      <w:r w:rsidDel="00000000" w:rsidR="00000000" w:rsidRPr="00000000">
        <w:rPr>
          <w:rFonts w:ascii="Arial" w:cs="Arial" w:eastAsia="Arial" w:hAnsi="Arial"/>
          <w:sz w:val="24"/>
          <w:szCs w:val="24"/>
          <w:vertAlign w:val="superscript"/>
          <w:rtl w:val="0"/>
        </w:rPr>
        <w:t xml:space="preserve">34</w:t>
      </w:r>
      <w:r w:rsidDel="00000000" w:rsidR="00000000" w:rsidRPr="00000000">
        <w:rPr>
          <w:rFonts w:ascii="Arial" w:cs="Arial" w:eastAsia="Arial" w:hAnsi="Arial"/>
          <w:rtl w:val="0"/>
        </w:rPr>
        <w:t xml:space="preserve">. L'installazione è consentita esclusivamente per esigenze organizzative, di sicurezza del lavoro o per la tutela del patrimonio aziendale, e in ogni caso richiede obbligatoriamente un accordo preventivo con le rappresentanze sindacali (RSA/RSU)</w:t>
      </w:r>
      <w:r w:rsidDel="00000000" w:rsidR="00000000" w:rsidRPr="00000000">
        <w:rPr>
          <w:rFonts w:ascii="Arial" w:cs="Arial" w:eastAsia="Arial" w:hAnsi="Arial"/>
          <w:sz w:val="24"/>
          <w:szCs w:val="24"/>
          <w:vertAlign w:val="superscript"/>
          <w:rtl w:val="0"/>
        </w:rPr>
        <w:t xml:space="preserve">14</w:t>
      </w:r>
      <w:r w:rsidDel="00000000" w:rsidR="00000000" w:rsidRPr="00000000">
        <w:rPr>
          <w:rFonts w:ascii="Arial" w:cs="Arial" w:eastAsia="Arial" w:hAnsi="Arial"/>
          <w:rtl w:val="0"/>
        </w:rPr>
        <w:t xml:space="preserve">. In assenza di sindacati, l'azienda deve presentare un'istanza formale di autorizzazione all'Ispettorato Nazionale del Lavoro (INL)</w:t>
      </w:r>
      <w:r w:rsidDel="00000000" w:rsidR="00000000" w:rsidRPr="00000000">
        <w:rPr>
          <w:rFonts w:ascii="Arial" w:cs="Arial" w:eastAsia="Arial" w:hAnsi="Arial"/>
          <w:sz w:val="24"/>
          <w:szCs w:val="24"/>
          <w:vertAlign w:val="superscript"/>
          <w:rtl w:val="0"/>
        </w:rPr>
        <w:t xml:space="preserve">14</w:t>
      </w:r>
      <w:r w:rsidDel="00000000" w:rsidR="00000000" w:rsidRPr="00000000">
        <w:rPr>
          <w:rFonts w:ascii="Arial" w:cs="Arial" w:eastAsia="Arial" w:hAnsi="Arial"/>
          <w:rtl w:val="0"/>
        </w:rPr>
        <w:t xml:space="preserve">. Un elemento di semplificazione recente, indicato nella Nota INL 4757/2025, permette alle aziende con più unità produttive situate sotto la stessa giurisdizione territoriale di presentare un'unica richiesta, abbassando i costi operativi della pratica</w:t>
      </w:r>
      <w:r w:rsidDel="00000000" w:rsidR="00000000" w:rsidRPr="00000000">
        <w:rPr>
          <w:rFonts w:ascii="Arial" w:cs="Arial" w:eastAsia="Arial" w:hAnsi="Arial"/>
          <w:sz w:val="24"/>
          <w:szCs w:val="24"/>
          <w:vertAlign w:val="superscript"/>
          <w:rtl w:val="0"/>
        </w:rPr>
        <w:t xml:space="preserve">35</w:t>
      </w:r>
      <w:r w:rsidDel="00000000" w:rsidR="00000000" w:rsidRPr="00000000">
        <w:rPr>
          <w:rFonts w:ascii="Arial" w:cs="Arial" w:eastAsia="Arial" w:hAnsi="Arial"/>
          <w:rtl w:val="0"/>
        </w:rPr>
        <w:t xml:space="preserv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Si sottolinea che la violazione dell'Art. 4 configura un reato penale, punibile con l'ammenda (fino a 1.549 euro, incrementabile dal giudice in base alla gravità) o con l'arresto da 15 giorni a 1 anno, comportando inoltre il blocco e l'inutilizzabilità delle registrazioni, a condizione che vi siano lavoratori subordinati operanti nei locali monitorati</w:t>
      </w:r>
      <w:r w:rsidDel="00000000" w:rsidR="00000000" w:rsidRPr="00000000">
        <w:rPr>
          <w:rFonts w:ascii="Arial" w:cs="Arial" w:eastAsia="Arial" w:hAnsi="Arial"/>
          <w:sz w:val="24"/>
          <w:szCs w:val="24"/>
          <w:vertAlign w:val="superscript"/>
          <w:rtl w:val="0"/>
        </w:rPr>
        <w:t xml:space="preserve">14</w:t>
      </w:r>
      <w:r w:rsidDel="00000000" w:rsidR="00000000" w:rsidRPr="00000000">
        <w:rPr>
          <w:rFonts w:ascii="Arial" w:cs="Arial" w:eastAsia="Arial" w:hAnsi="Arial"/>
          <w:rtl w:val="0"/>
        </w:rPr>
        <w:t xml:space="preserve">. A livello europeo, la delicata questione del bilanciamento tra tutela del patrimonio tramite telecamere nascoste e diritto alla privacy dei dipendenti è stata esaminata dalla Corte Europea dei Diritti dell'Uomo (CEDU) nella storica sentenza </w:t>
      </w:r>
      <w:r w:rsidDel="00000000" w:rsidR="00000000" w:rsidRPr="00000000">
        <w:rPr>
          <w:rFonts w:ascii="Arial" w:cs="Arial" w:eastAsia="Arial" w:hAnsi="Arial"/>
          <w:i w:val="1"/>
          <w:iCs w:val="1"/>
          <w:rtl w:val="0"/>
        </w:rPr>
        <w:t xml:space="preserve">López Ribalda and Others v. Spain</w:t>
      </w:r>
      <w:r w:rsidDel="00000000" w:rsidR="00000000" w:rsidRPr="00000000">
        <w:rPr>
          <w:rFonts w:ascii="Arial" w:cs="Arial" w:eastAsia="Arial" w:hAnsi="Arial"/>
          <w:sz w:val="24"/>
          <w:szCs w:val="24"/>
          <w:vertAlign w:val="superscript"/>
          <w:rtl w:val="0"/>
        </w:rPr>
        <w:t xml:space="preserve">39</w:t>
      </w:r>
      <w:r w:rsidDel="00000000" w:rsidR="00000000" w:rsidRPr="00000000">
        <w:rPr>
          <w:rFonts w:ascii="Arial" w:cs="Arial" w:eastAsia="Arial" w:hAnsi="Arial"/>
          <w:rtl w:val="0"/>
        </w:rPr>
        <w:t xml:space="preserve">. La Grande Camera ha stabilito che, in presenza di fondati sospetti di furti gravi che minacciano la sopravvivenza aziendale, l'impiego temporaneo e proporzionato di videosorveglianza occulta può non costituire una violazione dell'Articolo 8 della Convenzione, fornendo un fondamentale orientamento giurisprudenziale sul bilanciamento dei diritti</w:t>
      </w:r>
      <w:r w:rsidDel="00000000" w:rsidR="00000000" w:rsidRPr="00000000">
        <w:rPr>
          <w:rFonts w:ascii="Arial" w:cs="Arial" w:eastAsia="Arial" w:hAnsi="Arial"/>
          <w:sz w:val="24"/>
          <w:szCs w:val="24"/>
          <w:vertAlign w:val="superscript"/>
          <w:rtl w:val="0"/>
        </w:rPr>
        <w:t xml:space="preserve">41</w:t>
      </w:r>
      <w:r w:rsidDel="00000000" w:rsidR="00000000" w:rsidRPr="00000000">
        <w:rPr>
          <w:rFonts w:ascii="Arial" w:cs="Arial" w:eastAsia="Arial" w:hAnsi="Arial"/>
          <w:rtl w:val="0"/>
        </w:rPr>
        <w:t xml:space="preserve">. Redigere l'istanza all'INL e le informative al personale richiede competenze giuslavoristiche specializzate, rappresentando un costo consulenziale irrinunciabile per la certificazione del sistema.</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4.4 Conformità all'Artificial Intelligence Act (AI Act)</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L'introduzione del Regolamento (UE) 2024/1689 (AI Act) ha imposto un cambio di paradigma. Se la startup sviluppa o integra sistemi di intelligenza artificiale, la classificazione del rischio del modello diviene il fondamento di qualsiasi accreditamento di sicurezza.</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L'Articolo 5 dell'AI Act delinea le pratiche di intelligenza artificiale categoricamente proibite. È vietato, ad esempio, immettere sul mercato sistemi che utilizzino tecniche subliminali, che sfruttino le vulnerabilità di specifici gruppi sociali, o sistemi di valutazione sociale (social scoring) basati sul comportamento</w:t>
      </w:r>
      <w:r w:rsidDel="00000000" w:rsidR="00000000" w:rsidRPr="00000000">
        <w:rPr>
          <w:rFonts w:ascii="Arial" w:cs="Arial" w:eastAsia="Arial" w:hAnsi="Arial"/>
          <w:sz w:val="24"/>
          <w:szCs w:val="24"/>
          <w:vertAlign w:val="superscript"/>
          <w:rtl w:val="0"/>
        </w:rPr>
        <w:t xml:space="preserve">45</w:t>
      </w:r>
      <w:r w:rsidDel="00000000" w:rsidR="00000000" w:rsidRPr="00000000">
        <w:rPr>
          <w:rFonts w:ascii="Arial" w:cs="Arial" w:eastAsia="Arial" w:hAnsi="Arial"/>
          <w:rtl w:val="0"/>
        </w:rPr>
        <w:t xml:space="preserve">. Un divieto cruciale, con implicazioni dirette sul mondo del lavoro e dell'istruzione, è quello relativo ai sistemi di intelligenza artificiale progettati per inferire le emozioni delle persone nei luoghi di lavoro e negli istituti di istruzione, ad eccezione dei casi in cui l'uso sia strettamente legato a finalità mediche o di sicurezza intrinseca</w:t>
      </w:r>
      <w:r w:rsidDel="00000000" w:rsidR="00000000" w:rsidRPr="00000000">
        <w:rPr>
          <w:rFonts w:ascii="Arial" w:cs="Arial" w:eastAsia="Arial" w:hAnsi="Arial"/>
          <w:sz w:val="24"/>
          <w:szCs w:val="24"/>
          <w:vertAlign w:val="superscript"/>
          <w:rtl w:val="0"/>
        </w:rPr>
        <w:t xml:space="preserve">3</w:t>
      </w:r>
      <w:r w:rsidDel="00000000" w:rsidR="00000000" w:rsidRPr="00000000">
        <w:rPr>
          <w:rFonts w:ascii="Arial" w:cs="Arial" w:eastAsia="Arial" w:hAnsi="Arial"/>
          <w:rtl w:val="0"/>
        </w:rPr>
        <w:t xml:space="preserv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Se il sistema non è proibito, la startup deve valutare, ai sensi dell'Articolo 6 e dell'Allegato III, se il software sia classificabile come "ad alto rischio". I sistemi impiegati in infrastrutture critiche, nell'amministrazione della giustizia, nella selezione del personale o nell'elaborazione di dati biometrici per l'identificazione remota o la categorizzazione in base a tratti sensibili, rientrano di default nel livello ad alto rischio, imponendo obblighi stringenti di robustezza, documentazione tecnica, tracciabilità e supervisione umana</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Esiste, tuttavia, una stretta deroga. L'Articolo 6, paragrafo 3, stabilisce che un sistema elencato nell'Allegato III può sfuggire alla classificazione di alto rischio se non pone un rischio significativo per i diritti fondamentali o la sicurezza</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Le condizioni per invocare questa deroga sono restrittive: il sistema deve eseguire solo un "compito preparatorio" (preparatory task) rispetto alla decisione finale, o rilevare pattern decisionali senza sostituirsi all'analisi umana</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Tale eccezione decade istantaneamente (sovrascrittura della deroga) se il sistema esegue un'attività di "profilazione" (profiling) delle persone fisiche; in tal caso, il sistema è sempre considerato ad alto rischio indipendentemente dal suo carattere preparatorio</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Preparare questa valutazione di conformità richiede uno sforzo legale enorme, poiché l'onere della prova per rivendicare un'esenzione ai sensi dell'Art. 6(3) ricade interamente sull'azienda sviluppatrice</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w:t>
      </w:r>
    </w:p>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5. Struttura dei Costi Operativi, Tecnici e di Consulenza Legale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Determinare con precisione l'investimento necessario per l'ottenimento di queste certificazioni e delle relative adempienze legali richiede la scomposizione dei costi in diverse voci fondamentali. Si delineano costi una tantum per l'implementazione del primo anno e costi ricorrenti per il mantenimento del ciclo triennale di validità del certificato.</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I dati del mercato italiano aggiornati al 2026 indicano le seguenti proiezioni per le startup, suddivise in base alla classe dimensionale e al numero di dipendenti</w:t>
      </w:r>
      <w:r w:rsidDel="00000000" w:rsidR="00000000" w:rsidRPr="00000000">
        <w:rPr>
          <w:rFonts w:ascii="Arial" w:cs="Arial" w:eastAsia="Arial" w:hAnsi="Arial"/>
          <w:sz w:val="24"/>
          <w:szCs w:val="24"/>
          <w:vertAlign w:val="superscript"/>
          <w:rtl w:val="0"/>
        </w:rPr>
        <w:t xml:space="preserve">7</w:t>
      </w:r>
      <w:r w:rsidDel="00000000" w:rsidR="00000000" w:rsidRPr="00000000">
        <w:rPr>
          <w:rFonts w:ascii="Arial" w:cs="Arial" w:eastAsia="Arial" w:hAnsi="Arial"/>
          <w:rtl w:val="0"/>
        </w:rPr>
        <w:t xml:space="preserve">.</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5.1 Investimento del Primo Anno (Implementazione e Certificazione)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L'investimento iniziale si compone di oneri consulenziali, investimenti tecnologici e tariffe pagate all'Ente di Certificazione indipendente.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Voce di Costo (Primo Anno)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Startup Micro (&lt;20 dip.)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Startup Piccola (20-50 dip.)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Note sulla Voce di Spesa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Consulenza Implementazione (ISMS)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3.000 € – 8.000 €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8.000 € – 18.000 €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Comprende la redazione documentale, la Gap Analysis, il Risk Assessment metodologico e la formazione base</w:t>
            </w:r>
            <w:r w:rsidDel="00000000" w:rsidR="00000000" w:rsidRPr="00000000">
              <w:rPr>
                <w:rFonts w:ascii="Arial" w:cs="Arial" w:eastAsia="Arial" w:hAnsi="Arial"/>
                <w:sz w:val="24"/>
                <w:szCs w:val="24"/>
                <w:vertAlign w:val="superscript"/>
                <w:rtl w:val="0"/>
              </w:rPr>
              <w:t xml:space="preserve">7</w:t>
            </w:r>
            <w:r w:rsidDel="00000000" w:rsidR="00000000" w:rsidRPr="00000000">
              <w:rPr>
                <w:rFonts w:ascii="Arial" w:cs="Arial" w:eastAsia="Arial" w:hAnsi="Arial"/>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Consulenza Legale Specializzata (DPIA, LIA, INL, AI Act)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2.500 € – 6.000 €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5.000 € – 12.000 €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Costo essenziale per redigere le istanze di autorizzazione all'Ispettorato del Lavoro, le Valutazioni di Impatto Privacy, i test di bilanciamento per il Legittimo Interesse e le classificazioni di rischio AI, propedeutici alla ISO 27701 e ISDP 10003.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Audit di Certificazione (Ente Terzo)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2.500 € – 5.000 €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5.000 € – 12.000 €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Compenso pagato direttamente agli ispettori dell'Ente accreditato Accredia/IAF (Stage 1 e Stage 2)</w:t>
            </w:r>
            <w:r w:rsidDel="00000000" w:rsidR="00000000" w:rsidRPr="00000000">
              <w:rPr>
                <w:rFonts w:ascii="Arial" w:cs="Arial" w:eastAsia="Arial" w:hAnsi="Arial"/>
                <w:sz w:val="24"/>
                <w:szCs w:val="24"/>
                <w:vertAlign w:val="superscript"/>
                <w:rtl w:val="0"/>
              </w:rPr>
              <w:t xml:space="preserve">12</w:t>
            </w:r>
            <w:r w:rsidDel="00000000" w:rsidR="00000000" w:rsidRPr="00000000">
              <w:rPr>
                <w:rFonts w:ascii="Arial" w:cs="Arial" w:eastAsia="Arial" w:hAnsi="Arial"/>
                <w:rtl w:val="0"/>
              </w:rPr>
              <w:t xml:space="preserve">. L'acquisto del testo normativo ufficiale costa 65 €</w:t>
            </w:r>
            <w:r w:rsidDel="00000000" w:rsidR="00000000" w:rsidRPr="00000000">
              <w:rPr>
                <w:rFonts w:ascii="Arial" w:cs="Arial" w:eastAsia="Arial" w:hAnsi="Arial"/>
                <w:sz w:val="24"/>
                <w:szCs w:val="24"/>
                <w:vertAlign w:val="superscript"/>
                <w:rtl w:val="0"/>
              </w:rPr>
              <w:t xml:space="preserve">54</w:t>
            </w:r>
            <w:r w:rsidDel="00000000" w:rsidR="00000000" w:rsidRPr="00000000">
              <w:rPr>
                <w:rFonts w:ascii="Arial" w:cs="Arial" w:eastAsia="Arial" w:hAnsi="Arial"/>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Strumenti Tecnici (Software e Sicurezza)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1.000 € – 3.000 €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2.000 € – 6.000 €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Licenze per piattaforme GRC, sistemi SIEM, Vulnerability Scanners, soluzioni MDM (Mobile Device Management) e sistemi di backup distribuiti e crittografati</w:t>
            </w:r>
            <w:r w:rsidDel="00000000" w:rsidR="00000000" w:rsidRPr="00000000">
              <w:rPr>
                <w:rFonts w:ascii="Arial" w:cs="Arial" w:eastAsia="Arial" w:hAnsi="Arial"/>
                <w:sz w:val="24"/>
                <w:szCs w:val="24"/>
                <w:vertAlign w:val="superscript"/>
                <w:rtl w:val="0"/>
              </w:rPr>
              <w:t xml:space="preserve">12</w:t>
            </w:r>
            <w:r w:rsidDel="00000000" w:rsidR="00000000" w:rsidRPr="00000000">
              <w:rPr>
                <w:rFonts w:ascii="Arial" w:cs="Arial" w:eastAsia="Arial" w:hAnsi="Arial"/>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Formazione Avanzata del Personale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500 € – 1.500 €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1.000 € – 3.000 €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Licenze per piattaforme di security awareness, test anti-phishing simulati</w:t>
            </w:r>
            <w:r w:rsidDel="00000000" w:rsidR="00000000" w:rsidRPr="00000000">
              <w:rPr>
                <w:rFonts w:ascii="Arial" w:cs="Arial" w:eastAsia="Arial" w:hAnsi="Arial"/>
                <w:sz w:val="24"/>
                <w:szCs w:val="24"/>
                <w:vertAlign w:val="superscript"/>
                <w:rtl w:val="0"/>
              </w:rPr>
              <w:t xml:space="preserve">7</w:t>
            </w:r>
            <w:r w:rsidDel="00000000" w:rsidR="00000000" w:rsidRPr="00000000">
              <w:rPr>
                <w:rFonts w:ascii="Arial" w:cs="Arial" w:eastAsia="Arial" w:hAnsi="Arial"/>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Totale Stimato (Primo Anno)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9.500 € – 23.500 €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21.000 € – 51.000 €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i w:val="1"/>
                <w:iCs w:val="1"/>
                <w:rtl w:val="0"/>
              </w:rPr>
              <w:t xml:space="preserve">Il totale oscilla fortemente in base al debito tecnico e legale preesistente dell'azienda</w:t>
            </w:r>
            <w:r w:rsidDel="00000000" w:rsidR="00000000" w:rsidRPr="00000000">
              <w:rPr>
                <w:rFonts w:ascii="Arial" w:cs="Arial" w:eastAsia="Arial" w:hAnsi="Arial"/>
                <w:sz w:val="24"/>
                <w:szCs w:val="24"/>
                <w:vertAlign w:val="superscript"/>
                <w:rtl w:val="0"/>
              </w:rPr>
              <w:t xml:space="preserve">7</w:t>
            </w:r>
            <w:r w:rsidDel="00000000" w:rsidR="00000000" w:rsidRPr="00000000">
              <w:rPr>
                <w:rFonts w:ascii="Arial" w:cs="Arial" w:eastAsia="Arial" w:hAnsi="Arial"/>
                <w:rtl w:val="0"/>
              </w:rPr>
              <w:t xml:space="preserve">.</w:t>
            </w:r>
          </w:p>
        </w:tc>
      </w:tr>
    </w:tbl>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Il mercato offre approcci consulenziali fortemente diversificati:</w:t>
      </w:r>
    </w:p>
    <w:p w:rsidR="00000000" w:rsidDel="00000000" w:rsidP="00000000" w:rsidRDefault="00000000" w:rsidRPr="00000000" w14:paraId="0000005C">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Il "Kit Fai-Da-Te" (200 € – 300 €):</w:t>
      </w:r>
      <w:r w:rsidDel="00000000" w:rsidR="00000000" w:rsidRPr="00000000">
        <w:rPr>
          <w:rFonts w:ascii="Arial" w:cs="Arial" w:eastAsia="Arial" w:hAnsi="Arial"/>
          <w:rtl w:val="0"/>
        </w:rPr>
        <w:t xml:space="preserve"> Consiste nell'acquisto di pacchetti di file Word/Excel precompilati online. Pur azzerando i costi consulenziali, trasferisce tutto l'onere e il rischio sul team interno. La probabilità di fallire l'audit per disallineamento tra la documentazione teorica e i processi reali è altissima</w:t>
      </w:r>
      <w:r w:rsidDel="00000000" w:rsidR="00000000" w:rsidRPr="00000000">
        <w:rPr>
          <w:rFonts w:ascii="Arial" w:cs="Arial" w:eastAsia="Arial" w:hAnsi="Arial"/>
          <w:sz w:val="24"/>
          <w:szCs w:val="24"/>
          <w:vertAlign w:val="superscript"/>
          <w:rtl w:val="0"/>
        </w:rPr>
        <w:t xml:space="preserve">53</w:t>
      </w:r>
      <w:r w:rsidDel="00000000" w:rsidR="00000000" w:rsidRPr="00000000">
        <w:rPr>
          <w:rFonts w:ascii="Arial" w:cs="Arial" w:eastAsia="Arial" w:hAnsi="Arial"/>
          <w:rtl w:val="0"/>
        </w:rPr>
        <w:t xml:space="preserve">.</w:t>
      </w:r>
    </w:p>
    <w:p w:rsidR="00000000" w:rsidDel="00000000" w:rsidP="00000000" w:rsidRDefault="00000000" w:rsidRPr="00000000" w14:paraId="0000005D">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Consulenza Preimpostata "Ibrida" (da 600 € in su):</w:t>
      </w:r>
      <w:r w:rsidDel="00000000" w:rsidR="00000000" w:rsidRPr="00000000">
        <w:rPr>
          <w:rFonts w:ascii="Arial" w:cs="Arial" w:eastAsia="Arial" w:hAnsi="Arial"/>
          <w:rtl w:val="0"/>
        </w:rPr>
        <w:t xml:space="preserve"> Alcuni operatori offrono sistemi preimpostati, affiancando la startup per l'inserimento dei dati essenziali e limitando l'intervento umano. Rappresenta un compromesso, ma è sconsigliato per organizzazioni con modelli di business complessi legati al trattamento dati sensibili</w:t>
      </w:r>
      <w:r w:rsidDel="00000000" w:rsidR="00000000" w:rsidRPr="00000000">
        <w:rPr>
          <w:rFonts w:ascii="Arial" w:cs="Arial" w:eastAsia="Arial" w:hAnsi="Arial"/>
          <w:sz w:val="24"/>
          <w:szCs w:val="24"/>
          <w:vertAlign w:val="superscript"/>
          <w:rtl w:val="0"/>
        </w:rPr>
        <w:t xml:space="preserve">53</w:t>
      </w:r>
      <w:r w:rsidDel="00000000" w:rsidR="00000000" w:rsidRPr="00000000">
        <w:rPr>
          <w:rFonts w:ascii="Arial" w:cs="Arial" w:eastAsia="Arial" w:hAnsi="Arial"/>
          <w:rtl w:val="0"/>
        </w:rPr>
        <w:t xml:space="preserve">.</w:t>
      </w:r>
    </w:p>
    <w:p w:rsidR="00000000" w:rsidDel="00000000" w:rsidP="00000000" w:rsidRDefault="00000000" w:rsidRPr="00000000" w14:paraId="0000005E">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Automazione tramite Piattaforme SaaS:</w:t>
      </w:r>
      <w:r w:rsidDel="00000000" w:rsidR="00000000" w:rsidRPr="00000000">
        <w:rPr>
          <w:rFonts w:ascii="Arial" w:cs="Arial" w:eastAsia="Arial" w:hAnsi="Arial"/>
          <w:rtl w:val="0"/>
        </w:rPr>
        <w:t xml:space="preserve"> Per le startup strutturate su architetture cloud, l'impiego di piattaforme GRC (Governance, Risk, and Compliance) come Vanta, Drata o Secureframe è divenuto uno standard de facto. Queste piattaforme si integrano tramite API ai fornitori cloud (AWS, Azure), ai repository di codice (GitHub) e ai sistemi HR, automatizzando la raccolta continua delle evidenze di sicurezza. I costi di licenza variano da 1.200 € a 5.000 € annui, ai quali va comunque sommata la spesa per l'auditor esterno</w:t>
      </w:r>
      <w:r w:rsidDel="00000000" w:rsidR="00000000" w:rsidRPr="00000000">
        <w:rPr>
          <w:rFonts w:ascii="Arial" w:cs="Arial" w:eastAsia="Arial" w:hAnsi="Arial"/>
          <w:sz w:val="24"/>
          <w:szCs w:val="24"/>
          <w:vertAlign w:val="superscript"/>
          <w:rtl w:val="0"/>
        </w:rPr>
        <w:t xml:space="preserve">12</w:t>
      </w:r>
      <w:r w:rsidDel="00000000" w:rsidR="00000000" w:rsidRPr="00000000">
        <w:rPr>
          <w:rFonts w:ascii="Arial" w:cs="Arial" w:eastAsia="Arial" w:hAnsi="Arial"/>
          <w:rtl w:val="0"/>
        </w:rPr>
        <w:t xml:space="preserve">.</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5.2 Ciclo Triennale e Costi di Mantenimento (Opex)</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Una criticità frequente nella pianificazione finanziaria (business plan) delle startup è considerare la certificazione come un evento isolato e non come un processo ciclico. I certificati ISO hanno validità triennale e comportano oneri costanti di mantenimento (OPEX).</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Durante il secondo e il terzo anno, l'azienda deve sostenere i costi dell'</w:t>
      </w:r>
      <w:r w:rsidDel="00000000" w:rsidR="00000000" w:rsidRPr="00000000">
        <w:rPr>
          <w:rFonts w:ascii="Arial" w:cs="Arial" w:eastAsia="Arial" w:hAnsi="Arial"/>
          <w:b w:val="1"/>
          <w:bCs w:val="1"/>
          <w:rtl w:val="0"/>
        </w:rPr>
        <w:t xml:space="preserve">Audit di sorveglianza annuale</w:t>
      </w:r>
      <w:r w:rsidDel="00000000" w:rsidR="00000000" w:rsidRPr="00000000">
        <w:rPr>
          <w:rFonts w:ascii="Arial" w:cs="Arial" w:eastAsia="Arial" w:hAnsi="Arial"/>
          <w:rtl w:val="0"/>
        </w:rPr>
        <w:t xml:space="preserve"> da parte dell'Ente (variabile tra 2.000 € e 7.000 € in base alla complessità dimensionale</w:t>
      </w:r>
      <w:r w:rsidDel="00000000" w:rsidR="00000000" w:rsidRPr="00000000">
        <w:rPr>
          <w:rFonts w:ascii="Arial" w:cs="Arial" w:eastAsia="Arial" w:hAnsi="Arial"/>
          <w:sz w:val="24"/>
          <w:szCs w:val="24"/>
          <w:vertAlign w:val="superscript"/>
          <w:rtl w:val="0"/>
        </w:rPr>
        <w:t xml:space="preserve">7</w:t>
      </w:r>
      <w:r w:rsidDel="00000000" w:rsidR="00000000" w:rsidRPr="00000000">
        <w:rPr>
          <w:rFonts w:ascii="Arial" w:cs="Arial" w:eastAsia="Arial" w:hAnsi="Arial"/>
          <w:rtl w:val="0"/>
        </w:rPr>
        <w:t xml:space="preserve">), aggiornare le valutazioni legali, eseguire i penetration test periodici e rinnovare le licenze del software GRC. Si stima che la spesa operativa annua di mantenimento si attesti tra il 30% e il 40% in meno rispetto al picco di investimento del primo anno</w:t>
      </w:r>
      <w:r w:rsidDel="00000000" w:rsidR="00000000" w:rsidRPr="00000000">
        <w:rPr>
          <w:rFonts w:ascii="Arial" w:cs="Arial" w:eastAsia="Arial" w:hAnsi="Arial"/>
          <w:sz w:val="24"/>
          <w:szCs w:val="24"/>
          <w:vertAlign w:val="superscript"/>
          <w:rtl w:val="0"/>
        </w:rPr>
        <w:t xml:space="preserve">53</w:t>
      </w:r>
      <w:r w:rsidDel="00000000" w:rsidR="00000000" w:rsidRPr="00000000">
        <w:rPr>
          <w:rFonts w:ascii="Arial" w:cs="Arial" w:eastAsia="Arial" w:hAnsi="Arial"/>
          <w:rtl w:val="0"/>
        </w:rPr>
        <w:t xml:space="preserve">. Sommando consulenze e costi di sorveglianza, il budget complessivo necessario per finanziare il triennio di certificazione di una PMI di 20-50 dipendenti si colloca nel range compreso tra i 26.000 € e i 67.000 €</w:t>
      </w:r>
      <w:r w:rsidDel="00000000" w:rsidR="00000000" w:rsidRPr="00000000">
        <w:rPr>
          <w:rFonts w:ascii="Arial" w:cs="Arial" w:eastAsia="Arial" w:hAnsi="Arial"/>
          <w:sz w:val="24"/>
          <w:szCs w:val="24"/>
          <w:vertAlign w:val="superscript"/>
          <w:rtl w:val="0"/>
        </w:rPr>
        <w:t xml:space="preserve">12</w:t>
      </w:r>
      <w:r w:rsidDel="00000000" w:rsidR="00000000" w:rsidRPr="00000000">
        <w:rPr>
          <w:rFonts w:ascii="Arial" w:cs="Arial" w:eastAsia="Arial" w:hAnsi="Arial"/>
          <w:rtl w:val="0"/>
        </w:rPr>
        <w:t xml:space="preserve">.</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5.3 Finanza Agevolata: Abbattere il Total Cost of Ownership (TCO)</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Nonostante l'apparente esosità delle cifre per le casse di una startup, l'impatto sul cash flow operativo può essere mitigato in modo drastico ricorrendo agli strumenti di finanza agevolata messi a disposizione dal legislatore italiano ed europeo. Un progetto di compliance abilmente ingegnerizzato sotto il profilo finanziario può recuperare oltre la metà dei costi sostenuti.</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Strumento di Finanza Agevolata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Tipologia di Beneficio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Tetto Massimo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Ambito di Copertura e Cumulabilità</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Voucher MIMIT (ex MISE) 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Contributo a fondo perduto del 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Fino a 20.000 €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Copre spese per acquisto di software GRC, licenze per la cybersecurity e consulenze altamente specialistiche in transizione digitale. Cumulabile con l'iperammortamento</w:t>
            </w:r>
            <w:r w:rsidDel="00000000" w:rsidR="00000000" w:rsidRPr="00000000">
              <w:rPr>
                <w:rFonts w:ascii="Arial" w:cs="Arial" w:eastAsia="Arial" w:hAnsi="Arial"/>
                <w:sz w:val="24"/>
                <w:szCs w:val="24"/>
                <w:vertAlign w:val="superscript"/>
                <w:rtl w:val="0"/>
              </w:rPr>
              <w:t xml:space="preserve">12</w:t>
            </w:r>
            <w:r w:rsidDel="00000000" w:rsidR="00000000" w:rsidRPr="00000000">
              <w:rPr>
                <w:rFonts w:ascii="Arial" w:cs="Arial" w:eastAsia="Arial" w:hAnsi="Arial"/>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Voucher PID (Camere di Commercio)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Contributo a fondo perduto variabile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Da 2.000 € a 10.000 € (mediamente)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Cofinanzia progetti di adozione di standard ISO 27001 e audit legati alla sicurezza. I fondi sono erogati a sportello su base locale</w:t>
            </w:r>
            <w:r w:rsidDel="00000000" w:rsidR="00000000" w:rsidRPr="00000000">
              <w:rPr>
                <w:rFonts w:ascii="Arial" w:cs="Arial" w:eastAsia="Arial" w:hAnsi="Arial"/>
                <w:sz w:val="24"/>
                <w:szCs w:val="24"/>
                <w:vertAlign w:val="superscript"/>
                <w:rtl w:val="0"/>
              </w:rPr>
              <w:t xml:space="preserve">12</w:t>
            </w:r>
            <w:r w:rsidDel="00000000" w:rsidR="00000000" w:rsidRPr="00000000">
              <w:rPr>
                <w:rFonts w:ascii="Arial" w:cs="Arial" w:eastAsia="Arial" w:hAnsi="Arial"/>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Iperammortamento Beni Strumentali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Maggiorazione fiscale al 180%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Fino a 2,5 milioni di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Permette il recupero fiscale tramite IRES sugli investimenti in beni strumentali immateriali (Allegato IV-V), quali sistemi integrati di cybersecurity e monitoraggio reti. Non si applica alle prestazioni di pura consulenza. È cumulabile con i voucher</w:t>
            </w:r>
            <w:r w:rsidDel="00000000" w:rsidR="00000000" w:rsidRPr="00000000">
              <w:rPr>
                <w:rFonts w:ascii="Arial" w:cs="Arial" w:eastAsia="Arial" w:hAnsi="Arial"/>
                <w:sz w:val="24"/>
                <w:szCs w:val="24"/>
                <w:vertAlign w:val="superscript"/>
                <w:rtl w:val="0"/>
              </w:rPr>
              <w:t xml:space="preserve">12</w:t>
            </w:r>
            <w:r w:rsidDel="00000000" w:rsidR="00000000" w:rsidRPr="00000000">
              <w:rPr>
                <w:rFonts w:ascii="Arial" w:cs="Arial" w:eastAsia="Arial" w:hAnsi="Arial"/>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Fondi Interprofessionali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Rimborso formativo al 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In base alla quota INPS maturata dall'azienda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Finanzia interamente la formazione del personale (security awareness, formazione sui processi), essenziale per il mantenimento della ISO 27001, permettendo di formare il personale a costo aziendale netto pari a zero</w:t>
            </w:r>
            <w:r w:rsidDel="00000000" w:rsidR="00000000" w:rsidRPr="00000000">
              <w:rPr>
                <w:rFonts w:ascii="Arial" w:cs="Arial" w:eastAsia="Arial" w:hAnsi="Arial"/>
                <w:sz w:val="24"/>
                <w:szCs w:val="24"/>
                <w:vertAlign w:val="superscript"/>
                <w:rtl w:val="0"/>
              </w:rPr>
              <w:t xml:space="preserve">12</w:t>
            </w:r>
            <w:r w:rsidDel="00000000" w:rsidR="00000000" w:rsidRPr="00000000">
              <w:rPr>
                <w:rFonts w:ascii="Arial" w:cs="Arial" w:eastAsia="Arial" w:hAnsi="Arial"/>
                <w:rtl w:val="0"/>
              </w:rPr>
              <w:t xml:space="preserve">.</w:t>
            </w:r>
          </w:p>
        </w:tc>
      </w:tr>
    </w:tbl>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Esempio pratico: l'impiego combinato di un Voucher MIMIT (che finanzia a fondo perduto il 50% di una spesa ammissibile di 20.000 €) e dello sgravio fiscale indotto dall'iperammortamento sulla quota residua di tasca dell'impresa, può convertire un investimento nominale di 20.000 € in un esborso di cassa netto effettivo vicino agli 8.000 €, massimizzando il Ritorno sull'Investimento (ROI) della compliance</w:t>
      </w:r>
      <w:r w:rsidDel="00000000" w:rsidR="00000000" w:rsidRPr="00000000">
        <w:rPr>
          <w:rFonts w:ascii="Arial" w:cs="Arial" w:eastAsia="Arial" w:hAnsi="Arial"/>
          <w:sz w:val="24"/>
          <w:szCs w:val="24"/>
          <w:vertAlign w:val="superscript"/>
          <w:rtl w:val="0"/>
        </w:rPr>
        <w:t xml:space="preserve">12</w:t>
      </w:r>
      <w:r w:rsidDel="00000000" w:rsidR="00000000" w:rsidRPr="00000000">
        <w:rPr>
          <w:rFonts w:ascii="Arial" w:cs="Arial" w:eastAsia="Arial" w:hAnsi="Arial"/>
          <w:rtl w:val="0"/>
        </w:rPr>
        <w:t xml:space="preserve">.</w:t>
      </w:r>
    </w:p>
    <w:p w:rsidR="00000000" w:rsidDel="00000000" w:rsidP="00000000" w:rsidRDefault="00000000" w:rsidRPr="00000000" w14:paraId="0000007A">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6. Mappatura dei Servizi di Consulenza e Accompagnamento in Italia</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L'ecosistema italiano dei fornitori di servizi per la compliance digitale e la cybersecurity presenta opzioni eterogenee, ciascuna adatta a specifiche configurazioni aziendali. La selezione del partner deve essere calibrata sul grado di maturità tecnologica della startup, sull'esigenza di coperture legali e sulle dinamiche di budget. Di seguito un'analisi strutturata degli operatori identificati sul territorio.</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Società di Consulenza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Focus e Approccio Operativo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Profilo del Cliente Ideale (Startup)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Modello di Pricing e Limiti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BullTech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Approccio "as-a-service". Offre pacchetti in abbonamento per abbassare le barriere d'ingresso. Fornisce supporto pratico per l'implementazione dei controlli tecnici (SIEM, log, backup), colmando le carenze strutturali dei dipartimenti IT interni</w:t>
            </w:r>
            <w:r w:rsidDel="00000000" w:rsidR="00000000" w:rsidRPr="00000000">
              <w:rPr>
                <w:rFonts w:ascii="Arial" w:cs="Arial" w:eastAsia="Arial" w:hAnsi="Arial"/>
                <w:sz w:val="24"/>
                <w:szCs w:val="24"/>
                <w:vertAlign w:val="superscript"/>
                <w:rtl w:val="0"/>
              </w:rPr>
              <w:t xml:space="preserve">7</w:t>
            </w:r>
            <w:r w:rsidDel="00000000" w:rsidR="00000000" w:rsidRPr="00000000">
              <w:rPr>
                <w:rFonts w:ascii="Arial" w:cs="Arial" w:eastAsia="Arial" w:hAnsi="Arial"/>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Startup in fase Seed o Early-Stage (micro e piccole imprese) senza figure CISO dedicate al proprio interno.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Modelli dilazionati a partire da 490 €/mese per 12 mesi</w:t>
            </w:r>
            <w:r w:rsidDel="00000000" w:rsidR="00000000" w:rsidRPr="00000000">
              <w:rPr>
                <w:rFonts w:ascii="Arial" w:cs="Arial" w:eastAsia="Arial" w:hAnsi="Arial"/>
                <w:sz w:val="24"/>
                <w:szCs w:val="24"/>
                <w:vertAlign w:val="superscript"/>
                <w:rtl w:val="0"/>
              </w:rPr>
              <w:t xml:space="preserve">7</w:t>
            </w:r>
            <w:r w:rsidDel="00000000" w:rsidR="00000000" w:rsidRPr="00000000">
              <w:rPr>
                <w:rFonts w:ascii="Arial" w:cs="Arial" w:eastAsia="Arial" w:hAnsi="Arial"/>
                <w:rtl w:val="0"/>
              </w:rPr>
              <w:t xml:space="preserve">. Ottimo per la prevedibilità finanziaria.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ISGroup SRL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Eccellenza tecnica basata sull'offensiva cyber. Utilizza team di Ethical Hacker (certificati OSCP, CISSP) e metodologie di penetration testing (OWASP, NIST, PTES) integrate nel processo di compliance ISO 27001 e NIS2. Supporta ambienti complessi (hybrid-cloud, IoT)</w:t>
            </w:r>
            <w:r w:rsidDel="00000000" w:rsidR="00000000" w:rsidRPr="00000000">
              <w:rPr>
                <w:rFonts w:ascii="Arial" w:cs="Arial" w:eastAsia="Arial" w:hAnsi="Arial"/>
                <w:sz w:val="24"/>
                <w:szCs w:val="24"/>
                <w:vertAlign w:val="superscript"/>
                <w:rtl w:val="0"/>
              </w:rPr>
              <w:t xml:space="preserve">5</w:t>
            </w:r>
            <w:r w:rsidDel="00000000" w:rsidR="00000000" w:rsidRPr="00000000">
              <w:rPr>
                <w:rFonts w:ascii="Arial" w:cs="Arial" w:eastAsia="Arial" w:hAnsi="Arial"/>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Startup Deep-Tech, FinTech o SaaS Enterprise-grade che gestiscono architetture complesse e necessitano di test di resilienza aggressivi prima dell'audit.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L'alta personalizzazione e il rigore tecnico (penetration test inclusi) comportano costi più alti. Sconsigliato se l'esigenza è puramente documentale</w:t>
            </w:r>
            <w:r w:rsidDel="00000000" w:rsidR="00000000" w:rsidRPr="00000000">
              <w:rPr>
                <w:rFonts w:ascii="Arial" w:cs="Arial" w:eastAsia="Arial" w:hAnsi="Arial"/>
                <w:sz w:val="24"/>
                <w:szCs w:val="24"/>
                <w:vertAlign w:val="superscript"/>
                <w:rtl w:val="0"/>
              </w:rPr>
              <w:t xml:space="preserve">5</w:t>
            </w:r>
            <w:r w:rsidDel="00000000" w:rsidR="00000000" w:rsidRPr="00000000">
              <w:rPr>
                <w:rFonts w:ascii="Arial" w:cs="Arial" w:eastAsia="Arial" w:hAnsi="Arial"/>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Mondo27001 (GL Consulting)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Oltre 25 anni di esperienza nel management consulting tradizionale. Approccio orientato al profondo affiancamento umano e all'integrazione pragmatica tra i requisiti tecnici e i quadri normativi e legali (come le sovrapposizioni tra ISO e GDPR)</w:t>
            </w:r>
            <w:r w:rsidDel="00000000" w:rsidR="00000000" w:rsidRPr="00000000">
              <w:rPr>
                <w:rFonts w:ascii="Arial" w:cs="Arial" w:eastAsia="Arial" w:hAnsi="Arial"/>
                <w:sz w:val="24"/>
                <w:szCs w:val="24"/>
                <w:vertAlign w:val="superscript"/>
                <w:rtl w:val="0"/>
              </w:rPr>
              <w:t xml:space="preserve">55</w:t>
            </w:r>
            <w:r w:rsidDel="00000000" w:rsidR="00000000" w:rsidRPr="00000000">
              <w:rPr>
                <w:rFonts w:ascii="Arial" w:cs="Arial" w:eastAsia="Arial" w:hAnsi="Arial"/>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Startup o spin-off operanti nel manifatturiero avanzato, logistica o servizi B2B dove l'integrazione dei processi organizzativi è predominante rispetto al codice.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Servizio sartoriale classico ad alto coinvolgimento umano; meno improntato all'automazione software rispetto alle soluzioni SaaS GRC</w:t>
            </w:r>
            <w:r w:rsidDel="00000000" w:rsidR="00000000" w:rsidRPr="00000000">
              <w:rPr>
                <w:rFonts w:ascii="Arial" w:cs="Arial" w:eastAsia="Arial" w:hAnsi="Arial"/>
                <w:sz w:val="24"/>
                <w:szCs w:val="24"/>
                <w:vertAlign w:val="superscript"/>
                <w:rtl w:val="0"/>
              </w:rPr>
              <w:t xml:space="preserve">55</w:t>
            </w:r>
            <w:r w:rsidDel="00000000" w:rsidR="00000000" w:rsidRPr="00000000">
              <w:rPr>
                <w:rFonts w:ascii="Arial" w:cs="Arial" w:eastAsia="Arial" w:hAnsi="Arial"/>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Kinetikon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Società torinese focalizzata sull'expertise IT reale. I loro consulenti possiedono background informatici profondi. Offrono un ciclo completo: valutazione dei rischi, esecuzione dell'audit interno e supporto in presenza durante lo scrutinio dell'Ente Certificatore</w:t>
            </w:r>
            <w:r w:rsidDel="00000000" w:rsidR="00000000" w:rsidRPr="00000000">
              <w:rPr>
                <w:rFonts w:ascii="Arial" w:cs="Arial" w:eastAsia="Arial" w:hAnsi="Arial"/>
                <w:sz w:val="24"/>
                <w:szCs w:val="24"/>
                <w:vertAlign w:val="superscript"/>
                <w:rtl w:val="0"/>
              </w:rPr>
              <w:t xml:space="preserve">56</w:t>
            </w:r>
            <w:r w:rsidDel="00000000" w:rsidR="00000000" w:rsidRPr="00000000">
              <w:rPr>
                <w:rFonts w:ascii="Arial" w:cs="Arial" w:eastAsia="Arial" w:hAnsi="Arial"/>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Startup strutturate che necessitano di un interlocutore che comprenda intimamente le sfide tecniche dell'infrastruttura di rete e dell'operatività sistemistica.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Consulenza olistica (ITIL, PRINCE2)</w:t>
            </w:r>
            <w:r w:rsidDel="00000000" w:rsidR="00000000" w:rsidRPr="00000000">
              <w:rPr>
                <w:rFonts w:ascii="Arial" w:cs="Arial" w:eastAsia="Arial" w:hAnsi="Arial"/>
                <w:sz w:val="24"/>
                <w:szCs w:val="24"/>
                <w:vertAlign w:val="superscript"/>
                <w:rtl w:val="0"/>
              </w:rPr>
              <w:t xml:space="preserve">56</w:t>
            </w:r>
            <w:r w:rsidDel="00000000" w:rsidR="00000000" w:rsidRPr="00000000">
              <w:rPr>
                <w:rFonts w:ascii="Arial" w:cs="Arial" w:eastAsia="Arial" w:hAnsi="Arial"/>
                <w:rtl w:val="0"/>
              </w:rPr>
              <w:t xml:space="preserve">. Non vi sono menzioni esplicite di pacchettizzazione low-cost per startup in bootstrapping.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Difesa Digitale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Specializzati nel rendere la compliance ISO 27001 accessibile alle PMI italiane. Propongono modelli scalabili integrati al servizio di vCISO (Virtual Chief Information Security Officer) continuativo</w:t>
            </w:r>
            <w:r w:rsidDel="00000000" w:rsidR="00000000" w:rsidRPr="00000000">
              <w:rPr>
                <w:rFonts w:ascii="Arial" w:cs="Arial" w:eastAsia="Arial" w:hAnsi="Arial"/>
                <w:sz w:val="24"/>
                <w:szCs w:val="24"/>
                <w:vertAlign w:val="superscript"/>
                <w:rtl w:val="0"/>
              </w:rPr>
              <w:t xml:space="preserve">5</w:t>
            </w:r>
            <w:r w:rsidDel="00000000" w:rsidR="00000000" w:rsidRPr="00000000">
              <w:rPr>
                <w:rFonts w:ascii="Arial" w:cs="Arial" w:eastAsia="Arial" w:hAnsi="Arial"/>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Startup in fase di scaling che necessitano di esternalizzare la funzione dirigenziale di sicurezza per rispondere ai requisiti dei clienti Enterprise.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Approccio fortemente tarato sulle PMI; può risultare meno adatto in scenari Enterprise altamente complessi e internazionalizzati</w:t>
            </w:r>
            <w:r w:rsidDel="00000000" w:rsidR="00000000" w:rsidRPr="00000000">
              <w:rPr>
                <w:rFonts w:ascii="Arial" w:cs="Arial" w:eastAsia="Arial" w:hAnsi="Arial"/>
                <w:sz w:val="24"/>
                <w:szCs w:val="24"/>
                <w:vertAlign w:val="superscript"/>
                <w:rtl w:val="0"/>
              </w:rPr>
              <w:t xml:space="preserve">5</w:t>
            </w:r>
            <w:r w:rsidDel="00000000" w:rsidR="00000000" w:rsidRPr="00000000">
              <w:rPr>
                <w:rFonts w:ascii="Arial" w:cs="Arial" w:eastAsia="Arial" w:hAnsi="Arial"/>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Big Four (EY, KPMG) e Accenture Security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Approccio globale orientato a framework integrati complessi (DORA, NIS2, PSD2) e cyber resilience internazionale</w:t>
            </w:r>
            <w:r w:rsidDel="00000000" w:rsidR="00000000" w:rsidRPr="00000000">
              <w:rPr>
                <w:rFonts w:ascii="Arial" w:cs="Arial" w:eastAsia="Arial" w:hAnsi="Arial"/>
                <w:sz w:val="24"/>
                <w:szCs w:val="24"/>
                <w:vertAlign w:val="superscript"/>
                <w:rtl w:val="0"/>
              </w:rPr>
              <w:t xml:space="preserve">5</w:t>
            </w:r>
            <w:r w:rsidDel="00000000" w:rsidR="00000000" w:rsidRPr="00000000">
              <w:rPr>
                <w:rFonts w:ascii="Arial" w:cs="Arial" w:eastAsia="Arial" w:hAnsi="Arial"/>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Scale-up consolidate prossime all'ingresso in mercati regolamentati complessi (es. settore bancario, assicurativo, sanitario) con grandi disponibilità di budget.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Modello di pricing corporate, spesso proibitivo per le startup in fase iniziale. Tempi di esecuzione dilatati e processi molto burocratizzati</w:t>
            </w:r>
            <w:r w:rsidDel="00000000" w:rsidR="00000000" w:rsidRPr="00000000">
              <w:rPr>
                <w:rFonts w:ascii="Arial" w:cs="Arial" w:eastAsia="Arial" w:hAnsi="Arial"/>
                <w:sz w:val="24"/>
                <w:szCs w:val="24"/>
                <w:vertAlign w:val="superscript"/>
                <w:rtl w:val="0"/>
              </w:rPr>
              <w:t xml:space="preserve">5</w:t>
            </w:r>
            <w:r w:rsidDel="00000000" w:rsidR="00000000" w:rsidRPr="00000000">
              <w:rPr>
                <w:rFonts w:ascii="Arial" w:cs="Arial" w:eastAsia="Arial" w:hAnsi="Arial"/>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Sistemi Preimpostati (es. Acservizi)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Via di mezzo tra il kit fai-da-te e la consulenza. Forniscono lo scheletro documentale inserendo i dati base dell'azienda e indirizzandola verso Enti di Certificazione rapidi e accreditati IAF</w:t>
            </w:r>
            <w:r w:rsidDel="00000000" w:rsidR="00000000" w:rsidRPr="00000000">
              <w:rPr>
                <w:rFonts w:ascii="Arial" w:cs="Arial" w:eastAsia="Arial" w:hAnsi="Arial"/>
                <w:sz w:val="24"/>
                <w:szCs w:val="24"/>
                <w:vertAlign w:val="superscript"/>
                <w:rtl w:val="0"/>
              </w:rPr>
              <w:t xml:space="preserve">53</w:t>
            </w:r>
            <w:r w:rsidDel="00000000" w:rsidR="00000000" w:rsidRPr="00000000">
              <w:rPr>
                <w:rFonts w:ascii="Arial" w:cs="Arial" w:eastAsia="Arial" w:hAnsi="Arial"/>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Startup con modelli operativi e flussi di dati estremamente semplici e a bassissimo rischio, con forte limitazione di budget aziendale.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Modello economico (a partire da 600 €) ma con forte esposizione al rischio in caso di infrastrutture atipiche che mal si adattano ai template precompilati</w:t>
            </w:r>
            <w:r w:rsidDel="00000000" w:rsidR="00000000" w:rsidRPr="00000000">
              <w:rPr>
                <w:rFonts w:ascii="Arial" w:cs="Arial" w:eastAsia="Arial" w:hAnsi="Arial"/>
                <w:sz w:val="24"/>
                <w:szCs w:val="24"/>
                <w:vertAlign w:val="superscript"/>
                <w:rtl w:val="0"/>
              </w:rPr>
              <w:t xml:space="preserve">53</w:t>
            </w:r>
            <w:r w:rsidDel="00000000" w:rsidR="00000000" w:rsidRPr="00000000">
              <w:rPr>
                <w:rFonts w:ascii="Arial" w:cs="Arial" w:eastAsia="Arial" w:hAnsi="Arial"/>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EXEEC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Distributori e integratori di tecnologie cutting-edge. Orientati alla fornitura di soluzioni cloud-native, Managed Detection and Response (MDR) e offensive security</w:t>
            </w:r>
            <w:r w:rsidDel="00000000" w:rsidR="00000000" w:rsidRPr="00000000">
              <w:rPr>
                <w:rFonts w:ascii="Arial" w:cs="Arial" w:eastAsia="Arial" w:hAnsi="Arial"/>
                <w:sz w:val="24"/>
                <w:szCs w:val="24"/>
                <w:vertAlign w:val="superscript"/>
                <w:rtl w:val="0"/>
              </w:rPr>
              <w:t xml:space="preserve">5</w:t>
            </w:r>
            <w:r w:rsidDel="00000000" w:rsidR="00000000" w:rsidRPr="00000000">
              <w:rPr>
                <w:rFonts w:ascii="Arial" w:cs="Arial" w:eastAsia="Arial" w:hAnsi="Arial"/>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Startup in infrastrutture critiche o settori iperspecializzati.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Fortemente sbilanciati sull'integrazione di tecnologie avanzate a supporto del framework ISO.</w:t>
            </w:r>
          </w:p>
        </w:tc>
      </w:tr>
    </w:tbl>
    <w:p w:rsidR="00000000" w:rsidDel="00000000" w:rsidP="00000000" w:rsidRDefault="00000000" w:rsidRPr="00000000" w14:paraId="000000A1">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7. Raccomandazioni Strategiche</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In un'economia digitale sempre più normata, gli incidenti di cybersicurezza o le non conformità privacy possiedono un potenziale distruttivo massivo per le startup. Oltre alle conseguenze reputazionali, il rischio di sanzioni irrogate in base al GDPR (fino al 4% del fatturato globale o 20 milioni di euro</w:t>
      </w:r>
      <w:r w:rsidDel="00000000" w:rsidR="00000000" w:rsidRPr="00000000">
        <w:rPr>
          <w:rFonts w:ascii="Arial" w:cs="Arial" w:eastAsia="Arial" w:hAnsi="Arial"/>
          <w:sz w:val="24"/>
          <w:szCs w:val="24"/>
          <w:vertAlign w:val="superscript"/>
          <w:rtl w:val="0"/>
        </w:rPr>
        <w:t xml:space="preserve">14</w:t>
      </w:r>
      <w:r w:rsidDel="00000000" w:rsidR="00000000" w:rsidRPr="00000000">
        <w:rPr>
          <w:rFonts w:ascii="Arial" w:cs="Arial" w:eastAsia="Arial" w:hAnsi="Arial"/>
          <w:rtl w:val="0"/>
        </w:rPr>
        <w:t xml:space="preserve">), unito al rischio penale per i controlli a distanza non autorizzati, configura la conformità come una vera e propria priorità di sopravvivenza aziendale. Le certificazioni offrono un perimetro difensivo dimostrabile.</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Per ottimizzare il percorso di compliance, si formulano le seguenti raccomandazioni:</w:t>
      </w:r>
    </w:p>
    <w:p w:rsidR="00000000" w:rsidDel="00000000" w:rsidP="00000000" w:rsidRDefault="00000000" w:rsidRPr="00000000" w14:paraId="000000A4">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Definire una Roadmap Modulare:</w:t>
      </w:r>
      <w:r w:rsidDel="00000000" w:rsidR="00000000" w:rsidRPr="00000000">
        <w:rPr>
          <w:rFonts w:ascii="Arial" w:cs="Arial" w:eastAsia="Arial" w:hAnsi="Arial"/>
          <w:rtl w:val="0"/>
        </w:rPr>
        <w:t xml:space="preserve"> È strategicamente saggio iniziare dal consolidamento dell'infrastruttura con la ISO 27001. Una volta stabilizzati i processi organizzativi primari (gestione HR, accessi logici, policy dei fornitori), l'integrazione della certificazione ISO 27701 (per i mercati internazionali) o della ISDP 10003 (accreditata Accredia per il mercato italiano) risulta proceduralmente più snella e coerente.</w:t>
      </w:r>
    </w:p>
    <w:p w:rsidR="00000000" w:rsidDel="00000000" w:rsidP="00000000" w:rsidRDefault="00000000" w:rsidRPr="00000000" w14:paraId="000000A5">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Risolvere i Debiti Legali Prima degli Audit IT:</w:t>
      </w:r>
      <w:r w:rsidDel="00000000" w:rsidR="00000000" w:rsidRPr="00000000">
        <w:rPr>
          <w:rFonts w:ascii="Arial" w:cs="Arial" w:eastAsia="Arial" w:hAnsi="Arial"/>
          <w:rtl w:val="0"/>
        </w:rPr>
        <w:t xml:space="preserve"> Se la startup utilizza modelli di business legati alla monetizzazione dei dati (LIA commerciale), alla videoanalisi retail, all'identificazione biometrica o a sistemi di Intelligenza Artificiale ad alto rischio, l'azienda deve prioritariamente risolvere il debito legale. L'ottenimento delle autorizzazioni dell'Ispettorato del Lavoro per le telecamere, la stesura inoppugnabile delle DPIA e la classificazione dell'AI Act (inclusa la dimostrazione delle deroghe per compiti preparatori) devono precedere le verifiche degli ispettori ISO/ISDP; in assenza della prova di liceità normativa del trattamento, l'infrastruttura tecnica, pur sicura, risulterà in una bocciatura formale della certificazione.</w:t>
      </w:r>
    </w:p>
    <w:p w:rsidR="00000000" w:rsidDel="00000000" w:rsidP="00000000" w:rsidRDefault="00000000" w:rsidRPr="00000000" w14:paraId="000000A6">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Ingegnerizzare il Piano Finanziario:</w:t>
      </w:r>
      <w:r w:rsidDel="00000000" w:rsidR="00000000" w:rsidRPr="00000000">
        <w:rPr>
          <w:rFonts w:ascii="Arial" w:cs="Arial" w:eastAsia="Arial" w:hAnsi="Arial"/>
          <w:rtl w:val="0"/>
        </w:rPr>
        <w:t xml:space="preserve"> Considerare sempre la certificazione nel suo ciclo vitale triennale. L'azienda deve stanziare un budget OPEX ricorrente per gli audit di sorveglianza e le licenze dei software. Tuttavia, la dirigenza deve obbligatoriamente analizzare con il proprio commercialista la finestra temporale dei bandi PID e MIMIT, oltre a pianificare la formazione con i Fondi Interprofessionali, per dimezzare concretamente i costi dell'intero impianto.</w:t>
      </w:r>
    </w:p>
    <w:p w:rsidR="00000000" w:rsidDel="00000000" w:rsidP="00000000" w:rsidRDefault="00000000" w:rsidRPr="00000000" w14:paraId="000000A7">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Integrare l'Automazione GRC:</w:t>
      </w:r>
      <w:r w:rsidDel="00000000" w:rsidR="00000000" w:rsidRPr="00000000">
        <w:rPr>
          <w:rFonts w:ascii="Arial" w:cs="Arial" w:eastAsia="Arial" w:hAnsi="Arial"/>
          <w:rtl w:val="0"/>
        </w:rPr>
        <w:t xml:space="preserve"> Per le startup SaaS è fortemente raccomandata l'integrazione di piattaforme automatizzate (come Drata o Vanta) in abbinamento all'assistenza di società di consulenza altamente tecniche (come ISGroup o BullTech). L'automazione della raccolta delle evidenze previene lo stallo dei progetti e sgancia il processo di conformità dall'intervento umano ripetitivo, permettendo ai fondatori di rimanere concentrati sulla crescita del prodotto sul mercato.</w:t>
      </w:r>
    </w:p>
    <w:p w:rsidR="00000000" w:rsidDel="00000000" w:rsidP="00000000" w:rsidRDefault="00000000" w:rsidRPr="00000000" w14:paraId="000000A8">
      <w:pPr>
        <w:pStyle w:val="Heading4"/>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Bibliografia</w:t>
      </w:r>
    </w:p>
    <w:p w:rsidR="00000000" w:rsidDel="00000000" w:rsidP="00000000" w:rsidRDefault="00000000" w:rsidRPr="00000000" w14:paraId="000000A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EU AI Act Annex III List: All 8 High-Risk Areas + Art 6(3) | CloseIT, </w:t>
      </w:r>
      <w:hyperlink r:id="rId6">
        <w:r w:rsidDel="00000000" w:rsidR="00000000" w:rsidRPr="00000000">
          <w:rPr>
            <w:rFonts w:ascii="Arial" w:cs="Arial" w:eastAsia="Arial" w:hAnsi="Arial"/>
            <w:color w:val="0000ee"/>
            <w:sz w:val="24"/>
            <w:szCs w:val="24"/>
            <w:u w:val="single"/>
            <w:rtl w:val="0"/>
          </w:rPr>
          <w:t xml:space="preserve">https://www.closeit.co/eu-ai-act/article-6-high-risk-classification/</w:t>
        </w:r>
      </w:hyperlink>
      <w:r w:rsidDel="00000000" w:rsidR="00000000" w:rsidRPr="00000000">
        <w:rPr>
          <w:rtl w:val="0"/>
        </w:rPr>
      </w:r>
    </w:p>
    <w:p w:rsidR="00000000" w:rsidDel="00000000" w:rsidP="00000000" w:rsidRDefault="00000000" w:rsidRPr="00000000" w14:paraId="000000A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Guidelines on prohibited artificial intelligence practices established, </w:t>
      </w:r>
      <w:hyperlink r:id="rId7">
        <w:r w:rsidDel="00000000" w:rsidR="00000000" w:rsidRPr="00000000">
          <w:rPr>
            <w:rFonts w:ascii="Arial" w:cs="Arial" w:eastAsia="Arial" w:hAnsi="Arial"/>
            <w:color w:val="0000ee"/>
            <w:sz w:val="24"/>
            <w:szCs w:val="24"/>
            <w:u w:val="single"/>
            <w:rtl w:val="0"/>
          </w:rPr>
          <w:t xml:space="preserve">https://ai-act-service-desk.ec.europa.eu/sites/default/files/2025-08/guidelines_on_prohibited_artificial_intelligence_practices_established_by_regulation_eu_20241689_ai_act_english_ied3r5nwo50xggpcfmwckm3nuc_112367-1.PDF</w:t>
        </w:r>
      </w:hyperlink>
      <w:r w:rsidDel="00000000" w:rsidR="00000000" w:rsidRPr="00000000">
        <w:rPr>
          <w:rtl w:val="0"/>
        </w:rPr>
      </w:r>
    </w:p>
    <w:p w:rsidR="00000000" w:rsidDel="00000000" w:rsidP="00000000" w:rsidRDefault="00000000" w:rsidRPr="00000000" w14:paraId="000000A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EU AI Act Classification: A Decision Framework, </w:t>
      </w:r>
      <w:hyperlink r:id="rId8">
        <w:r w:rsidDel="00000000" w:rsidR="00000000" w:rsidRPr="00000000">
          <w:rPr>
            <w:rFonts w:ascii="Arial" w:cs="Arial" w:eastAsia="Arial" w:hAnsi="Arial"/>
            <w:color w:val="0000ee"/>
            <w:sz w:val="24"/>
            <w:szCs w:val="24"/>
            <w:u w:val="single"/>
            <w:rtl w:val="0"/>
          </w:rPr>
          <w:t xml:space="preserve">https://regulatorydecoded.com/eu-ai-act-classification-article-6-annex-iii/</w:t>
        </w:r>
      </w:hyperlink>
      <w:r w:rsidDel="00000000" w:rsidR="00000000" w:rsidRPr="00000000">
        <w:rPr>
          <w:rtl w:val="0"/>
        </w:rPr>
      </w:r>
    </w:p>
    <w:p w:rsidR="00000000" w:rsidDel="00000000" w:rsidP="00000000" w:rsidRDefault="00000000" w:rsidRPr="00000000" w14:paraId="000000A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Certificazione Information Technology - ISO 27001 - CSQA, </w:t>
      </w:r>
      <w:hyperlink r:id="rId9">
        <w:r w:rsidDel="00000000" w:rsidR="00000000" w:rsidRPr="00000000">
          <w:rPr>
            <w:rFonts w:ascii="Arial" w:cs="Arial" w:eastAsia="Arial" w:hAnsi="Arial"/>
            <w:color w:val="0000ee"/>
            <w:sz w:val="24"/>
            <w:szCs w:val="24"/>
            <w:u w:val="single"/>
            <w:rtl w:val="0"/>
          </w:rPr>
          <w:t xml:space="preserve">https://www.csqa.it/it-it/certificazioni/information-technology/iso-27001</w:t>
        </w:r>
      </w:hyperlink>
      <w:r w:rsidDel="00000000" w:rsidR="00000000" w:rsidRPr="00000000">
        <w:rPr>
          <w:rtl w:val="0"/>
        </w:rPr>
      </w:r>
    </w:p>
    <w:p w:rsidR="00000000" w:rsidDel="00000000" w:rsidP="00000000" w:rsidRDefault="00000000" w:rsidRPr="00000000" w14:paraId="000000A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Le Migliori Aziende di ISO 27001 Compliance in Italia nel 2026, </w:t>
      </w:r>
      <w:hyperlink r:id="rId10">
        <w:r w:rsidDel="00000000" w:rsidR="00000000" w:rsidRPr="00000000">
          <w:rPr>
            <w:rFonts w:ascii="Arial" w:cs="Arial" w:eastAsia="Arial" w:hAnsi="Arial"/>
            <w:color w:val="0000ee"/>
            <w:sz w:val="24"/>
            <w:szCs w:val="24"/>
            <w:u w:val="single"/>
            <w:rtl w:val="0"/>
          </w:rPr>
          <w:t xml:space="preserve">https://consulenza.isgroup.it/kb/aziende-compliance-iso-27001-italia/</w:t>
        </w:r>
      </w:hyperlink>
      <w:r w:rsidDel="00000000" w:rsidR="00000000" w:rsidRPr="00000000">
        <w:rPr>
          <w:rtl w:val="0"/>
        </w:rPr>
      </w:r>
    </w:p>
    <w:p w:rsidR="00000000" w:rsidDel="00000000" w:rsidP="00000000" w:rsidRDefault="00000000" w:rsidRPr="00000000" w14:paraId="000000A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Come implementare la ISO 27001 passo dopo passo? - Factorial, </w:t>
      </w:r>
      <w:hyperlink r:id="rId11">
        <w:r w:rsidDel="00000000" w:rsidR="00000000" w:rsidRPr="00000000">
          <w:rPr>
            <w:rFonts w:ascii="Arial" w:cs="Arial" w:eastAsia="Arial" w:hAnsi="Arial"/>
            <w:color w:val="0000ee"/>
            <w:sz w:val="24"/>
            <w:szCs w:val="24"/>
            <w:u w:val="single"/>
            <w:rtl w:val="0"/>
          </w:rPr>
          <w:t xml:space="preserve">https://factorial.it/blog/come-implementare-iso-27001/</w:t>
        </w:r>
      </w:hyperlink>
      <w:r w:rsidDel="00000000" w:rsidR="00000000" w:rsidRPr="00000000">
        <w:rPr>
          <w:rtl w:val="0"/>
        </w:rPr>
      </w:r>
    </w:p>
    <w:p w:rsidR="00000000" w:rsidDel="00000000" w:rsidP="00000000" w:rsidRDefault="00000000" w:rsidRPr="00000000" w14:paraId="000000A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Certificazione ISO 27001: Costi da €2.900 e Tempi 2026 | BullTech, </w:t>
      </w:r>
      <w:hyperlink r:id="rId12">
        <w:r w:rsidDel="00000000" w:rsidR="00000000" w:rsidRPr="00000000">
          <w:rPr>
            <w:rFonts w:ascii="Arial" w:cs="Arial" w:eastAsia="Arial" w:hAnsi="Arial"/>
            <w:color w:val="0000ee"/>
            <w:sz w:val="24"/>
            <w:szCs w:val="24"/>
            <w:u w:val="single"/>
            <w:rtl w:val="0"/>
          </w:rPr>
          <w:t xml:space="preserve">https://bulltech.it/blog/certificazione-iso-27001-costi-tempi</w:t>
        </w:r>
      </w:hyperlink>
      <w:r w:rsidDel="00000000" w:rsidR="00000000" w:rsidRPr="00000000">
        <w:rPr>
          <w:rtl w:val="0"/>
        </w:rPr>
      </w:r>
    </w:p>
    <w:p w:rsidR="00000000" w:rsidDel="00000000" w:rsidP="00000000" w:rsidRDefault="00000000" w:rsidRPr="00000000" w14:paraId="000000B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Consulenza ISO 27701: Sistema di Gestione per le Informazioni, </w:t>
      </w:r>
      <w:hyperlink r:id="rId13">
        <w:r w:rsidDel="00000000" w:rsidR="00000000" w:rsidRPr="00000000">
          <w:rPr>
            <w:rFonts w:ascii="Arial" w:cs="Arial" w:eastAsia="Arial" w:hAnsi="Arial"/>
            <w:color w:val="0000ee"/>
            <w:sz w:val="24"/>
            <w:szCs w:val="24"/>
            <w:u w:val="single"/>
            <w:rtl w:val="0"/>
          </w:rPr>
          <w:t xml:space="preserve">https://www.paolorabaioli.com/consulente-pims/consulenza-iso-iec-27701-sistema-gestione-per-le-informazioni-sulla-privacy</w:t>
        </w:r>
      </w:hyperlink>
      <w:r w:rsidDel="00000000" w:rsidR="00000000" w:rsidRPr="00000000">
        <w:rPr>
          <w:rtl w:val="0"/>
        </w:rPr>
      </w:r>
    </w:p>
    <w:p w:rsidR="00000000" w:rsidDel="00000000" w:rsidP="00000000" w:rsidRDefault="00000000" w:rsidRPr="00000000" w14:paraId="000000B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Protezione dei dati personali - ISDP©10003 - Accredia, </w:t>
      </w:r>
      <w:hyperlink r:id="rId14">
        <w:r w:rsidDel="00000000" w:rsidR="00000000" w:rsidRPr="00000000">
          <w:rPr>
            <w:rFonts w:ascii="Arial" w:cs="Arial" w:eastAsia="Arial" w:hAnsi="Arial"/>
            <w:color w:val="0000ee"/>
            <w:sz w:val="24"/>
            <w:szCs w:val="24"/>
            <w:u w:val="single"/>
            <w:rtl w:val="0"/>
          </w:rPr>
          <w:t xml:space="preserve">https://www.accredia.it/servizio-accreditato/protezione-dei-dati-personali/</w:t>
        </w:r>
      </w:hyperlink>
      <w:r w:rsidDel="00000000" w:rsidR="00000000" w:rsidRPr="00000000">
        <w:rPr>
          <w:rtl w:val="0"/>
        </w:rPr>
      </w:r>
    </w:p>
    <w:p w:rsidR="00000000" w:rsidDel="00000000" w:rsidP="00000000" w:rsidRDefault="00000000" w:rsidRPr="00000000" w14:paraId="000000B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GDPR Attestation of Compliance: What It Means - Glocert International, </w:t>
      </w:r>
      <w:hyperlink r:id="rId15">
        <w:r w:rsidDel="00000000" w:rsidR="00000000" w:rsidRPr="00000000">
          <w:rPr>
            <w:rFonts w:ascii="Arial" w:cs="Arial" w:eastAsia="Arial" w:hAnsi="Arial"/>
            <w:color w:val="0000ee"/>
            <w:sz w:val="24"/>
            <w:szCs w:val="24"/>
            <w:u w:val="single"/>
            <w:rtl w:val="0"/>
          </w:rPr>
          <w:t xml:space="preserve">https://www.glocertinternational.com/resources/articles/gdpr-attestation-of-compliance-what-it-means/</w:t>
        </w:r>
      </w:hyperlink>
      <w:r w:rsidDel="00000000" w:rsidR="00000000" w:rsidRPr="00000000">
        <w:rPr>
          <w:rtl w:val="0"/>
        </w:rPr>
      </w:r>
    </w:p>
    <w:p w:rsidR="00000000" w:rsidDel="00000000" w:rsidP="00000000" w:rsidRDefault="00000000" w:rsidRPr="00000000" w14:paraId="000000B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ISO 27001 – I 10 step verso la conformità - Amtivo, </w:t>
      </w:r>
      <w:hyperlink r:id="rId16">
        <w:r w:rsidDel="00000000" w:rsidR="00000000" w:rsidRPr="00000000">
          <w:rPr>
            <w:rFonts w:ascii="Arial" w:cs="Arial" w:eastAsia="Arial" w:hAnsi="Arial"/>
            <w:color w:val="0000ee"/>
            <w:sz w:val="24"/>
            <w:szCs w:val="24"/>
            <w:u w:val="single"/>
            <w:rtl w:val="0"/>
          </w:rPr>
          <w:t xml:space="preserve">https://amtivo.com/it/risorse/approfondimenti/iso-27001-i-10-step-verso-la-conformita/</w:t>
        </w:r>
      </w:hyperlink>
      <w:r w:rsidDel="00000000" w:rsidR="00000000" w:rsidRPr="00000000">
        <w:rPr>
          <w:rtl w:val="0"/>
        </w:rPr>
      </w:r>
    </w:p>
    <w:p w:rsidR="00000000" w:rsidDel="00000000" w:rsidP="00000000" w:rsidRDefault="00000000" w:rsidRPr="00000000" w14:paraId="000000B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ISO 27001: quanto costa davvero, come si finanzia, e perché, </w:t>
      </w:r>
      <w:hyperlink r:id="rId17">
        <w:r w:rsidDel="00000000" w:rsidR="00000000" w:rsidRPr="00000000">
          <w:rPr>
            <w:rFonts w:ascii="Arial" w:cs="Arial" w:eastAsia="Arial" w:hAnsi="Arial"/>
            <w:color w:val="0000ee"/>
            <w:sz w:val="24"/>
            <w:szCs w:val="24"/>
            <w:u w:val="single"/>
            <w:rtl w:val="0"/>
          </w:rPr>
          <w:t xml:space="preserve">https://www.contindigital.it/blog/iso-27001-costi-finanza-nis2</w:t>
        </w:r>
      </w:hyperlink>
      <w:r w:rsidDel="00000000" w:rsidR="00000000" w:rsidRPr="00000000">
        <w:rPr>
          <w:rtl w:val="0"/>
        </w:rPr>
      </w:r>
    </w:p>
    <w:p w:rsidR="00000000" w:rsidDel="00000000" w:rsidP="00000000" w:rsidRDefault="00000000" w:rsidRPr="00000000" w14:paraId="000000B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GDPR for Video Surveillance: Lawful Basis to DPIA - Fora Soft, </w:t>
      </w:r>
      <w:hyperlink r:id="rId18">
        <w:r w:rsidDel="00000000" w:rsidR="00000000" w:rsidRPr="00000000">
          <w:rPr>
            <w:rFonts w:ascii="Arial" w:cs="Arial" w:eastAsia="Arial" w:hAnsi="Arial"/>
            <w:color w:val="0000ee"/>
            <w:sz w:val="24"/>
            <w:szCs w:val="24"/>
            <w:u w:val="single"/>
            <w:rtl w:val="0"/>
          </w:rPr>
          <w:t xml:space="preserve">https://www.forasoft.com/learn/video-surveillance/articles-vms/gdpr-for-video-surveillance</w:t>
        </w:r>
      </w:hyperlink>
      <w:r w:rsidDel="00000000" w:rsidR="00000000" w:rsidRPr="00000000">
        <w:rPr>
          <w:rtl w:val="0"/>
        </w:rPr>
      </w:r>
    </w:p>
    <w:p w:rsidR="00000000" w:rsidDel="00000000" w:rsidP="00000000" w:rsidRDefault="00000000" w:rsidRPr="00000000" w14:paraId="000000B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Videosorveglianza e GDPR: Normativa Completa per Aziende, </w:t>
      </w:r>
      <w:hyperlink r:id="rId19">
        <w:r w:rsidDel="00000000" w:rsidR="00000000" w:rsidRPr="00000000">
          <w:rPr>
            <w:rFonts w:ascii="Arial" w:cs="Arial" w:eastAsia="Arial" w:hAnsi="Arial"/>
            <w:color w:val="0000ee"/>
            <w:sz w:val="24"/>
            <w:szCs w:val="24"/>
            <w:u w:val="single"/>
            <w:rtl w:val="0"/>
          </w:rPr>
          <w:t xml:space="preserve">https://bulltech.it/blog/videosorveglianza-gdpr-normativa</w:t>
        </w:r>
      </w:hyperlink>
      <w:r w:rsidDel="00000000" w:rsidR="00000000" w:rsidRPr="00000000">
        <w:rPr>
          <w:rtl w:val="0"/>
        </w:rPr>
      </w:r>
    </w:p>
    <w:p w:rsidR="00000000" w:rsidDel="00000000" w:rsidP="00000000" w:rsidRDefault="00000000" w:rsidRPr="00000000" w14:paraId="000000B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Legitimate Interests Assessment (LIA) Under GDPR - Secure Privacy, </w:t>
      </w:r>
      <w:hyperlink r:id="rId20">
        <w:r w:rsidDel="00000000" w:rsidR="00000000" w:rsidRPr="00000000">
          <w:rPr>
            <w:rFonts w:ascii="Arial" w:cs="Arial" w:eastAsia="Arial" w:hAnsi="Arial"/>
            <w:color w:val="0000ee"/>
            <w:sz w:val="24"/>
            <w:szCs w:val="24"/>
            <w:u w:val="single"/>
            <w:rtl w:val="0"/>
          </w:rPr>
          <w:t xml:space="preserve">https://secureprivacy.ai/blog/legitimate-interests-assessment-gdpr-guide</w:t>
        </w:r>
      </w:hyperlink>
      <w:r w:rsidDel="00000000" w:rsidR="00000000" w:rsidRPr="00000000">
        <w:rPr>
          <w:rtl w:val="0"/>
        </w:rPr>
      </w:r>
    </w:p>
    <w:p w:rsidR="00000000" w:rsidDel="00000000" w:rsidP="00000000" w:rsidRDefault="00000000" w:rsidRPr="00000000" w14:paraId="000000B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to Use Legitimate Interest as a GDPR Legal Basis (and When, </w:t>
      </w:r>
      <w:hyperlink r:id="rId21">
        <w:r w:rsidDel="00000000" w:rsidR="00000000" w:rsidRPr="00000000">
          <w:rPr>
            <w:rFonts w:ascii="Arial" w:cs="Arial" w:eastAsia="Arial" w:hAnsi="Arial"/>
            <w:color w:val="0000ee"/>
            <w:sz w:val="24"/>
            <w:szCs w:val="24"/>
            <w:u w:val="single"/>
            <w:rtl w:val="0"/>
          </w:rPr>
          <w:t xml:space="preserve">https://usercentrics.com/knowledge-hub/gdpr-legitimate-interest/</w:t>
        </w:r>
      </w:hyperlink>
      <w:r w:rsidDel="00000000" w:rsidR="00000000" w:rsidRPr="00000000">
        <w:rPr>
          <w:rtl w:val="0"/>
        </w:rPr>
      </w:r>
    </w:p>
    <w:p w:rsidR="00000000" w:rsidDel="00000000" w:rsidP="00000000" w:rsidRDefault="00000000" w:rsidRPr="00000000" w14:paraId="000000B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latest CJEU Case and EDPB New Guidelines - EU Law Analysis, </w:t>
      </w:r>
      <w:hyperlink r:id="rId22">
        <w:r w:rsidDel="00000000" w:rsidR="00000000" w:rsidRPr="00000000">
          <w:rPr>
            <w:rFonts w:ascii="Arial" w:cs="Arial" w:eastAsia="Arial" w:hAnsi="Arial"/>
            <w:color w:val="0000ee"/>
            <w:sz w:val="24"/>
            <w:szCs w:val="24"/>
            <w:u w:val="single"/>
            <w:rtl w:val="0"/>
          </w:rPr>
          <w:t xml:space="preserve">http://eulawanalysis.blogspot.com/2024/10/latest-updates-on-legitimate-interest.html</w:t>
        </w:r>
      </w:hyperlink>
      <w:r w:rsidDel="00000000" w:rsidR="00000000" w:rsidRPr="00000000">
        <w:rPr>
          <w:rtl w:val="0"/>
        </w:rPr>
      </w:r>
    </w:p>
    <w:p w:rsidR="00000000" w:rsidDel="00000000" w:rsidP="00000000" w:rsidRDefault="00000000" w:rsidRPr="00000000" w14:paraId="000000B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CJEU: Commercial interests can qualify as legitimate interests under, </w:t>
      </w:r>
      <w:hyperlink r:id="rId23">
        <w:r w:rsidDel="00000000" w:rsidR="00000000" w:rsidRPr="00000000">
          <w:rPr>
            <w:rFonts w:ascii="Arial" w:cs="Arial" w:eastAsia="Arial" w:hAnsi="Arial"/>
            <w:color w:val="0000ee"/>
            <w:sz w:val="24"/>
            <w:szCs w:val="24"/>
            <w:u w:val="single"/>
            <w:rtl w:val="0"/>
          </w:rPr>
          <w:t xml:space="preserve">https://www.fedma.org/2024/10/04/cjeu-commercial-interests-can-qualify-as-legitimate-interests-under-the-gdpr/</w:t>
        </w:r>
      </w:hyperlink>
      <w:r w:rsidDel="00000000" w:rsidR="00000000" w:rsidRPr="00000000">
        <w:rPr>
          <w:rtl w:val="0"/>
        </w:rPr>
      </w:r>
    </w:p>
    <w:p w:rsidR="00000000" w:rsidDel="00000000" w:rsidP="00000000" w:rsidRDefault="00000000" w:rsidRPr="00000000" w14:paraId="000000B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Study of the CJEU Case C-621/22 and the EDPB Guidelines, </w:t>
      </w:r>
      <w:hyperlink r:id="rId24">
        <w:r w:rsidDel="00000000" w:rsidR="00000000" w:rsidRPr="00000000">
          <w:rPr>
            <w:rFonts w:ascii="Arial" w:cs="Arial" w:eastAsia="Arial" w:hAnsi="Arial"/>
            <w:color w:val="0000ee"/>
            <w:sz w:val="24"/>
            <w:szCs w:val="24"/>
            <w:u w:val="single"/>
            <w:rtl w:val="0"/>
          </w:rPr>
          <w:t xml:space="preserve">https://kluwerlawonline.com/journalarticle/Global+Privacy+Law+Review/6.1/GPLR2025006</w:t>
        </w:r>
      </w:hyperlink>
      <w:r w:rsidDel="00000000" w:rsidR="00000000" w:rsidRPr="00000000">
        <w:rPr>
          <w:rtl w:val="0"/>
        </w:rPr>
      </w:r>
    </w:p>
    <w:p w:rsidR="00000000" w:rsidDel="00000000" w:rsidP="00000000" w:rsidRDefault="00000000" w:rsidRPr="00000000" w14:paraId="000000B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CJEU: Commercial interest may be considered necessary for, </w:t>
      </w:r>
      <w:hyperlink r:id="rId25">
        <w:r w:rsidDel="00000000" w:rsidR="00000000" w:rsidRPr="00000000">
          <w:rPr>
            <w:rFonts w:ascii="Arial" w:cs="Arial" w:eastAsia="Arial" w:hAnsi="Arial"/>
            <w:color w:val="0000ee"/>
            <w:sz w:val="24"/>
            <w:szCs w:val="24"/>
            <w:u w:val="single"/>
            <w:rtl w:val="0"/>
          </w:rPr>
          <w:t xml:space="preserve">https://www.hsfkramer.com/notes/data/2024-posts/CJEU--Commercial-interest-may-be-considered-necessary-for-controller-s-legitimate-interest-</w:t>
        </w:r>
      </w:hyperlink>
      <w:r w:rsidDel="00000000" w:rsidR="00000000" w:rsidRPr="00000000">
        <w:rPr>
          <w:rtl w:val="0"/>
        </w:rPr>
      </w:r>
    </w:p>
    <w:p w:rsidR="00000000" w:rsidDel="00000000" w:rsidP="00000000" w:rsidRDefault="00000000" w:rsidRPr="00000000" w14:paraId="000000B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videosorveglianza e protezione dei dati personali - Garante Privacy, </w:t>
      </w:r>
      <w:hyperlink r:id="rId26">
        <w:r w:rsidDel="00000000" w:rsidR="00000000" w:rsidRPr="00000000">
          <w:rPr>
            <w:rFonts w:ascii="Arial" w:cs="Arial" w:eastAsia="Arial" w:hAnsi="Arial"/>
            <w:color w:val="0000ee"/>
            <w:sz w:val="24"/>
            <w:szCs w:val="24"/>
            <w:u w:val="single"/>
            <w:rtl w:val="0"/>
          </w:rPr>
          <w:t xml:space="preserve">https://garanteprivacy.it/garante/doc.jsp?ID=9496574</w:t>
        </w:r>
      </w:hyperlink>
      <w:r w:rsidDel="00000000" w:rsidR="00000000" w:rsidRPr="00000000">
        <w:rPr>
          <w:rtl w:val="0"/>
        </w:rPr>
      </w:r>
    </w:p>
    <w:p w:rsidR="00000000" w:rsidDel="00000000" w:rsidP="00000000" w:rsidRDefault="00000000" w:rsidRPr="00000000" w14:paraId="000000B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EDPB Guidelines on video processing, </w:t>
      </w:r>
      <w:hyperlink r:id="rId27">
        <w:r w:rsidDel="00000000" w:rsidR="00000000" w:rsidRPr="00000000">
          <w:rPr>
            <w:rFonts w:ascii="Arial" w:cs="Arial" w:eastAsia="Arial" w:hAnsi="Arial"/>
            <w:color w:val="0000ee"/>
            <w:sz w:val="24"/>
            <w:szCs w:val="24"/>
            <w:u w:val="single"/>
            <w:rtl w:val="0"/>
          </w:rPr>
          <w:t xml:space="preserve">https://streamlex.eu/law-resources/edpb-guidelines-on-video-processing/</w:t>
        </w:r>
      </w:hyperlink>
      <w:r w:rsidDel="00000000" w:rsidR="00000000" w:rsidRPr="00000000">
        <w:rPr>
          <w:rtl w:val="0"/>
        </w:rPr>
      </w:r>
    </w:p>
    <w:p w:rsidR="00000000" w:rsidDel="00000000" w:rsidP="00000000" w:rsidRDefault="00000000" w:rsidRPr="00000000" w14:paraId="000000B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Linee Guida EDPB 3/2019 sulla videosorveglianza, </w:t>
      </w:r>
      <w:hyperlink r:id="rId28">
        <w:r w:rsidDel="00000000" w:rsidR="00000000" w:rsidRPr="00000000">
          <w:rPr>
            <w:rFonts w:ascii="Arial" w:cs="Arial" w:eastAsia="Arial" w:hAnsi="Arial"/>
            <w:color w:val="0000ee"/>
            <w:sz w:val="24"/>
            <w:szCs w:val="24"/>
            <w:u w:val="single"/>
            <w:rtl w:val="0"/>
          </w:rPr>
          <w:t xml:space="preserve">https://certifico.com/component/content/article/linee-guida-edpb-3-2019-sulla-videosorveglianza?catid=67&amp;Itemid=496</w:t>
        </w:r>
      </w:hyperlink>
      <w:r w:rsidDel="00000000" w:rsidR="00000000" w:rsidRPr="00000000">
        <w:rPr>
          <w:rtl w:val="0"/>
        </w:rPr>
      </w:r>
    </w:p>
    <w:p w:rsidR="00000000" w:rsidDel="00000000" w:rsidP="00000000" w:rsidRDefault="00000000" w:rsidRPr="00000000" w14:paraId="000000C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Linee Guida EDPB 3/2019 sulla videosorveglianza, </w:t>
      </w:r>
      <w:hyperlink r:id="rId29">
        <w:r w:rsidDel="00000000" w:rsidR="00000000" w:rsidRPr="00000000">
          <w:rPr>
            <w:rFonts w:ascii="Arial" w:cs="Arial" w:eastAsia="Arial" w:hAnsi="Arial"/>
            <w:color w:val="0000ee"/>
            <w:sz w:val="24"/>
            <w:szCs w:val="24"/>
            <w:u w:val="single"/>
            <w:rtl w:val="0"/>
          </w:rPr>
          <w:t xml:space="preserve">https://certifico.com/categorie/357-sicurezza-lavoro/news-sicurezza/10059-linee-guida-edpb-3-2019-sulla-videosorveglianza</w:t>
        </w:r>
      </w:hyperlink>
      <w:r w:rsidDel="00000000" w:rsidR="00000000" w:rsidRPr="00000000">
        <w:rPr>
          <w:rtl w:val="0"/>
        </w:rPr>
      </w:r>
    </w:p>
    <w:p w:rsidR="00000000" w:rsidDel="00000000" w:rsidP="00000000" w:rsidRDefault="00000000" w:rsidRPr="00000000" w14:paraId="000000C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Guidelines 3/2019 on processing of personal data through video, </w:t>
      </w:r>
      <w:hyperlink r:id="rId30">
        <w:r w:rsidDel="00000000" w:rsidR="00000000" w:rsidRPr="00000000">
          <w:rPr>
            <w:rFonts w:ascii="Arial" w:cs="Arial" w:eastAsia="Arial" w:hAnsi="Arial"/>
            <w:color w:val="0000ee"/>
            <w:sz w:val="24"/>
            <w:szCs w:val="24"/>
            <w:u w:val="single"/>
            <w:rtl w:val="0"/>
          </w:rPr>
          <w:t xml:space="preserve">https://www.edpb.europa.eu/system/files/documents/files/file1/edpb_guidelines_201903_video_devices_en_0.pdf</w:t>
        </w:r>
      </w:hyperlink>
      <w:r w:rsidDel="00000000" w:rsidR="00000000" w:rsidRPr="00000000">
        <w:rPr>
          <w:rtl w:val="0"/>
        </w:rPr>
      </w:r>
    </w:p>
    <w:p w:rsidR="00000000" w:rsidDel="00000000" w:rsidP="00000000" w:rsidRDefault="00000000" w:rsidRPr="00000000" w14:paraId="000000C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EDPB guidelines on video devices - CIPP Training.com, </w:t>
      </w:r>
      <w:hyperlink r:id="rId31">
        <w:r w:rsidDel="00000000" w:rsidR="00000000" w:rsidRPr="00000000">
          <w:rPr>
            <w:rFonts w:ascii="Arial" w:cs="Arial" w:eastAsia="Arial" w:hAnsi="Arial"/>
            <w:color w:val="0000ee"/>
            <w:sz w:val="24"/>
            <w:szCs w:val="24"/>
            <w:u w:val="single"/>
            <w:rtl w:val="0"/>
          </w:rPr>
          <w:t xml:space="preserve">https://cipptraining.com/edpb-guidelines-on-processing-through-video-devices/</w:t>
        </w:r>
      </w:hyperlink>
      <w:r w:rsidDel="00000000" w:rsidR="00000000" w:rsidRPr="00000000">
        <w:rPr>
          <w:rtl w:val="0"/>
        </w:rPr>
      </w:r>
    </w:p>
    <w:p w:rsidR="00000000" w:rsidDel="00000000" w:rsidP="00000000" w:rsidRDefault="00000000" w:rsidRPr="00000000" w14:paraId="000000C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Facial recognition and data protection: new guidelines in the, </w:t>
      </w:r>
      <w:hyperlink r:id="rId32">
        <w:r w:rsidDel="00000000" w:rsidR="00000000" w:rsidRPr="00000000">
          <w:rPr>
            <w:rFonts w:ascii="Arial" w:cs="Arial" w:eastAsia="Arial" w:hAnsi="Arial"/>
            <w:color w:val="0000ee"/>
            <w:sz w:val="24"/>
            <w:szCs w:val="24"/>
            <w:u w:val="single"/>
            <w:rtl w:val="0"/>
          </w:rPr>
          <w:t xml:space="preserve">https://www.osborneclarke.com/insights/facial-recognition-and-data-protection-new-guidelines-european-union</w:t>
        </w:r>
      </w:hyperlink>
      <w:r w:rsidDel="00000000" w:rsidR="00000000" w:rsidRPr="00000000">
        <w:rPr>
          <w:rtl w:val="0"/>
        </w:rPr>
      </w:r>
    </w:p>
    <w:p w:rsidR="00000000" w:rsidDel="00000000" w:rsidP="00000000" w:rsidRDefault="00000000" w:rsidRPr="00000000" w14:paraId="000000C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EDPB Publishes Final Guidance on Facial Recognition Technology, </w:t>
      </w:r>
      <w:hyperlink r:id="rId33">
        <w:r w:rsidDel="00000000" w:rsidR="00000000" w:rsidRPr="00000000">
          <w:rPr>
            <w:rFonts w:ascii="Arial" w:cs="Arial" w:eastAsia="Arial" w:hAnsi="Arial"/>
            <w:color w:val="0000ee"/>
            <w:sz w:val="24"/>
            <w:szCs w:val="24"/>
            <w:u w:val="single"/>
            <w:rtl w:val="0"/>
          </w:rPr>
          <w:t xml:space="preserve">https://www.pearlcohen.com/edpb-publishes-final-guidance-on-facial-recognition-technology-in-law-enforcement/</w:t>
        </w:r>
      </w:hyperlink>
      <w:r w:rsidDel="00000000" w:rsidR="00000000" w:rsidRPr="00000000">
        <w:rPr>
          <w:rtl w:val="0"/>
        </w:rPr>
      </w:r>
    </w:p>
    <w:p w:rsidR="00000000" w:rsidDel="00000000" w:rsidP="00000000" w:rsidRDefault="00000000" w:rsidRPr="00000000" w14:paraId="000000C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Causality and “In-the-Wild” Video-Based Person Re-Identification, </w:t>
      </w:r>
      <w:hyperlink r:id="rId34">
        <w:r w:rsidDel="00000000" w:rsidR="00000000" w:rsidRPr="00000000">
          <w:rPr>
            <w:rFonts w:ascii="Arial" w:cs="Arial" w:eastAsia="Arial" w:hAnsi="Arial"/>
            <w:color w:val="0000ee"/>
            <w:sz w:val="24"/>
            <w:szCs w:val="24"/>
            <w:u w:val="single"/>
            <w:rtl w:val="0"/>
          </w:rPr>
          <w:t xml:space="preserve">https://www.mdpi.com/2079-9292/14/13/2669</w:t>
        </w:r>
      </w:hyperlink>
      <w:r w:rsidDel="00000000" w:rsidR="00000000" w:rsidRPr="00000000">
        <w:rPr>
          <w:rtl w:val="0"/>
        </w:rPr>
      </w:r>
    </w:p>
    <w:p w:rsidR="00000000" w:rsidDel="00000000" w:rsidP="00000000" w:rsidRDefault="00000000" w:rsidRPr="00000000" w14:paraId="000000C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Causality and ”In-the-Wild” Video-Based Person Re-ID: A Survey, </w:t>
      </w:r>
      <w:hyperlink r:id="rId35">
        <w:r w:rsidDel="00000000" w:rsidR="00000000" w:rsidRPr="00000000">
          <w:rPr>
            <w:rFonts w:ascii="Arial" w:cs="Arial" w:eastAsia="Arial" w:hAnsi="Arial"/>
            <w:color w:val="0000ee"/>
            <w:sz w:val="24"/>
            <w:szCs w:val="24"/>
            <w:u w:val="single"/>
            <w:rtl w:val="0"/>
          </w:rPr>
          <w:t xml:space="preserve">https://arxiv.org/html/2505.20540v1</w:t>
        </w:r>
      </w:hyperlink>
      <w:r w:rsidDel="00000000" w:rsidR="00000000" w:rsidRPr="00000000">
        <w:rPr>
          <w:rtl w:val="0"/>
        </w:rPr>
      </w:r>
    </w:p>
    <w:p w:rsidR="00000000" w:rsidDel="00000000" w:rsidP="00000000" w:rsidRDefault="00000000" w:rsidRPr="00000000" w14:paraId="000000C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Head Count: Privacy-Preserving Face-Based Crowd Monitoring - arXiv, </w:t>
      </w:r>
      <w:hyperlink r:id="rId36">
        <w:r w:rsidDel="00000000" w:rsidR="00000000" w:rsidRPr="00000000">
          <w:rPr>
            <w:rFonts w:ascii="Arial" w:cs="Arial" w:eastAsia="Arial" w:hAnsi="Arial"/>
            <w:color w:val="0000ee"/>
            <w:sz w:val="24"/>
            <w:szCs w:val="24"/>
            <w:u w:val="single"/>
            <w:rtl w:val="0"/>
          </w:rPr>
          <w:t xml:space="preserve">https://arxiv.org/pdf/2604.14250</w:t>
        </w:r>
      </w:hyperlink>
      <w:r w:rsidDel="00000000" w:rsidR="00000000" w:rsidRPr="00000000">
        <w:rPr>
          <w:rtl w:val="0"/>
        </w:rPr>
      </w:r>
    </w:p>
    <w:p w:rsidR="00000000" w:rsidDel="00000000" w:rsidP="00000000" w:rsidRDefault="00000000" w:rsidRPr="00000000" w14:paraId="000000C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Exploring Pose-Based Anomaly Detection for Retail Security - arXiv, </w:t>
      </w:r>
      <w:hyperlink r:id="rId37">
        <w:r w:rsidDel="00000000" w:rsidR="00000000" w:rsidRPr="00000000">
          <w:rPr>
            <w:rFonts w:ascii="Arial" w:cs="Arial" w:eastAsia="Arial" w:hAnsi="Arial"/>
            <w:color w:val="0000ee"/>
            <w:sz w:val="24"/>
            <w:szCs w:val="24"/>
            <w:u w:val="single"/>
            <w:rtl w:val="0"/>
          </w:rPr>
          <w:t xml:space="preserve">https://arxiv.org/html/2501.06591v1</w:t>
        </w:r>
      </w:hyperlink>
      <w:r w:rsidDel="00000000" w:rsidR="00000000" w:rsidRPr="00000000">
        <w:rPr>
          <w:rtl w:val="0"/>
        </w:rPr>
      </w:r>
    </w:p>
    <w:p w:rsidR="00000000" w:rsidDel="00000000" w:rsidP="00000000" w:rsidRDefault="00000000" w:rsidRPr="00000000" w14:paraId="000000C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Recoverable Anonymization for Pose Estimation: A Privacy ... - arXiv, </w:t>
      </w:r>
      <w:hyperlink r:id="rId38">
        <w:r w:rsidDel="00000000" w:rsidR="00000000" w:rsidRPr="00000000">
          <w:rPr>
            <w:rFonts w:ascii="Arial" w:cs="Arial" w:eastAsia="Arial" w:hAnsi="Arial"/>
            <w:color w:val="0000ee"/>
            <w:sz w:val="24"/>
            <w:szCs w:val="24"/>
            <w:u w:val="single"/>
            <w:rtl w:val="0"/>
          </w:rPr>
          <w:t xml:space="preserve">https://arxiv.org/html/2409.02715v1</w:t>
        </w:r>
      </w:hyperlink>
      <w:r w:rsidDel="00000000" w:rsidR="00000000" w:rsidRPr="00000000">
        <w:rPr>
          <w:rtl w:val="0"/>
        </w:rPr>
      </w:r>
    </w:p>
    <w:p w:rsidR="00000000" w:rsidDel="00000000" w:rsidP="00000000" w:rsidRDefault="00000000" w:rsidRPr="00000000" w14:paraId="000000C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Videosorveglianza: norme, privacy e sanzioni - Impianti Bianchi, </w:t>
      </w:r>
      <w:hyperlink r:id="rId39">
        <w:r w:rsidDel="00000000" w:rsidR="00000000" w:rsidRPr="00000000">
          <w:rPr>
            <w:rFonts w:ascii="Arial" w:cs="Arial" w:eastAsia="Arial" w:hAnsi="Arial"/>
            <w:color w:val="0000ee"/>
            <w:sz w:val="24"/>
            <w:szCs w:val="24"/>
            <w:u w:val="single"/>
            <w:rtl w:val="0"/>
          </w:rPr>
          <w:t xml:space="preserve">https://www.impiantibianchi.it/videosorveglianza-norme-privacy-e-sanzioni/</w:t>
        </w:r>
      </w:hyperlink>
      <w:r w:rsidDel="00000000" w:rsidR="00000000" w:rsidRPr="00000000">
        <w:rPr>
          <w:rtl w:val="0"/>
        </w:rPr>
      </w:r>
    </w:p>
    <w:p w:rsidR="00000000" w:rsidDel="00000000" w:rsidP="00000000" w:rsidRDefault="00000000" w:rsidRPr="00000000" w14:paraId="000000C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Videosorveglianza nei luoghi di lavoro: la guida completa, </w:t>
      </w:r>
      <w:hyperlink r:id="rId40">
        <w:r w:rsidDel="00000000" w:rsidR="00000000" w:rsidRPr="00000000">
          <w:rPr>
            <w:rFonts w:ascii="Arial" w:cs="Arial" w:eastAsia="Arial" w:hAnsi="Arial"/>
            <w:color w:val="0000ee"/>
            <w:sz w:val="24"/>
            <w:szCs w:val="24"/>
            <w:u w:val="single"/>
            <w:rtl w:val="0"/>
          </w:rPr>
          <w:t xml:space="preserve">https://www.studiocampesato.it/videosorveglianza-luoghi-di-lavoro/</w:t>
        </w:r>
      </w:hyperlink>
      <w:r w:rsidDel="00000000" w:rsidR="00000000" w:rsidRPr="00000000">
        <w:rPr>
          <w:rtl w:val="0"/>
        </w:rPr>
      </w:r>
    </w:p>
    <w:p w:rsidR="00000000" w:rsidDel="00000000" w:rsidP="00000000" w:rsidRDefault="00000000" w:rsidRPr="00000000" w14:paraId="000000C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INL: video-sorveglianza – indicazioni per il rilascio di provvedimenti, </w:t>
      </w:r>
      <w:hyperlink r:id="rId41">
        <w:r w:rsidDel="00000000" w:rsidR="00000000" w:rsidRPr="00000000">
          <w:rPr>
            <w:rFonts w:ascii="Arial" w:cs="Arial" w:eastAsia="Arial" w:hAnsi="Arial"/>
            <w:color w:val="0000ee"/>
            <w:sz w:val="24"/>
            <w:szCs w:val="24"/>
            <w:u w:val="single"/>
            <w:rtl w:val="0"/>
          </w:rPr>
          <w:t xml:space="preserve">https://www.dottrinalavoro.it/notizie-c/inl-video-sorveglianza-indicazioni-per-il-rilascio-di-provvedimenti-autorizzativi</w:t>
        </w:r>
      </w:hyperlink>
      <w:r w:rsidDel="00000000" w:rsidR="00000000" w:rsidRPr="00000000">
        <w:rPr>
          <w:rtl w:val="0"/>
        </w:rPr>
      </w:r>
    </w:p>
    <w:p w:rsidR="00000000" w:rsidDel="00000000" w:rsidP="00000000" w:rsidRDefault="00000000" w:rsidRPr="00000000" w14:paraId="000000C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Controllo a distanza del lavoratore: autorizzazioni itl per più province, </w:t>
      </w:r>
      <w:hyperlink r:id="rId42">
        <w:r w:rsidDel="00000000" w:rsidR="00000000" w:rsidRPr="00000000">
          <w:rPr>
            <w:rFonts w:ascii="Arial" w:cs="Arial" w:eastAsia="Arial" w:hAnsi="Arial"/>
            <w:color w:val="0000ee"/>
            <w:sz w:val="24"/>
            <w:szCs w:val="24"/>
            <w:u w:val="single"/>
            <w:rtl w:val="0"/>
          </w:rPr>
          <w:t xml:space="preserve">https://studioarinella.it/controllo-a-distanza-del-lavoratore-autorizzazioni-itl-per-piu-province/</w:t>
        </w:r>
      </w:hyperlink>
      <w:r w:rsidDel="00000000" w:rsidR="00000000" w:rsidRPr="00000000">
        <w:rPr>
          <w:rtl w:val="0"/>
        </w:rPr>
      </w:r>
    </w:p>
    <w:p w:rsidR="00000000" w:rsidDel="00000000" w:rsidP="00000000" w:rsidRDefault="00000000" w:rsidRPr="00000000" w14:paraId="000000C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Videosorveglianza e tutela dei cittadini - Elettronica Conte, </w:t>
      </w:r>
      <w:hyperlink r:id="rId43">
        <w:r w:rsidDel="00000000" w:rsidR="00000000" w:rsidRPr="00000000">
          <w:rPr>
            <w:rFonts w:ascii="Arial" w:cs="Arial" w:eastAsia="Arial" w:hAnsi="Arial"/>
            <w:color w:val="0000ee"/>
            <w:sz w:val="24"/>
            <w:szCs w:val="24"/>
            <w:u w:val="single"/>
            <w:rtl w:val="0"/>
          </w:rPr>
          <w:t xml:space="preserve">https://elettronicaconte.it/2021/06/17/videosorveglianza-e-tutela-dei-cittadini/</w:t>
        </w:r>
      </w:hyperlink>
      <w:r w:rsidDel="00000000" w:rsidR="00000000" w:rsidRPr="00000000">
        <w:rPr>
          <w:rtl w:val="0"/>
        </w:rPr>
      </w:r>
    </w:p>
    <w:p w:rsidR="00000000" w:rsidDel="00000000" w:rsidP="00000000" w:rsidRDefault="00000000" w:rsidRPr="00000000" w14:paraId="000000C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(PDF) Video Surveillance of the Employees Between the Right to, </w:t>
      </w:r>
      <w:hyperlink r:id="rId44">
        <w:r w:rsidDel="00000000" w:rsidR="00000000" w:rsidRPr="00000000">
          <w:rPr>
            <w:rFonts w:ascii="Arial" w:cs="Arial" w:eastAsia="Arial" w:hAnsi="Arial"/>
            <w:color w:val="0000ee"/>
            <w:sz w:val="24"/>
            <w:szCs w:val="24"/>
            <w:u w:val="single"/>
            <w:rtl w:val="0"/>
          </w:rPr>
          <w:t xml:space="preserve">https://www.researchgate.net/publication/345416880_Video_Surveillance_of_the_Employees_Between_the_Right_to_Privacy_and_Right_to_Property_After_Lopez_Ribalda_and_Others_v_Spain</w:t>
        </w:r>
      </w:hyperlink>
      <w:r w:rsidDel="00000000" w:rsidR="00000000" w:rsidRPr="00000000">
        <w:rPr>
          <w:rtl w:val="0"/>
        </w:rPr>
      </w:r>
    </w:p>
    <w:p w:rsidR="00000000" w:rsidDel="00000000" w:rsidP="00000000" w:rsidRDefault="00000000" w:rsidRPr="00000000" w14:paraId="000000D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Covert video surveillance of employees of a Spanish supermarket, </w:t>
      </w:r>
      <w:hyperlink r:id="rId45">
        <w:r w:rsidDel="00000000" w:rsidR="00000000" w:rsidRPr="00000000">
          <w:rPr>
            <w:rFonts w:ascii="Arial" w:cs="Arial" w:eastAsia="Arial" w:hAnsi="Arial"/>
            <w:color w:val="0000ee"/>
            <w:sz w:val="24"/>
            <w:szCs w:val="24"/>
            <w:u w:val="single"/>
            <w:rtl w:val="0"/>
          </w:rPr>
          <w:t xml:space="preserve">https://www.abogacia.es/en/conocenos/bruselas/sentencias/tedh/video-vigilancia-encubierta-a-empleados-de-una-cadena-de-supermercados-espanoles/</w:t>
        </w:r>
      </w:hyperlink>
      <w:r w:rsidDel="00000000" w:rsidR="00000000" w:rsidRPr="00000000">
        <w:rPr>
          <w:rtl w:val="0"/>
        </w:rPr>
      </w:r>
    </w:p>
    <w:p w:rsidR="00000000" w:rsidDel="00000000" w:rsidP="00000000" w:rsidRDefault="00000000" w:rsidRPr="00000000" w14:paraId="000000D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López Ribalda and Others v. Spain [GC] - HUDOC, </w:t>
      </w:r>
      <w:hyperlink r:id="rId46">
        <w:r w:rsidDel="00000000" w:rsidR="00000000" w:rsidRPr="00000000">
          <w:rPr>
            <w:rFonts w:ascii="Arial" w:cs="Arial" w:eastAsia="Arial" w:hAnsi="Arial"/>
            <w:color w:val="0000ee"/>
            <w:sz w:val="24"/>
            <w:szCs w:val="24"/>
            <w:u w:val="single"/>
            <w:rtl w:val="0"/>
          </w:rPr>
          <w:t xml:space="preserve">https://hudoc.echr.coe.int/eng?i=002-12630</w:t>
        </w:r>
      </w:hyperlink>
      <w:r w:rsidDel="00000000" w:rsidR="00000000" w:rsidRPr="00000000">
        <w:rPr>
          <w:rtl w:val="0"/>
        </w:rPr>
      </w:r>
    </w:p>
    <w:p w:rsidR="00000000" w:rsidDel="00000000" w:rsidP="00000000" w:rsidRDefault="00000000" w:rsidRPr="00000000" w14:paraId="000000D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López Ribalda and Others v. Spain – covert surveillance in the, </w:t>
      </w:r>
      <w:hyperlink r:id="rId47">
        <w:r w:rsidDel="00000000" w:rsidR="00000000" w:rsidRPr="00000000">
          <w:rPr>
            <w:rFonts w:ascii="Arial" w:cs="Arial" w:eastAsia="Arial" w:hAnsi="Arial"/>
            <w:color w:val="0000ee"/>
            <w:sz w:val="24"/>
            <w:szCs w:val="24"/>
            <w:u w:val="single"/>
            <w:rtl w:val="0"/>
          </w:rPr>
          <w:t xml:space="preserve">https://strasbourgobservers.com/2019/12/06/lopez-ribalda-and-others-v-spain-covert-surveillance-in-the-workplace-attenuating-the-protection-of-privacy-for-employees/</w:t>
        </w:r>
      </w:hyperlink>
      <w:r w:rsidDel="00000000" w:rsidR="00000000" w:rsidRPr="00000000">
        <w:rPr>
          <w:rtl w:val="0"/>
        </w:rPr>
      </w:r>
    </w:p>
    <w:p w:rsidR="00000000" w:rsidDel="00000000" w:rsidP="00000000" w:rsidRDefault="00000000" w:rsidRPr="00000000" w14:paraId="000000D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López Ribalda and Others v. Spain | Etuc-Lex, </w:t>
      </w:r>
      <w:hyperlink r:id="rId48">
        <w:r w:rsidDel="00000000" w:rsidR="00000000" w:rsidRPr="00000000">
          <w:rPr>
            <w:rFonts w:ascii="Arial" w:cs="Arial" w:eastAsia="Arial" w:hAnsi="Arial"/>
            <w:color w:val="0000ee"/>
            <w:sz w:val="24"/>
            <w:szCs w:val="24"/>
            <w:u w:val="single"/>
            <w:rtl w:val="0"/>
          </w:rPr>
          <w:t xml:space="preserve">https://etuclex.etuc.org/cases/lopez-ribalda-and-others-v-spain</w:t>
        </w:r>
      </w:hyperlink>
      <w:r w:rsidDel="00000000" w:rsidR="00000000" w:rsidRPr="00000000">
        <w:rPr>
          <w:rtl w:val="0"/>
        </w:rPr>
      </w:r>
    </w:p>
    <w:p w:rsidR="00000000" w:rsidDel="00000000" w:rsidP="00000000" w:rsidRDefault="00000000" w:rsidRPr="00000000" w14:paraId="000000D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LÓPEZ RIBALDA AND OTHERS v. SPAIN - HUDOC, </w:t>
      </w:r>
      <w:hyperlink r:id="rId49">
        <w:r w:rsidDel="00000000" w:rsidR="00000000" w:rsidRPr="00000000">
          <w:rPr>
            <w:rFonts w:ascii="Arial" w:cs="Arial" w:eastAsia="Arial" w:hAnsi="Arial"/>
            <w:color w:val="0000ee"/>
            <w:sz w:val="24"/>
            <w:szCs w:val="24"/>
            <w:u w:val="single"/>
            <w:rtl w:val="0"/>
          </w:rPr>
          <w:t xml:space="preserve">https://hudoc.echr.coe.int/fre?i=001-197098</w:t>
        </w:r>
      </w:hyperlink>
      <w:r w:rsidDel="00000000" w:rsidR="00000000" w:rsidRPr="00000000">
        <w:rPr>
          <w:rtl w:val="0"/>
        </w:rPr>
      </w:r>
    </w:p>
    <w:p w:rsidR="00000000" w:rsidDel="00000000" w:rsidP="00000000" w:rsidRDefault="00000000" w:rsidRPr="00000000" w14:paraId="000000D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ndika" w:cs="Andika" w:eastAsia="Andika" w:hAnsi="Andika"/>
          <w:sz w:val="24"/>
          <w:szCs w:val="24"/>
          <w:rtl w:val="0"/>
        </w:rPr>
        <w:t xml:space="preserve">AI Regulation in Europe: Key Aspects of the EU AI Act️ | by Tahir, </w:t>
      </w:r>
      <w:hyperlink r:id="rId50">
        <w:r w:rsidDel="00000000" w:rsidR="00000000" w:rsidRPr="00000000">
          <w:rPr>
            <w:rFonts w:ascii="Arial" w:cs="Arial" w:eastAsia="Arial" w:hAnsi="Arial"/>
            <w:color w:val="0000ee"/>
            <w:sz w:val="24"/>
            <w:szCs w:val="24"/>
            <w:u w:val="single"/>
            <w:rtl w:val="0"/>
          </w:rPr>
          <w:t xml:space="preserve">https://medium.com/@tahirbalarabe2/ai-regulation-in-europe-key-aspects-of-the-eu-ai-act%EF%B8%8F-dcc9157fe366</w:t>
        </w:r>
      </w:hyperlink>
      <w:r w:rsidDel="00000000" w:rsidR="00000000" w:rsidRPr="00000000">
        <w:rPr>
          <w:rtl w:val="0"/>
        </w:rPr>
      </w:r>
    </w:p>
    <w:p w:rsidR="00000000" w:rsidDel="00000000" w:rsidP="00000000" w:rsidRDefault="00000000" w:rsidRPr="00000000" w14:paraId="000000D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Prohibited AI Practices Under the EU AI Act, </w:t>
      </w:r>
      <w:hyperlink r:id="rId51">
        <w:r w:rsidDel="00000000" w:rsidR="00000000" w:rsidRPr="00000000">
          <w:rPr>
            <w:rFonts w:ascii="Arial" w:cs="Arial" w:eastAsia="Arial" w:hAnsi="Arial"/>
            <w:color w:val="0000ee"/>
            <w:sz w:val="24"/>
            <w:szCs w:val="24"/>
            <w:u w:val="single"/>
            <w:rtl w:val="0"/>
          </w:rPr>
          <w:t xml:space="preserve">https://www.euaiact.com/blog/prohibited-ai-practices-under-the-eu-ai-act</w:t>
        </w:r>
      </w:hyperlink>
      <w:r w:rsidDel="00000000" w:rsidR="00000000" w:rsidRPr="00000000">
        <w:rPr>
          <w:rtl w:val="0"/>
        </w:rPr>
      </w:r>
    </w:p>
    <w:p w:rsidR="00000000" w:rsidDel="00000000" w:rsidP="00000000" w:rsidRDefault="00000000" w:rsidRPr="00000000" w14:paraId="000000D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Designing escalation criteria for international AI incident response, </w:t>
      </w:r>
      <w:hyperlink r:id="rId52">
        <w:r w:rsidDel="00000000" w:rsidR="00000000" w:rsidRPr="00000000">
          <w:rPr>
            <w:rFonts w:ascii="Arial" w:cs="Arial" w:eastAsia="Arial" w:hAnsi="Arial"/>
            <w:color w:val="0000ee"/>
            <w:sz w:val="24"/>
            <w:szCs w:val="24"/>
            <w:u w:val="single"/>
            <w:rtl w:val="0"/>
          </w:rPr>
          <w:t xml:space="preserve">https://arxiv.org/html/2604.23183v1</w:t>
        </w:r>
      </w:hyperlink>
      <w:r w:rsidDel="00000000" w:rsidR="00000000" w:rsidRPr="00000000">
        <w:rPr>
          <w:rtl w:val="0"/>
        </w:rPr>
      </w:r>
    </w:p>
    <w:p w:rsidR="00000000" w:rsidDel="00000000" w:rsidP="00000000" w:rsidRDefault="00000000" w:rsidRPr="00000000" w14:paraId="000000D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Emotion Recognition - Blue Arrow, </w:t>
      </w:r>
      <w:hyperlink r:id="rId53">
        <w:r w:rsidDel="00000000" w:rsidR="00000000" w:rsidRPr="00000000">
          <w:rPr>
            <w:rFonts w:ascii="Arial" w:cs="Arial" w:eastAsia="Arial" w:hAnsi="Arial"/>
            <w:color w:val="0000ee"/>
            <w:sz w:val="24"/>
            <w:szCs w:val="24"/>
            <w:u w:val="single"/>
            <w:rtl w:val="0"/>
          </w:rPr>
          <w:t xml:space="preserve">https://bluearrow.ai/emotion-recognition/</w:t>
        </w:r>
      </w:hyperlink>
      <w:r w:rsidDel="00000000" w:rsidR="00000000" w:rsidRPr="00000000">
        <w:rPr>
          <w:rtl w:val="0"/>
        </w:rPr>
      </w:r>
    </w:p>
    <w:p w:rsidR="00000000" w:rsidDel="00000000" w:rsidP="00000000" w:rsidRDefault="00000000" w:rsidRPr="00000000" w14:paraId="000000D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EU AI Act unpacked #25: European Commission releases critical AI, </w:t>
      </w:r>
      <w:hyperlink r:id="rId54">
        <w:r w:rsidDel="00000000" w:rsidR="00000000" w:rsidRPr="00000000">
          <w:rPr>
            <w:rFonts w:ascii="Arial" w:cs="Arial" w:eastAsia="Arial" w:hAnsi="Arial"/>
            <w:color w:val="0000ee"/>
            <w:sz w:val="24"/>
            <w:szCs w:val="24"/>
            <w:u w:val="single"/>
            <w:rtl w:val="0"/>
          </w:rPr>
          <w:t xml:space="preserve">https://www.freshfields.com/en/our-thinking/blogs/technology-quotient/eu-ai-act-unpacked-25-european-commission-releases-critical-ai-act-implementati-102kfql</w:t>
        </w:r>
      </w:hyperlink>
      <w:r w:rsidDel="00000000" w:rsidR="00000000" w:rsidRPr="00000000">
        <w:rPr>
          <w:rtl w:val="0"/>
        </w:rPr>
      </w:r>
    </w:p>
    <w:p w:rsidR="00000000" w:rsidDel="00000000" w:rsidP="00000000" w:rsidRDefault="00000000" w:rsidRPr="00000000" w14:paraId="000000D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Is Your AI System High-Risk? The EU AI Act Classification Guide, </w:t>
      </w:r>
      <w:hyperlink r:id="rId55">
        <w:r w:rsidDel="00000000" w:rsidR="00000000" w:rsidRPr="00000000">
          <w:rPr>
            <w:rFonts w:ascii="Arial" w:cs="Arial" w:eastAsia="Arial" w:hAnsi="Arial"/>
            <w:color w:val="0000ee"/>
            <w:sz w:val="24"/>
            <w:szCs w:val="24"/>
            <w:u w:val="single"/>
            <w:rtl w:val="0"/>
          </w:rPr>
          <w:t xml:space="preserve">https://www.euaiact.com/blog/eu-ai-act-high-risk-classification</w:t>
        </w:r>
      </w:hyperlink>
      <w:r w:rsidDel="00000000" w:rsidR="00000000" w:rsidRPr="00000000">
        <w:rPr>
          <w:rtl w:val="0"/>
        </w:rPr>
      </w:r>
    </w:p>
    <w:p w:rsidR="00000000" w:rsidDel="00000000" w:rsidP="00000000" w:rsidRDefault="00000000" w:rsidRPr="00000000" w14:paraId="000000D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Article 6(3) Eligibility Assessment · EU AI Act | Sprinkling Act, </w:t>
      </w:r>
      <w:hyperlink r:id="rId56">
        <w:r w:rsidDel="00000000" w:rsidR="00000000" w:rsidRPr="00000000">
          <w:rPr>
            <w:rFonts w:ascii="Arial" w:cs="Arial" w:eastAsia="Arial" w:hAnsi="Arial"/>
            <w:color w:val="0000ee"/>
            <w:sz w:val="24"/>
            <w:szCs w:val="24"/>
            <w:u w:val="single"/>
            <w:rtl w:val="0"/>
          </w:rPr>
          <w:t xml:space="preserve">https://sprinklingact.com/ie/article-6-3</w:t>
        </w:r>
      </w:hyperlink>
      <w:r w:rsidDel="00000000" w:rsidR="00000000" w:rsidRPr="00000000">
        <w:rPr>
          <w:rtl w:val="0"/>
        </w:rPr>
      </w:r>
    </w:p>
    <w:p w:rsidR="00000000" w:rsidDel="00000000" w:rsidP="00000000" w:rsidRDefault="00000000" w:rsidRPr="00000000" w14:paraId="000000D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Can My AI Claim Not-High-Risk Status? Article 6(3) Derogation, </w:t>
      </w:r>
      <w:hyperlink r:id="rId57">
        <w:r w:rsidDel="00000000" w:rsidR="00000000" w:rsidRPr="00000000">
          <w:rPr>
            <w:rFonts w:ascii="Arial" w:cs="Arial" w:eastAsia="Arial" w:hAnsi="Arial"/>
            <w:color w:val="0000ee"/>
            <w:sz w:val="24"/>
            <w:szCs w:val="24"/>
            <w:u w:val="single"/>
            <w:rtl w:val="0"/>
          </w:rPr>
          <w:t xml:space="preserve">https://regumatrix.eu/compliance/not-high-risk-derogation</w:t>
        </w:r>
      </w:hyperlink>
      <w:r w:rsidDel="00000000" w:rsidR="00000000" w:rsidRPr="00000000">
        <w:rPr>
          <w:rtl w:val="0"/>
        </w:rPr>
      </w:r>
    </w:p>
    <w:p w:rsidR="00000000" w:rsidDel="00000000" w:rsidP="00000000" w:rsidRDefault="00000000" w:rsidRPr="00000000" w14:paraId="000000D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Costo della Certificazione ISO: Prezzi Reali e Trappole - AC Servizi, </w:t>
      </w:r>
      <w:hyperlink r:id="rId58">
        <w:r w:rsidDel="00000000" w:rsidR="00000000" w:rsidRPr="00000000">
          <w:rPr>
            <w:rFonts w:ascii="Arial" w:cs="Arial" w:eastAsia="Arial" w:hAnsi="Arial"/>
            <w:color w:val="0000ee"/>
            <w:sz w:val="24"/>
            <w:szCs w:val="24"/>
            <w:u w:val="single"/>
            <w:rtl w:val="0"/>
          </w:rPr>
          <w:t xml:space="preserve">https://acservizi.it/guide-pratiche-certificazioni-iso/costo-della-certificazione-iso/</w:t>
        </w:r>
      </w:hyperlink>
      <w:r w:rsidDel="00000000" w:rsidR="00000000" w:rsidRPr="00000000">
        <w:rPr>
          <w:rtl w:val="0"/>
        </w:rPr>
      </w:r>
    </w:p>
    <w:p w:rsidR="00000000" w:rsidDel="00000000" w:rsidP="00000000" w:rsidRDefault="00000000" w:rsidRPr="00000000" w14:paraId="000000D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Quanto costa la certificazione ISO 27001? - Amtivo, </w:t>
      </w:r>
      <w:hyperlink r:id="rId59">
        <w:r w:rsidDel="00000000" w:rsidR="00000000" w:rsidRPr="00000000">
          <w:rPr>
            <w:rFonts w:ascii="Arial" w:cs="Arial" w:eastAsia="Arial" w:hAnsi="Arial"/>
            <w:color w:val="0000ee"/>
            <w:sz w:val="24"/>
            <w:szCs w:val="24"/>
            <w:u w:val="single"/>
            <w:rtl w:val="0"/>
          </w:rPr>
          <w:t xml:space="preserve">https://amtivo.com/it/risorse/approfondimenti/quanto-costa-la-certificazione-iso-27001/</w:t>
        </w:r>
      </w:hyperlink>
      <w:r w:rsidDel="00000000" w:rsidR="00000000" w:rsidRPr="00000000">
        <w:rPr>
          <w:rtl w:val="0"/>
        </w:rPr>
      </w:r>
    </w:p>
    <w:p w:rsidR="00000000" w:rsidDel="00000000" w:rsidP="00000000" w:rsidRDefault="00000000" w:rsidRPr="00000000" w14:paraId="000000D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Mondo27001, consulenza ISO 27001, NIS2, Rating di Cyberecurity, </w:t>
      </w:r>
      <w:hyperlink r:id="rId60">
        <w:r w:rsidDel="00000000" w:rsidR="00000000" w:rsidRPr="00000000">
          <w:rPr>
            <w:rFonts w:ascii="Arial" w:cs="Arial" w:eastAsia="Arial" w:hAnsi="Arial"/>
            <w:color w:val="0000ee"/>
            <w:sz w:val="24"/>
            <w:szCs w:val="24"/>
            <w:u w:val="single"/>
            <w:rtl w:val="0"/>
          </w:rPr>
          <w:t xml:space="preserve">https://www.mondo27001.it/</w:t>
        </w:r>
      </w:hyperlink>
      <w:r w:rsidDel="00000000" w:rsidR="00000000" w:rsidRPr="00000000">
        <w:rPr>
          <w:rtl w:val="0"/>
        </w:rPr>
      </w:r>
    </w:p>
    <w:p w:rsidR="00000000" w:rsidDel="00000000" w:rsidP="00000000" w:rsidRDefault="00000000" w:rsidRPr="00000000" w14:paraId="000000E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Consulenza normativa - ISO/IEC 27001 - Kinetikon, </w:t>
      </w:r>
      <w:hyperlink r:id="rId61">
        <w:r w:rsidDel="00000000" w:rsidR="00000000" w:rsidRPr="00000000">
          <w:rPr>
            <w:rFonts w:ascii="Arial" w:cs="Arial" w:eastAsia="Arial" w:hAnsi="Arial"/>
            <w:color w:val="0000ee"/>
            <w:sz w:val="24"/>
            <w:szCs w:val="24"/>
            <w:u w:val="single"/>
            <w:rtl w:val="0"/>
          </w:rPr>
          <w:t xml:space="preserve">https://www.kinetikon.com/consulenza/consulenza-normativa-iso-iec-27001/</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studiocampesato.it/videosorveglianza-luoghi-di-lavoro/" TargetMode="External"/><Relationship Id="rId42" Type="http://schemas.openxmlformats.org/officeDocument/2006/relationships/hyperlink" Target="https://studioarinella.it/controllo-a-distanza-del-lavoratore-autorizzazioni-itl-per-piu-province/" TargetMode="External"/><Relationship Id="rId41" Type="http://schemas.openxmlformats.org/officeDocument/2006/relationships/hyperlink" Target="https://www.dottrinalavoro.it/notizie-c/inl-video-sorveglianza-indicazioni-per-il-rilascio-di-provvedimenti-autorizzativi" TargetMode="External"/><Relationship Id="rId44" Type="http://schemas.openxmlformats.org/officeDocument/2006/relationships/hyperlink" Target="https://www.researchgate.net/publication/345416880_Video_Surveillance_of_the_Employees_Between_the_Right_to_Privacy_and_Right_to_Property_After_Lopez_Ribalda_and_Others_v_Spain" TargetMode="External"/><Relationship Id="rId43" Type="http://schemas.openxmlformats.org/officeDocument/2006/relationships/hyperlink" Target="https://elettronicaconte.it/2021/06/17/videosorveglianza-e-tutela-dei-cittadini/" TargetMode="External"/><Relationship Id="rId46" Type="http://schemas.openxmlformats.org/officeDocument/2006/relationships/hyperlink" Target="https://hudoc.echr.coe.int/eng?i=002-12630" TargetMode="External"/><Relationship Id="rId45" Type="http://schemas.openxmlformats.org/officeDocument/2006/relationships/hyperlink" Target="https://www.abogacia.es/en/conocenos/bruselas/sentencias/tedh/video-vigilancia-encubierta-a-empleados-de-una-cadena-de-supermercados-espanol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sqa.it/it-it/certificazioni/information-technology/iso-27001" TargetMode="External"/><Relationship Id="rId48" Type="http://schemas.openxmlformats.org/officeDocument/2006/relationships/hyperlink" Target="https://etuclex.etuc.org/cases/lopez-ribalda-and-others-v-spain" TargetMode="External"/><Relationship Id="rId47" Type="http://schemas.openxmlformats.org/officeDocument/2006/relationships/hyperlink" Target="https://strasbourgobservers.com/2019/12/06/lopez-ribalda-and-others-v-spain-covert-surveillance-in-the-workplace-attenuating-the-protection-of-privacy-for-employees/" TargetMode="External"/><Relationship Id="rId49" Type="http://schemas.openxmlformats.org/officeDocument/2006/relationships/hyperlink" Target="https://hudoc.echr.coe.int/fre?i=001-197098" TargetMode="External"/><Relationship Id="rId5" Type="http://schemas.openxmlformats.org/officeDocument/2006/relationships/styles" Target="styles.xml"/><Relationship Id="rId6" Type="http://schemas.openxmlformats.org/officeDocument/2006/relationships/hyperlink" Target="https://www.closeit.co/eu-ai-act/article-6-high-risk-classification/" TargetMode="External"/><Relationship Id="rId7" Type="http://schemas.openxmlformats.org/officeDocument/2006/relationships/hyperlink" Target="https://ai-act-service-desk.ec.europa.eu/sites/default/files/2025-08/guidelines_on_prohibited_artificial_intelligence_practices_established_by_regulation_eu_20241689_ai_act_english_ied3r5nwo50xggpcfmwckm3nuc_112367-1.PDF" TargetMode="External"/><Relationship Id="rId8" Type="http://schemas.openxmlformats.org/officeDocument/2006/relationships/hyperlink" Target="https://regulatorydecoded.com/eu-ai-act-classification-article-6-annex-iii/" TargetMode="External"/><Relationship Id="rId31" Type="http://schemas.openxmlformats.org/officeDocument/2006/relationships/hyperlink" Target="https://cipptraining.com/edpb-guidelines-on-processing-through-video-devices/" TargetMode="External"/><Relationship Id="rId30" Type="http://schemas.openxmlformats.org/officeDocument/2006/relationships/hyperlink" Target="https://www.edpb.europa.eu/system/files/documents/files/file1/edpb_guidelines_201903_video_devices_en_0.pdf" TargetMode="External"/><Relationship Id="rId33" Type="http://schemas.openxmlformats.org/officeDocument/2006/relationships/hyperlink" Target="https://www.pearlcohen.com/edpb-publishes-final-guidance-on-facial-recognition-technology-in-law-enforcement/" TargetMode="External"/><Relationship Id="rId32" Type="http://schemas.openxmlformats.org/officeDocument/2006/relationships/hyperlink" Target="https://www.osborneclarke.com/insights/facial-recognition-and-data-protection-new-guidelines-european-union" TargetMode="External"/><Relationship Id="rId35" Type="http://schemas.openxmlformats.org/officeDocument/2006/relationships/hyperlink" Target="https://arxiv.org/html/2505.20540v1" TargetMode="External"/><Relationship Id="rId34" Type="http://schemas.openxmlformats.org/officeDocument/2006/relationships/hyperlink" Target="https://www.mdpi.com/2079-9292/14/13/2669" TargetMode="External"/><Relationship Id="rId37" Type="http://schemas.openxmlformats.org/officeDocument/2006/relationships/hyperlink" Target="https://arxiv.org/html/2501.06591v1" TargetMode="External"/><Relationship Id="rId36" Type="http://schemas.openxmlformats.org/officeDocument/2006/relationships/hyperlink" Target="https://arxiv.org/pdf/2604.14250" TargetMode="External"/><Relationship Id="rId39" Type="http://schemas.openxmlformats.org/officeDocument/2006/relationships/hyperlink" Target="https://www.impiantibianchi.it/videosorveglianza-norme-privacy-e-sanzioni/" TargetMode="External"/><Relationship Id="rId38" Type="http://schemas.openxmlformats.org/officeDocument/2006/relationships/hyperlink" Target="https://arxiv.org/html/2409.02715v1" TargetMode="External"/><Relationship Id="rId61" Type="http://schemas.openxmlformats.org/officeDocument/2006/relationships/hyperlink" Target="https://www.kinetikon.com/consulenza/consulenza-normativa-iso-iec-27001/" TargetMode="External"/><Relationship Id="rId20" Type="http://schemas.openxmlformats.org/officeDocument/2006/relationships/hyperlink" Target="https://secureprivacy.ai/blog/legitimate-interests-assessment-gdpr-guide" TargetMode="External"/><Relationship Id="rId22" Type="http://schemas.openxmlformats.org/officeDocument/2006/relationships/hyperlink" Target="http://eulawanalysis.blogspot.com/2024/10/latest-updates-on-legitimate-interest.html" TargetMode="External"/><Relationship Id="rId21" Type="http://schemas.openxmlformats.org/officeDocument/2006/relationships/hyperlink" Target="https://usercentrics.com/knowledge-hub/gdpr-legitimate-interest/" TargetMode="External"/><Relationship Id="rId24" Type="http://schemas.openxmlformats.org/officeDocument/2006/relationships/hyperlink" Target="https://kluwerlawonline.com/journalarticle/Global+Privacy+Law+Review/6.1/GPLR2025006" TargetMode="External"/><Relationship Id="rId23" Type="http://schemas.openxmlformats.org/officeDocument/2006/relationships/hyperlink" Target="https://www.fedma.org/2024/10/04/cjeu-commercial-interests-can-qualify-as-legitimate-interests-under-the-gdpr/" TargetMode="External"/><Relationship Id="rId60" Type="http://schemas.openxmlformats.org/officeDocument/2006/relationships/hyperlink" Target="https://www.mondo27001.it/" TargetMode="External"/><Relationship Id="rId26" Type="http://schemas.openxmlformats.org/officeDocument/2006/relationships/hyperlink" Target="https://garanteprivacy.it/garante/doc.jsp?ID=9496574" TargetMode="External"/><Relationship Id="rId25" Type="http://schemas.openxmlformats.org/officeDocument/2006/relationships/hyperlink" Target="https://www.hsfkramer.com/notes/data/2024-posts/CJEU--Commercial-interest-may-be-considered-necessary-for-controller-s-legitimate-interest-" TargetMode="External"/><Relationship Id="rId28" Type="http://schemas.openxmlformats.org/officeDocument/2006/relationships/hyperlink" Target="https://certifico.com/component/content/article/linee-guida-edpb-3-2019-sulla-videosorveglianza?catid=67&amp;Itemid=496" TargetMode="External"/><Relationship Id="rId27" Type="http://schemas.openxmlformats.org/officeDocument/2006/relationships/hyperlink" Target="https://streamlex.eu/law-resources/edpb-guidelines-on-video-processing/" TargetMode="External"/><Relationship Id="rId29" Type="http://schemas.openxmlformats.org/officeDocument/2006/relationships/hyperlink" Target="https://certifico.com/categorie/357-sicurezza-lavoro/news-sicurezza/10059-linee-guida-edpb-3-2019-sulla-videosorveglianza" TargetMode="External"/><Relationship Id="rId51" Type="http://schemas.openxmlformats.org/officeDocument/2006/relationships/hyperlink" Target="https://www.euaiact.com/blog/prohibited-ai-practices-under-the-eu-ai-act" TargetMode="External"/><Relationship Id="rId50" Type="http://schemas.openxmlformats.org/officeDocument/2006/relationships/hyperlink" Target="https://medium.com/@tahirbalarabe2/ai-regulation-in-europe-key-aspects-of-the-eu-ai-act%EF%B8%8F-dcc9157fe366" TargetMode="External"/><Relationship Id="rId53" Type="http://schemas.openxmlformats.org/officeDocument/2006/relationships/hyperlink" Target="https://bluearrow.ai/emotion-recognition/" TargetMode="External"/><Relationship Id="rId52" Type="http://schemas.openxmlformats.org/officeDocument/2006/relationships/hyperlink" Target="https://arxiv.org/html/2604.23183v1" TargetMode="External"/><Relationship Id="rId11" Type="http://schemas.openxmlformats.org/officeDocument/2006/relationships/hyperlink" Target="https://factorial.it/blog/come-implementare-iso-27001/" TargetMode="External"/><Relationship Id="rId55" Type="http://schemas.openxmlformats.org/officeDocument/2006/relationships/hyperlink" Target="https://www.euaiact.com/blog/eu-ai-act-high-risk-classification" TargetMode="External"/><Relationship Id="rId10" Type="http://schemas.openxmlformats.org/officeDocument/2006/relationships/hyperlink" Target="https://consulenza.isgroup.it/kb/aziende-compliance-iso-27001-italia/" TargetMode="External"/><Relationship Id="rId54" Type="http://schemas.openxmlformats.org/officeDocument/2006/relationships/hyperlink" Target="https://www.freshfields.com/en/our-thinking/blogs/technology-quotient/eu-ai-act-unpacked-25-european-commission-releases-critical-ai-act-implementati-102kfql" TargetMode="External"/><Relationship Id="rId13" Type="http://schemas.openxmlformats.org/officeDocument/2006/relationships/hyperlink" Target="https://www.paolorabaioli.com/consulente-pims/consulenza-iso-iec-27701-sistema-gestione-per-le-informazioni-sulla-privacy" TargetMode="External"/><Relationship Id="rId57" Type="http://schemas.openxmlformats.org/officeDocument/2006/relationships/hyperlink" Target="https://regumatrix.eu/compliance/not-high-risk-derogation" TargetMode="External"/><Relationship Id="rId12" Type="http://schemas.openxmlformats.org/officeDocument/2006/relationships/hyperlink" Target="https://bulltech.it/blog/certificazione-iso-27001-costi-tempi" TargetMode="External"/><Relationship Id="rId56" Type="http://schemas.openxmlformats.org/officeDocument/2006/relationships/hyperlink" Target="https://sprinklingact.com/ie/article-6-3" TargetMode="External"/><Relationship Id="rId15" Type="http://schemas.openxmlformats.org/officeDocument/2006/relationships/hyperlink" Target="https://www.glocertinternational.com/resources/articles/gdpr-attestation-of-compliance-what-it-means/" TargetMode="External"/><Relationship Id="rId59" Type="http://schemas.openxmlformats.org/officeDocument/2006/relationships/hyperlink" Target="https://amtivo.com/it/risorse/approfondimenti/quanto-costa-la-certificazione-iso-27001/" TargetMode="External"/><Relationship Id="rId14" Type="http://schemas.openxmlformats.org/officeDocument/2006/relationships/hyperlink" Target="https://www.accredia.it/servizio-accreditato/protezione-dei-dati-personali/" TargetMode="External"/><Relationship Id="rId58" Type="http://schemas.openxmlformats.org/officeDocument/2006/relationships/hyperlink" Target="https://acservizi.it/guide-pratiche-certificazioni-iso/costo-della-certificazione-iso/" TargetMode="External"/><Relationship Id="rId17" Type="http://schemas.openxmlformats.org/officeDocument/2006/relationships/hyperlink" Target="https://www.contindigital.it/blog/iso-27001-costi-finanza-nis2" TargetMode="External"/><Relationship Id="rId16" Type="http://schemas.openxmlformats.org/officeDocument/2006/relationships/hyperlink" Target="https://amtivo.com/it/risorse/approfondimenti/iso-27001-i-10-step-verso-la-conformita/" TargetMode="External"/><Relationship Id="rId19" Type="http://schemas.openxmlformats.org/officeDocument/2006/relationships/hyperlink" Target="https://bulltech.it/blog/videosorveglianza-gdpr-normativa" TargetMode="External"/><Relationship Id="rId18" Type="http://schemas.openxmlformats.org/officeDocument/2006/relationships/hyperlink" Target="https://www.forasoft.com/learn/video-surveillance/articles-vms/gdpr-for-video-surveillanc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