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{duree bail}{#reconductionTacite} reconductible par tacite reconduction par période de : {duree bail}{/reconductionTacite}{^reconductionTacite}, non reconductible par tacite reconduction{/reconductionTacite}</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{duree bail} {#reconductionTacite}renouvelable ensuite par tacite reconduction et par périodes de {duree bail} (voir conditions particulières en page 2) faute de congé préalable.{/reconductionTacite}{^reconductionTacite}(voir conditions particulières en page 2). Conformément à l’article 25-7 de la loi du 6 juillet 1989, cette durée n’est pas renouvelable par tacite reconduction.{/reconductionTacite}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À compter de la cessation effective du bail, si le locataire se maintient dans les lieux sans droit ni titre, il sera redevable d’une indemnité d’occupation jusqu’à la libération effective des lieux et la restitution des clés. Cette indemnité sera fixée conformément aux règles applicables, en tenant compte notamment du montant du loyer et des charges, sans préjudice du droit de chaque partie de solliciter en justice la fixation de son montant.</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les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est délivré par la partie qui en prend l’initiative dans les formes, délais et conditions prévus par la loi applicable au présent contrat. Selon les dispositions légales applicables, la notification peut notamment être effectuée par lettre recommandée avec demande d’avis de réception, par acte de commissaire de justice ou par remise en main propre contre émargement ou récépissé signé, lorsque ce mode de notification est admis. La cessation du bail ne dispense aucune partie du respect des procédures légales applicables à la libération des lieux et, le cas échéant, à l’expulsion.</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le logement dans un état de propreté conforme à celui constaté lors de l’entrée dans les lieux, compte tenu de la vétusté et de l’usure normale. Si l’état des lieux de sortie fait apparaître un défaut de propreté imputable au locataire nécessitant une intervention de nettoyage, le bailleur pourra demander le remboursement du coût justifié de cette intervention, dans la mesure où celle-ci relève des obligations du locataire. Toute retenue sur le dépôt de garantie devra être justifiée conformément à l’article 22 de la loi n° 89-462 du 6 juillet 1989.</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CONSEQUENCES DES MANQUEMENTS CONTRACTUELS</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En cas de manquement du locataire à ses obligations, le bailleur pourra solliciter l’exécution des obligations concernées et, le cas échéant, la réparation du préjudice effectivement subi, dans les conditions prévues par les textes applicables. Les frais de procédure et les frais de recouvrement ne pourront être mis à la charge du locataire que dans les conditions prévues par la loi et, le cas échéant, par la décision de justice applicable.</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