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pPr>
        <w:spacing w:after="0"/>
        <w:jc w:val="both"/>
        <w:rPr>
          <w:sz w:val="18"/>
          <w:szCs w:val="18"/>
        </w:rPr>
      </w:pPr>
      <w:r>
        <w:rPr>
          <w:sz w:val="18"/>
          <w:szCs w:val="18"/>
        </w:rPr>
        <w:t>{#representantSci}représentée par {prénom nom du gérant}, agissant en qualité de gérant, dûment habilité aux fins des présentes{/representantSci}</w:t>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pPr>
        <w:spacing w:after="120"/>
        <w:rPr>
          <w:sz w:val="18"/>
          <w:szCs w:val="18"/>
        </w:rPr>
      </w:pPr>
      <w:r>
        <w:rPr>
          <w:sz w:val="18"/>
          <w:szCs w:val="18"/>
        </w:rPr>
        <w:t xml:space="preserve">niveau de performance du logement : {classe DPE}.</w:t>
      </w:r>
    </w:p>
    <w:p>
      <w:pPr>
        <w:spacing w:after="120"/>
        <w:rPr>
          <w:sz w:val="18"/>
          <w:szCs w:val="18"/>
        </w:rPr>
      </w:pPr>
      <w:r>
        <w:rPr>
          <w:sz w:val="18"/>
          <w:szCs w:val="18"/>
        </w:rPr>
        <w:t xml:space="preserve">Dépenses énergétiques (pour information) : Montant estimé des dépenses annuelles d’énergie pour un usage standard de l’ensemble des usages énumérés dans le diagnostic de performance énergétique (chauffage, refroidissement, production d’eau chaude sanitaire, éclairage et auxiliaires de chauffage, de refroidissement, d’eau chaude sanitaire et de ventilation) mentionné à l’article L. 126-26 du code de la construction et de l’habitation : {dépenses énergétiques} € (estimation réalisée à partir des prix énergétiques de référence de l’année : {année de référence des prix énergétiques}).</w:t>
      </w:r>
    </w:p>
    <w:p>
      <w:pPr>
        <w:spacing w:after="120"/>
        <w:rPr>
          <w:sz w:val="18"/>
          <w:szCs w:val="18"/>
        </w:rPr>
      </w:pPr>
      <w:r>
        <w:rPr>
          <w:sz w:val="18"/>
          <w:szCs w:val="18"/>
        </w:rPr>
        <w:t xml:space="preserve">rappel : un logement décent doit respecter les critères minimaux de performance suivants : a) En France métropolitaine : i) A compter du 1er janvier 2025, le niveau de performance minimal du logement correspond à la classe F du DPE ; ii) A compter du 1er janvier 2028, le niveau de performance minimal du logement correspond à la classe E du DPE ; iii) A compter du 1er janvier 2034, le niveau de performance minimal du logement correspond à la classe D du DPE. b) En Guadeloupe, en Martinique, en Guyane, à La Réunion et à Mayotte : i) A compter du 1er janvier 2028, le niveau de performance minimal du logement correspond à la classe F du DPE ; ii) A compter du 1er janvier 2031, le niveau de performance minimal du logement correspond à la classe E du DPE. La consommation d’énergie finale et le niveau de performance du logement sont déterminés selon la méthode du diagnostic de performance énergétique mentionné à l’article L. 126-26 du code de la construction et de l’habitation.</w:t>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{duree bail}{#reconductionTacite} reconductible par tacite reconduction par période de : {duree bail}{/reconductionTacite}{^reconductionTacite}, non reconductible par tacite reconduction{/reconductionTacite}</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{duree bail} {#reconductionTacite}renouvelable ensuite par tacite reconduction et par périodes de {duree bail} (voir conditions particulières en page 2) faute de congé préalable.{/reconductionTacite}{^reconductionTacite}(voir conditions particulières en page 2). Conformément à l’article 25-7 de la loi du 6 juillet 1989, cette durée n’est pas renouvelable par tacite reconduction.{/reconductionTacite}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À compter de la cessation effective du bail, si le locataire se maintient dans les lieux sans droit ni titre, il sera redevable d’une indemnité d’occupation jusqu’à la libération effective des lieux et la restitution des clés. Cette indemnité sera fixée conformément aux règles applicables, en tenant compte notamment du montant du loyer et des charges, sans préjudice du droit de chaque partie de solliciter en justice la fixation de son montant.</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{^meuble}par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les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incombant.{/meuble}</w:t>
      </w:r>
    </w:p>
    <w:p>
      <w:pPr>
        <w:pStyle w:val="Paragraphedeliste"/>
        <w:numPr>
          <w:ilvl w:val="0"/>
          <w:numId w:val="1"/>
        </w:numPr>
        <w:jc w:val="both"/>
        <w:rPr>
          <w:sz w:val="18"/>
          <w:szCs w:val="18"/>
        </w:rPr>
      </w:pPr>
      <w:r>
        <w:rPr>
          <w:sz w:val="18"/>
          <w:szCs w:val="18"/>
        </w:rPr>
        <w:t xml:space="preserve">{#meuble}par le LOCATAIRE à tout moment, avec préavis d'un mois (partant de la date de réception de l'acte), sans condition de motif, y compris lorsque la durée du bail est réduite à neuf mois.</w:t>
      </w:r>
    </w:p>
    <w:p>
      <w:pPr>
        <w:pStyle w:val="Paragraphedeliste"/>
        <w:numPr>
          <w:ilvl w:val="0"/>
          <w:numId w:val="1"/>
        </w:numPr>
        <w:jc w:val="both"/>
        <w:rPr>
          <w:sz w:val="18"/>
          <w:szCs w:val="18"/>
        </w:rPr>
      </w:pPr>
      <w:r>
        <w:rPr>
          <w:sz w:val="18"/>
          <w:szCs w:val="18"/>
        </w:rPr>
        <w:t xml:space="preserve">par le BAILLEUR, à l'expiration du bail, moyennant un délai de préavis de trois mois (partant de la date de réception de l'acte).</w:t>
      </w:r>
    </w:p>
    <w:p>
      <w:pPr>
        <w:jc w:val="both"/>
        <w:rPr>
          <w:sz w:val="18"/>
          <w:szCs w:val="18"/>
        </w:rPr>
      </w:pPr>
      <w:r>
        <w:rPr>
          <w:sz w:val="18"/>
          <w:szCs w:val="18"/>
        </w:rPr>
        <w:t xml:space="preserve">Le motif du congé par le BAILLEUR doit être indiqué à peine de nullité. Ce motif doit être fondé :</w:t>
      </w:r>
    </w:p>
    <w:p>
      <w:pPr>
        <w:pStyle w:val="Paragraphedeliste"/>
        <w:numPr>
          <w:ilvl w:val="0"/>
          <w:numId w:val="2"/>
        </w:numPr>
        <w:jc w:val="both"/>
        <w:rPr>
          <w:sz w:val="18"/>
          <w:szCs w:val="18"/>
        </w:rPr>
      </w:pPr>
      <w:r>
        <w:rPr>
          <w:sz w:val="18"/>
          <w:szCs w:val="18"/>
        </w:rPr>
        <w:t xml:space="preserve">sur la reprise du logement (nom et adresse du bénéficiaire de la reprise qui ne peut être que le BAILLEUR, son conjoint, le partenaire auquel il est lié par un pacte civil de solidarité enregistré à la date du congé, son concubin notoire depuis au moins un an à la date du congé, ses ascendants, ses descendants ou ceux de son conjoint, de son partenaire ou de son concubin notoire) ;</w:t>
      </w:r>
    </w:p>
    <w:p>
      <w:pPr>
        <w:pStyle w:val="Paragraphedeliste"/>
        <w:numPr>
          <w:ilvl w:val="0"/>
          <w:numId w:val="2"/>
        </w:numPr>
        <w:jc w:val="both"/>
        <w:rPr>
          <w:sz w:val="18"/>
          <w:szCs w:val="18"/>
        </w:rPr>
      </w:pPr>
      <w:r>
        <w:rPr>
          <w:sz w:val="18"/>
          <w:szCs w:val="18"/>
        </w:rPr>
        <w:t xml:space="preserve">sur la vente du logement ;</w:t>
      </w:r>
    </w:p>
    <w:p>
      <w:pPr>
        <w:pStyle w:val="Paragraphedeliste"/>
        <w:numPr>
          <w:ilvl w:val="0"/>
          <w:numId w:val="2"/>
        </w:numPr>
        <w:jc w:val="both"/>
        <w:rPr>
          <w:sz w:val="18"/>
          <w:szCs w:val="18"/>
        </w:rPr>
      </w:pPr>
      <w:r>
        <w:rPr>
          <w:sz w:val="18"/>
          <w:szCs w:val="18"/>
        </w:rPr>
        <w:t xml:space="preserve">sur un motif légitime et sérieux, notamment l'inexécution par le locataire de l'une des obligations lui incombant.{/meuble}</w:t>
      </w:r>
    </w:p>
    <w:p w14:paraId="5834EC22" w14:textId="77777777" w:rsidR="006974E4" w:rsidRPr="006974E4" w:rsidRDefault="006974E4" w:rsidP="006974E4">
      <w:pPr>
        <w:jc w:val="both"/>
        <w:rPr>
          <w:sz w:val="18"/>
          <w:szCs w:val="18"/>
        </w:rPr>
      </w:pPr>
      <w:r w:rsidRPr="006974E4">
        <w:rPr>
          <w:sz w:val="18"/>
          <w:szCs w:val="18"/>
        </w:rPr>
        <w:lastRenderedPageBreak/>
        <w:t>Le congé est délivré par la partie qui en prend l’initiative dans les formes, délais et conditions prévus par la loi applicable au présent contrat. Selon les dispositions légales applicables, la notification peut notamment être effectuée par lettre recommandée avec demande d’avis de réception, par acte de commissaire de justice ou par remise en main propre contre émargement ou récépissé signé, lorsque ce mode de notification est admis. La cessation du bail ne dispense aucune partie du respect des procédures légales applicables à la libération des lieux et, le cas échéant, à l’expulsion.</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le logement dans un état de propreté conforme à celui constaté lors de l’entrée dans les lieux, compte tenu de la vétusté et de l’usure normale. Si l’état des lieux de sortie fait apparaître un défaut de propreté imputable au locataire nécessitant une intervention de nettoyage, le bailleur pourra demander le remboursement du coût justifié de cette intervention, dans la mesure où celle-ci relève des obligations du locataire. Toute retenue sur le dépôt de garantie devra être justifiée conformément à l’article 22 de la loi n° 89-462 du 6 juillet 1989.</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CONSEQUENCES DES MANQUEMENTS CONTRACTUELS</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En cas de manquement du locataire à ses obligations, le bailleur pourra solliciter l’exécution des obligations concernées et, le cas échéant, la réparation du préjudice effectivement subi, dans les conditions prévues par les textes applicables. Les frais de procédure et les frais de recouvrement ne pourront être mis à la charge du locataire que dans les conditions prévues par la loi et, le cas échéant, par la décision de justice applicable.</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0C000001" w14:textId="77777777" w:rsidR="00B173CE" w:rsidRDefault="00B173CE" w:rsidP="00C415CC">
      <w:pPr>
        <w:pStyle w:val="Paragraphedeliste"/>
        <w:numPr>
          <w:ilvl w:val="0"/>
          <w:numId w:val="5"/>
        </w:numPr>
        <w:spacing w:after="120"/>
        <w:jc w:val="both"/>
        <w:rPr>
          <w:sz w:val="18"/>
          <w:szCs w:val="18"/>
        </w:rPr>
      </w:pPr>
      <w:r>
        <w:rPr>
          <w:sz w:val="18"/>
          <w:szCs w:val="18"/>
        </w:rPr>
        <w:t>Une notice d'information relative aux droits et obligations des locataires et des bailleurs.</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