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GeneFunnel:</w:t>
      </w:r>
      <w:r>
        <w:t xml:space="preserve"> </w:t>
      </w:r>
      <w:r>
        <w:t xml:space="preserve">a</w:t>
      </w:r>
      <w:r>
        <w:t xml:space="preserve"> </w:t>
      </w:r>
      <w:r>
        <w:t xml:space="preserve">coverage-aware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Pietra-penalized</w:t>
      </w:r>
      <w:r>
        <w:t xml:space="preserve"> </w:t>
      </w:r>
      <w:r>
        <w:t xml:space="preserve">gene-set</w:t>
      </w:r>
      <w:r>
        <w:t xml:space="preserve"> </w:t>
      </w:r>
      <w:r>
        <w:t xml:space="preserve">total</w:t>
      </w:r>
    </w:p>
    <w:p>
      <w:pPr>
        <w:pStyle w:val="Author"/>
      </w:pPr>
      <w:r>
        <w:t xml:space="preserve">Emir</w:t>
      </w:r>
      <w:r>
        <w:t xml:space="preserve"> </w:t>
      </w:r>
      <w:r>
        <w:t xml:space="preserve">Turkes</w:t>
      </w:r>
    </w:p>
    <w:bookmarkStart w:id="20" w:name="abstrac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Abstract</w:t>
      </w:r>
    </w:p>
    <w:p>
      <w:pPr>
        <w:pStyle w:val="FirstParagraph"/>
      </w:pPr>
      <w:r>
        <w:t xml:space="preserve">Gene-set summaries can preserve measured magnitude or emphasize relative rank.</w:t>
      </w:r>
      <w:r>
        <w:t xml:space="preserve"> </w:t>
      </w:r>
      <w:r>
        <w:t xml:space="preserve">GeneFunnel implements a non-negative total penalized by absolute deviation from the within-sample mean.</w:t>
      </w:r>
      <w:r>
        <w:t xml:space="preserve"> </w:t>
      </w:r>
      <w:r>
        <w:t xml:space="preserve">We show that the penalty equals a finite-size adjustment of the Pietra inequality index.</w:t>
      </w:r>
      <w:r>
        <w:t xml:space="preserve"> </w:t>
      </w:r>
      <w:r>
        <w:t xml:space="preserve">This identity defines the contribution as an interpretable implementation, not a new inequality measure.</w:t>
      </w:r>
      <w:r>
        <w:t xml:space="preserve"> </w:t>
      </w:r>
      <w:r>
        <w:t xml:space="preserve">We derive score bounds, monotonicity, concavity, and dominant-member plateaus.</w:t>
      </w:r>
      <w:r>
        <w:t xml:space="preserve"> </w:t>
      </w:r>
      <w:r>
        <w:t xml:space="preserve">The package exposes missing-member coverage and preserves dense, sparse, and parallel scoring semantics.</w:t>
      </w:r>
      <w:r>
        <w:t xml:space="preserve"> </w:t>
      </w:r>
      <w:r>
        <w:t xml:space="preserve">We evaluate eight simulated mechanisms, two set sizes, and 50 independent replicates per configuration.</w:t>
      </w:r>
      <w:r>
        <w:t xml:space="preserve"> </w:t>
      </w:r>
      <w:r>
        <w:t xml:space="preserve">Comparators include penalty ablations, singscore, ssGSEA, and GSVA.</w:t>
      </w:r>
      <w:r>
        <w:t xml:space="preserve"> </w:t>
      </w:r>
      <w:r>
        <w:t xml:space="preserve">An independent glucocorticoid signature provides a four-donor paired perturbation evaluation in airway smooth-muscle cells.</w:t>
      </w:r>
      <w:r>
        <w:t xml:space="preserve"> </w:t>
      </w:r>
      <w:r>
        <w:t xml:space="preserve">A six-gene Alzheimer cohort analysis estimates subject-level uncertainty and preprocessing sensitivity.</w:t>
      </w:r>
      <w:r>
        <w:t xml:space="preserve"> </w:t>
      </w:r>
      <w:r>
        <w:t xml:space="preserve">The GeneFunnel–Braak correlation is -0.409 (95% bootstrap interval -0.506 to -0.300).</w:t>
      </w:r>
      <w:r>
        <w:t xml:space="preserve"> </w:t>
      </w:r>
      <w:r>
        <w:t xml:space="preserve">These experiments delimit the score’s behavior; they do not establish universal superiority or pathway activation accuracy.</w:t>
      </w:r>
      <w:r>
        <w:t xml:space="preserve"> </w:t>
      </w:r>
      <w:r>
        <w:t xml:space="preserve">All analyses, numerical outputs, figures, and the manuscript regenerate from included inputs and documented dependencies.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gene-set scoring; Pietra index; absolute deviation; missingness; R; transcriptomics.</w:t>
      </w:r>
    </w:p>
    <w:bookmarkEnd w:id="20"/>
    <w:bookmarkStart w:id="21" w:name="introdu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Introduction</w:t>
      </w:r>
    </w:p>
    <w:p>
      <w:pPr>
        <w:pStyle w:val="FirstParagraph"/>
      </w:pPr>
      <w:r>
        <w:t xml:space="preserve">Gene-set scoring reduces feature-level measurements to sample-level summaries.</w:t>
      </w:r>
      <w:r>
        <w:t xml:space="preserve"> </w:t>
      </w:r>
      <w:r>
        <w:t xml:space="preserve">The summary’s meaning depends on its mathematical target, preprocessing, and feature coverage.</w:t>
      </w:r>
      <w:r>
        <w:t xml:space="preserve"> </w:t>
      </w:r>
      <w:r>
        <w:t xml:space="preserve">A rank score and a magnitude score need not agree, even when both implementations are correct.</w:t>
      </w:r>
    </w:p>
    <w:p>
      <w:pPr>
        <w:pStyle w:val="BodyText"/>
      </w:pPr>
      <w:r>
        <w:t xml:space="preserve">GeneFunnel originated in a doctoral thesis [1].</w:t>
      </w:r>
      <w:r>
        <w:t xml:space="preserve"> </w:t>
      </w:r>
      <w:r>
        <w:t xml:space="preserve">It subtracts a disagreement penalty from the observed member total.</w:t>
      </w:r>
      <w:r>
        <w:t xml:space="preserve"> </w:t>
      </w:r>
      <w:r>
        <w:t xml:space="preserve">The intended interpretation combines abundance with within-sample equality.</w:t>
      </w:r>
      <w:r>
        <w:t xml:space="preserve"> </w:t>
      </w:r>
      <w:r>
        <w:t xml:space="preserve">That equality is not cross-sample coexpression, regulatory activity, or evidence of a causal mechanism.</w:t>
      </w:r>
      <w:r>
        <w:t xml:space="preserve"> </w:t>
      </w:r>
      <w:r>
        <w:t xml:space="preserve">This distinction is especially important when genes have different expected expression levels.</w:t>
      </w:r>
    </w:p>
    <w:p>
      <w:pPr>
        <w:pStyle w:val="BodyText"/>
      </w:pPr>
      <w:r>
        <w:t xml:space="preserve">Independent sample scoring is an established design choice, including singscore [2].</w:t>
      </w:r>
      <w:r>
        <w:t xml:space="preserve"> </w:t>
      </w:r>
      <w:r>
        <w:t xml:space="preserve">GSVA estimates expression distributions across a cohort [3].</w:t>
      </w:r>
      <w:r>
        <w:t xml:space="preserve"> </w:t>
      </w:r>
      <w:r>
        <w:t xml:space="preserve">Its package also implements the rank-based ssGSEA method [4].</w:t>
      </w:r>
      <w:r>
        <w:t xml:space="preserve"> </w:t>
      </w:r>
      <w:r>
        <w:t xml:space="preserve">PLAID uses efficient sparse operations for mean-based scoring and also provides score normalization [5].</w:t>
      </w:r>
      <w:r>
        <w:t xml:space="preserve"> </w:t>
      </w:r>
      <w:r>
        <w:t xml:space="preserve">The arithmetic mean is therefore a necessary magnitude comparator.</w:t>
      </w:r>
      <w:r>
        <w:t xml:space="preserve"> </w:t>
      </w:r>
      <w:r>
        <w:t xml:space="preserve">A mean calculation here is an algebraic baseline, not an execution benchmark of the PLAID package.</w:t>
      </w:r>
    </w:p>
    <w:p>
      <w:pPr>
        <w:pStyle w:val="BodyText"/>
      </w:pPr>
      <w:r>
        <w:t xml:space="preserve">This article contributes a transparent mathematical characterization, a coverage-aware implementation, and reproducible evidence about its useful and unsuitable regimes.</w:t>
      </w:r>
      <w:r>
        <w:t xml:space="preserve"> </w:t>
      </w:r>
      <w:r>
        <w:t xml:space="preserve">It makes no priority claim for an inequality measure.</w:t>
      </w:r>
      <w:r>
        <w:t xml:space="preserve"> </w:t>
      </w:r>
      <w:r>
        <w:t xml:space="preserve">It does not propose GeneFunnel as a universal replacement for enrichment analysis.</w:t>
      </w:r>
    </w:p>
    <w:bookmarkEnd w:id="21"/>
    <w:bookmarkStart w:id="29" w:name="method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Methods</w:t>
      </w:r>
    </w:p>
    <w:bookmarkStart w:id="22" w:name="score-and-estimand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Score and estimand</w:t>
      </w:r>
    </w:p>
    <w:p>
      <w:pPr>
        <w:pStyle w:val="FirstParagraph"/>
      </w:pPr>
      <w:r>
        <w:t xml:space="preserve">For one gene set and one sample,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observed, non-negative member values.</w:t>
      </w:r>
      <w:r>
        <w:t xml:space="preserve"> </w:t>
      </w:r>
      <w:r>
        <w:t xml:space="preserve">The observed count must satisfy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 score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the Pietra index is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</m:d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S</m:t>
            </m:r>
          </m:e>
        </m:d>
      </m:oMath>
      <w:r>
        <w:t xml:space="preserve"> </w:t>
      </w:r>
      <w:r>
        <w:t xml:space="preserve">[6].</w:t>
      </w:r>
      <w:r>
        <w:t xml:space="preserve"> </w:t>
      </w:r>
      <w:r>
        <w:t xml:space="preserve">Consequently,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t>H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all-zero case is defined directly as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package returns</w:t>
      </w:r>
      <w:r>
        <w:t xml:space="preserve"> </w:t>
      </w:r>
      <m:oMath>
        <m:r>
          <m:t>F</m:t>
        </m:r>
      </m:oMath>
      <w:r>
        <w:t xml:space="preserve">; comparator tables report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to align its units with member means.</w:t>
      </w:r>
      <w:r>
        <w:t xml:space="preserve"> </w:t>
      </w:r>
      <w:r>
        <w:t xml:space="preserve">The mouse and coverage analyses retain native totals and label additional ratios separately.</w:t>
      </w:r>
      <w:r>
        <w:t xml:space="preserve"> </w:t>
      </w:r>
      <w:r>
        <w:t xml:space="preserve">The finite-size factor maps maximal concentration in one observed member to zero.</w:t>
      </w:r>
      <w:r>
        <w:t xml:space="preserve"> </w:t>
      </w:r>
      <w:r>
        <w:t xml:space="preserve">This is not the Gini coefficient, which uses pairwise absolute differences.</w:t>
      </w:r>
    </w:p>
    <w:p>
      <w:pPr>
        <w:pStyle w:val="BodyText"/>
      </w:pPr>
      <w:r>
        <w:t xml:space="preserve">For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symmetric, concave, and nondecreasing in every coordinate.</w:t>
      </w:r>
      <w:r>
        <w:t xml:space="preserve"> </w:t>
      </w:r>
      <w:r>
        <w:t xml:space="preserve">It satisfies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S</m:t>
        </m:r>
      </m:oMath>
      <w:r>
        <w:t xml:space="preserve">, positive homogeneity, and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b"/>
              </m:rP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n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These properties follow from the proofs in Supplementary Methods.</w:t>
      </w:r>
      <w:r>
        <w:t xml:space="preserve"> </w:t>
      </w:r>
      <w:r>
        <w:t xml:space="preserve">They concern a fixed observed vector size, not deletion or addition of members.</w:t>
      </w:r>
    </w:p>
    <w:p>
      <w:pPr>
        <w:pStyle w:val="BodyText"/>
      </w:pPr>
      <w:r>
        <w:t xml:space="preserve">The score can become insensitive to one dominant member.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This behavior limits outlier influence but also discards genuine changes confined to that member.</w:t>
      </w:r>
      <w:r>
        <w:t xml:space="preserve"> </w:t>
      </w:r>
      <w:r>
        <w:t xml:space="preserve">The penalty rewards equal numerical values, not equal fold changes from different baselines.</w:t>
      </w:r>
    </w:p>
    <w:bookmarkEnd w:id="22"/>
    <w:bookmarkStart w:id="23" w:name="implementation-and-observation-polici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Implementation and observation policies</w:t>
      </w:r>
    </w:p>
    <w:p>
      <w:pPr>
        <w:pStyle w:val="FirstParagraph"/>
      </w:pPr>
      <w:r>
        <w:t xml:space="preserve">The R package accepts numeric base matrices, supported Matrix objects, and selected SummarizedExperiment assays.</w:t>
      </w:r>
      <w:r>
        <w:t xml:space="preserve"> </w:t>
      </w:r>
      <w:r>
        <w:t xml:space="preserve">A C++17 implementation uses a non-negative algebraic form to avoid cancellation near zero.</w:t>
      </w:r>
      <w:r>
        <w:t xml:space="preserve"> </w:t>
      </w:r>
      <w:r>
        <w:t xml:space="preserve">Sparse implicit zeros remain observed and contribute analytically.</w:t>
      </w:r>
      <w:r>
        <w:t xml:space="preserve"> </w:t>
      </w:r>
      <w:r>
        <w:t xml:space="preserve">BiocParallel schedules bounded column chunks.</w:t>
      </w:r>
      <w:r>
        <w:t xml:space="preserve"> </w:t>
      </w:r>
      <w:r>
        <w:t xml:space="preserve">The package performs no automatic normalization, identifier conversion, imputation, or hypothesis testing.</w:t>
      </w:r>
    </w:p>
    <w:p>
      <w:pPr>
        <w:pStyle w:val="BodyText"/>
      </w:pPr>
      <w:r>
        <w:t xml:space="preserve">Gene sets are deduplicated and matched exactly to unique row identifiers.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are removed within each set–sample cell.</w:t>
      </w:r>
      <w:r>
        <w:t xml:space="preserve"> </w:t>
      </w:r>
      <w:r>
        <w:t xml:space="preserve">Missing rows, missing values, and measured zeros therefore remain distinct.</w:t>
      </w:r>
      <w:r>
        <w:t xml:space="preserve"> </w:t>
      </w:r>
      <w:r>
        <w:t xml:space="preserve">Scores require two observed members by default.</w:t>
      </w:r>
      <w:r>
        <w:t xml:space="preserve"> </w:t>
      </w:r>
      <w:r>
        <w:t xml:space="preserve">Optional observed-count and declared-set coverage thresholds return missing scores when their requirements fail.</w:t>
      </w:r>
      <w:r>
        <w:t xml:space="preserve"> </w:t>
      </w:r>
      <w:r>
        <w:t xml:space="preserve">Coverage filters do not estimate or repair the unobserved full-set score.</w:t>
      </w:r>
    </w:p>
    <w:p>
      <w:pPr>
        <w:pStyle w:val="BodyText"/>
      </w:pPr>
      <w:r>
        <w:t xml:space="preserve">The score is sample-independent conditional on the supplied measurements and gene set.</w:t>
      </w:r>
      <w:r>
        <w:t xml:space="preserve"> </w:t>
      </w:r>
      <w:r>
        <w:t xml:space="preserve">A preprocessing operation that estimates reference values across samples need not have that property.</w:t>
      </w:r>
      <w:r>
        <w:t xml:space="preserve"> </w:t>
      </w:r>
      <w:r>
        <w:t xml:space="preserve">Comparisons require compatible measurement scales, feature definitions, and coverage policies.</w:t>
      </w:r>
    </w:p>
    <w:bookmarkEnd w:id="23"/>
    <w:bookmarkStart w:id="24" w:name="computational-evaluation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Computational evaluation</w:t>
      </w:r>
    </w:p>
    <w:p>
      <w:pPr>
        <w:pStyle w:val="FirstParagraph"/>
      </w:pPr>
      <w:r>
        <w:t xml:space="preserve">The fixed acceptance criteria and complete experiment definitions are included with the article.</w:t>
      </w:r>
      <w:r>
        <w:t xml:space="preserve"> </w:t>
      </w:r>
      <w:r>
        <w:t xml:space="preserve">The base analysis uses R’s Mersenne–Twister generator, inversion normal generation, and rejection sampling with seed 7447.</w:t>
      </w:r>
      <w:r>
        <w:t xml:space="preserve"> </w:t>
      </w:r>
      <w:r>
        <w:t xml:space="preserve">No method, transformation, or signature is selected according to favorable results.</w:t>
      </w:r>
      <w:r>
        <w:t xml:space="preserve"> </w:t>
      </w:r>
      <w:r>
        <w:t xml:space="preserve">Numerically indistinguishable AUROC scores are tied after rounding to 12 significant digits.</w:t>
      </w:r>
      <w:r>
        <w:t xml:space="preserve"> </w:t>
      </w:r>
      <w:r>
        <w:t xml:space="preserve">This prevents floating-point residue from separating mathematically equal totals.</w:t>
      </w:r>
    </w:p>
    <w:p>
      <w:pPr>
        <w:pStyle w:val="BodyText"/>
      </w:pPr>
      <w:r>
        <w:t xml:space="preserve">Each simulation configuration contains 50 independent replicates.</w:t>
      </w:r>
      <w:r>
        <w:t xml:space="preserve"> </w:t>
      </w:r>
      <w:r>
        <w:t xml:space="preserve">Each replicate has 500 genes and 80 samples, with 40 samples in each labeled group.</w:t>
      </w:r>
      <w:r>
        <w:t xml:space="preserve"> </w:t>
      </w:r>
      <w:r>
        <w:t xml:space="preserve">Target sets contain either 10 or 50 genes.</w:t>
      </w:r>
      <w:r>
        <w:t xml:space="preserve"> </w:t>
      </w:r>
      <w:r>
        <w:t xml:space="preserve">Baseline values follow a Gamma distribution with shape and rate equal to two.</w:t>
      </w:r>
      <w:r>
        <w:t xml:space="preserve"> </w:t>
      </w:r>
      <w:r>
        <w:t xml:space="preserve">The following mechanisms change the second group: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all target members by 1.5.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broad magnitude increase.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10% of target members by six.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localized magnitude increase.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Same-total 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Gamma shapes are 0.5 versus eight; rescale each target total to its member count.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Equality at a fixed total; a construction probe.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group-dependent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 designed separation.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Library-size nuisance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every gene by 1.5.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to an unwanted whole-sample scale factor.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half the target members by 1.5 and divide the remainder by 1.5.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bidirectional response that an unsigned score may miss.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Heterogeneous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each gene a persistent log-normal baseline, with log standard deviation 1.5; multiply target members by 1.5.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Unequal expected gene abundance.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Correlated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target profiles by a sample-specific log-normal factor, with log mean −0.08 and standard deviation 0.4; activate by 1.5.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within-set variation.</w:t>
            </w:r>
          </w:p>
        </w:tc>
      </w:tr>
    </w:tbl>
    <w:p>
      <w:pPr>
        <w:pStyle w:val="BodyText"/>
      </w:pPr>
      <w:r>
        <w:t xml:space="preserve">The simulation endpoint is directional AUROC: larger scores are assigned to the second group.</w:t>
      </w:r>
      <w:r>
        <w:t xml:space="preserve"> </w:t>
      </w:r>
      <w:r>
        <w:t xml:space="preserve">We do not flip unfavorable scores or report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</m:e>
        </m:d>
      </m:oMath>
      <w:r>
        <w:t xml:space="preserve">.</w:t>
      </w:r>
      <w:r>
        <w:t xml:space="preserve"> </w:t>
      </w:r>
      <w:r>
        <w:t xml:space="preserve">A high nuisance-scenario AUROC is a failure to remove that nuisance, not a success.</w:t>
      </w:r>
      <w:r>
        <w:t xml:space="preserve"> </w:t>
      </w:r>
      <w:r>
        <w:t xml:space="preserve">An equality-scenario advantage demonstrates the formula’s target, not biological correctness.</w:t>
      </w:r>
      <w:r>
        <w:t xml:space="preserve"> </w:t>
      </w:r>
      <w:r>
        <w:t xml:space="preserve">Null AUROC near 0.5 assesses directional discrimination, not formal type-I error control.</w:t>
      </w:r>
    </w:p>
    <w:p>
      <w:pPr>
        <w:pStyle w:val="BodyText"/>
      </w:pPr>
      <w:r>
        <w:t xml:space="preserve">GeneFunnel is divided by the observed member count for scale reporting.</w:t>
      </w:r>
      <w:r>
        <w:t xml:space="preserve"> </w:t>
      </w:r>
      <w:r>
        <w:t xml:space="preserve">This leaves its AUROC unchanged within complete, fixed-size sets.</w:t>
      </w:r>
      <w:r>
        <w:t xml:space="preserve"> </w:t>
      </w:r>
      <w:r>
        <w:t xml:space="preserve">The arithmetic mean removes the entire penalty.</w:t>
      </w:r>
      <w:r>
        <w:t xml:space="preserve"> </w:t>
      </w:r>
      <w:r>
        <w:t xml:space="preserve">The half-penalty ablation averages the mean and GeneFunnel per member.</w:t>
      </w:r>
      <w:r>
        <w:t xml:space="preserve"> </w:t>
      </w:r>
      <w:r>
        <w:t xml:space="preserve">Additional baselines are the member minimum and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mean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log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}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latter includes a unit-dependent pseudocount and is not a zero-preserving geometric mean.</w:t>
      </w:r>
    </w:p>
    <w:p>
      <w:pPr>
        <w:pStyle w:val="BodyText"/>
      </w:pPr>
      <w:r>
        <w:t xml:space="preserve">We run the published singscore implementation with average ties and an up-regulated signature.</w:t>
      </w:r>
      <w:r>
        <w:t xml:space="preserve"> </w:t>
      </w:r>
      <w:r>
        <w:t xml:space="preserve">The score is centered, and its direction is declared known.</w:t>
      </w:r>
      <w:r>
        <w:t xml:space="preserve"> </w:t>
      </w:r>
      <w:r>
        <w:t xml:space="preserve">We run ssGSEA through GSVA with exponent 0.25 and final range normalization disabled.</w:t>
      </w:r>
      <w:r>
        <w:t xml:space="preserve"> </w:t>
      </w:r>
      <w:r>
        <w:t xml:space="preserve">GSVA uses a Gaussian kernel,</w:t>
      </w:r>
      <w:r>
        <w:t xml:space="preserve"> </w:t>
      </w:r>
      <w:r>
        <w:rPr>
          <w:rStyle w:val="VerbatimChar"/>
        </w:rPr>
        <w:t xml:space="preserve">maxDiff=TRUE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absRanking=FALSE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measurements.</w:t>
      </w:r>
      <w:r>
        <w:t xml:space="preserve"> </w:t>
      </w:r>
      <w:r>
        <w:t xml:space="preserve">ssGSEA also receives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measurements; this monotone transformation preserves its ranks.</w:t>
      </w:r>
      <w:r>
        <w:t xml:space="preserve"> </w:t>
      </w:r>
      <w:r>
        <w:t xml:space="preserve">Each GSVA fit uses only one simulation replicate because its expression distributions depend on the cohort.</w:t>
      </w:r>
      <w:r>
        <w:t xml:space="preserve"> </w:t>
      </w:r>
      <w:r>
        <w:t xml:space="preserve">The independent rank methods are batched without cohort-level score normalization.</w:t>
      </w:r>
      <w:r>
        <w:t xml:space="preserve"> </w:t>
      </w:r>
      <w:r>
        <w:t xml:space="preserve">No runtime claim compares these algorithms’ implementations.</w:t>
      </w:r>
    </w:p>
    <w:p>
      <w:pPr>
        <w:pStyle w:val="BodyText"/>
      </w:pPr>
      <w:r>
        <w:t xml:space="preserve">We report mean AUROCs and Monte Carlo standard errors across independent replicates.</w:t>
      </w:r>
      <w:r>
        <w:t xml:space="preserve"> </w:t>
      </w:r>
      <w:r>
        <w:t xml:space="preserve">Paired GeneFunnel–comparator differences use the same generated datasets.</w:t>
      </w:r>
      <w:r>
        <w:t xml:space="preserve"> </w:t>
      </w:r>
      <w:r>
        <w:t xml:space="preserve">Their 95% intervals use a Student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interval for the mean paired difference.</w:t>
      </w:r>
      <w:r>
        <w:t xml:space="preserve"> </w:t>
      </w:r>
      <w:r>
        <w:t xml:space="preserve">These intervals measure simulation precision under the stated generators, not uncertainty across biological populations.</w:t>
      </w:r>
      <w:r>
        <w:t xml:space="preserve"> </w:t>
      </w:r>
      <w:r>
        <w:t xml:space="preserve">They are pointwise, descriptive intervals; the benchmark makes no family-wise discovery claim.</w:t>
      </w:r>
    </w:p>
    <w:bookmarkEnd w:id="24"/>
    <w:bookmarkStart w:id="25" w:name="coverage-stres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Coverage stress</w:t>
      </w:r>
    </w:p>
    <w:p>
      <w:pPr>
        <w:pStyle w:val="FirstParagraph"/>
      </w:pPr>
      <w:r>
        <w:t xml:space="preserve">We generate 300 complete, 20-member Gamma profiles.</w:t>
      </w:r>
      <w:r>
        <w:t xml:space="preserve"> </w:t>
      </w:r>
      <w:r>
        <w:t xml:space="preserve">Exactly 10%, 30%, or 50% of values are masked within every profile.</w:t>
      </w:r>
      <w:r>
        <w:t xml:space="preserve"> </w:t>
      </w:r>
      <w:r>
        <w:t xml:space="preserve">The masked members are random, lowest-valued, or highest-valued.</w:t>
      </w:r>
      <w:r>
        <w:t xml:space="preserve"> </w:t>
      </w:r>
      <w:r>
        <w:t xml:space="preserve">The latter two mechanisms deliberately depend on unobserved values.</w:t>
      </w:r>
    </w:p>
    <w:p>
      <w:pPr>
        <w:pStyle w:val="BodyText"/>
      </w:pPr>
      <w:r>
        <w:t xml:space="preserve">We compare the incomplete score with its complete-data counterpart.</w:t>
      </w:r>
      <w:r>
        <w:t xml:space="preserve"> </w:t>
      </w:r>
      <w:r>
        <w:t xml:space="preserve">We also compare scores divided by observed count, using a common per-member reference.</w:t>
      </w:r>
      <w:r>
        <w:t xml:space="preserve"> </w:t>
      </w:r>
      <w:r>
        <w:t xml:space="preserve">Outcomes are median relative error, rank correlation, and retained profile counts at coverage thresholds zero, 0.8, and one.</w:t>
      </w:r>
      <w:r>
        <w:t xml:space="preserve"> </w:t>
      </w:r>
      <w:r>
        <w:t xml:space="preserve">This evaluates sensitivity to missing members, not a proposed correction for missingness.</w:t>
      </w:r>
    </w:p>
    <w:bookmarkEnd w:id="25"/>
    <w:bookmarkStart w:id="26" w:name="independent-perturbation-evaluation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Independent perturbation evaluation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airway</w:t>
      </w:r>
      <w:r>
        <w:t xml:space="preserve"> </w:t>
      </w:r>
      <w:r>
        <w:t xml:space="preserve">dataset contains RNA-seq measurements from four human airway smooth-muscle donors, with matched untreated and dexamethasone-treated cultures [7].</w:t>
      </w:r>
      <w:r>
        <w:t xml:space="preserve"> </w:t>
      </w:r>
      <w:r>
        <w:t xml:space="preserve">The intervention label is external to gene expression.</w:t>
      </w:r>
      <w:r>
        <w:t xml:space="preserve"> </w:t>
      </w:r>
      <w:r>
        <w:t xml:space="preserve">The independent evaluation unit is the donor, giving four paired contrasts.</w:t>
      </w:r>
    </w:p>
    <w:p>
      <w:pPr>
        <w:pStyle w:val="BodyText"/>
      </w:pPr>
      <w:r>
        <w:t xml:space="preserve">We freeze all 50 glucocorticoid-activated genes in Table 1 of Wang and colleagues [8].</w:t>
      </w:r>
      <w:r>
        <w:t xml:space="preserve"> </w:t>
      </w:r>
      <w:r>
        <w:t xml:space="preserve">That signature was identified and confirmed in A549 cells, independently of the airway dataset.</w:t>
      </w:r>
      <w:r>
        <w:t xml:space="preserve"> </w:t>
      </w:r>
      <w:r>
        <w:t xml:space="preserve">Its discovery involved dexamethasone and cycloheximide; confirmation included multiple time points.</w:t>
      </w:r>
      <w:r>
        <w:t xml:space="preserve"> </w:t>
      </w:r>
      <w:r>
        <w:t xml:space="preserve">The cell system and treatment context differ from airway smooth muscle.</w:t>
      </w:r>
      <w:r>
        <w:t xml:space="preserve"> </w:t>
      </w:r>
      <w:r>
        <w:t xml:space="preserve">Accordingly, this is a transfer evaluation, not an assumption that every member must respond identically.</w:t>
      </w:r>
    </w:p>
    <w:p>
      <w:pPr>
        <w:pStyle w:val="BodyText"/>
      </w:pPr>
      <w:r>
        <w:t xml:space="preserve">Original labels are mapped to approved HGNC symbols and Ensembl identifiers using a checksum-pinned HGNC complete-set snapshot [9].</w:t>
      </w:r>
      <w:r>
        <w:t xml:space="preserve"> </w:t>
      </w:r>
      <w:r>
        <w:t xml:space="preserve">Ambiguous compound names use explicit source-defined rules.</w:t>
      </w:r>
      <w:r>
        <w:t xml:space="preserve"> </w:t>
      </w:r>
      <w:r>
        <w:t xml:space="preserve">The full source table, mapping recipe, compressed HGNC snapshot, and final mapping are included.</w:t>
      </w:r>
      <w:r>
        <w:t xml:space="preserve"> </w:t>
      </w:r>
      <w:r>
        <w:t xml:space="preserve">No response-dependent gene selection occurs.</w:t>
      </w:r>
      <w:r>
        <w:t xml:space="preserve"> </w:t>
      </w:r>
      <w:r>
        <w:t xml:space="preserve">The original table duplicates one GenBank accession for two labels; label-based mapping avoids treating that accession as unique.</w:t>
      </w:r>
      <w:r>
        <w:t xml:space="preserve"> </w:t>
      </w:r>
      <w:r>
        <w:t xml:space="preserve">The declared panel retains its pseudogene and all original members for coverage reporting.</w:t>
      </w:r>
    </w:p>
    <w:p>
      <w:pPr>
        <w:pStyle w:val="BodyText"/>
      </w:pPr>
      <w:r>
        <w:t xml:space="preserve">Native Ensembl rows form the common background for every method.</w:t>
      </w:r>
      <w:r>
        <w:t xml:space="preserve"> </w:t>
      </w:r>
      <w:r>
        <w:t xml:space="preserve">Counts are converted to counts per million using the full assay library totals.</w:t>
      </w:r>
      <w:r>
        <w:t xml:space="preserve"> </w:t>
      </w:r>
      <w:r>
        <w:t xml:space="preserve">Constant CPM rows are removed independently of treatment labels.</w:t>
      </w:r>
      <w:r>
        <w:t xml:space="preserve"> </w:t>
      </w:r>
      <w:r>
        <w:t xml:space="preserve">The primary magnitude-scoring scale is CPM, with</w:t>
      </w:r>
      <w:r>
        <w:t xml:space="preserve"> </w:t>
      </w:r>
      <w:r>
        <w:rPr>
          <w:rStyle w:val="VerbatimChar"/>
        </w:rPr>
        <w:t xml:space="preserve">log1p(CPM)</w:t>
      </w:r>
      <w:r>
        <w:t xml:space="preserve"> </w:t>
      </w:r>
      <w:r>
        <w:t xml:space="preserve">as a fixed sensitivity analysis.</w:t>
      </w:r>
      <w:r>
        <w:t xml:space="preserve"> </w:t>
      </w:r>
      <w:r>
        <w:t xml:space="preserve">GSVA receives</w:t>
      </w:r>
      <w:r>
        <w:t xml:space="preserve"> </w:t>
      </w:r>
      <w:r>
        <w:rPr>
          <w:rStyle w:val="VerbatimChar"/>
        </w:rPr>
        <w:t xml:space="preserve">log1p(CPM)</w:t>
      </w:r>
      <w:r>
        <w:t xml:space="preserve"> </w:t>
      </w:r>
      <w:r>
        <w:t xml:space="preserve">once in both panels; the sensitivity analysis does not apply a second logarithm.</w:t>
      </w:r>
      <w:r>
        <w:t xml:space="preserve"> </w:t>
      </w:r>
      <w:r>
        <w:t xml:space="preserve">The two rank methods retain identical scores under the monotone transformation.</w:t>
      </w:r>
      <w:r>
        <w:t xml:space="preserve"> </w:t>
      </w:r>
      <w:r>
        <w:t xml:space="preserve">All methods score the same observed panel members and background.</w:t>
      </w:r>
      <w:r>
        <w:t xml:space="preserve"> </w:t>
      </w:r>
      <w:r>
        <w:t xml:space="preserve">We report every donor-level treated-minus-control difference, sign concordance, and exact binomial intervals.</w:t>
      </w:r>
      <w:r>
        <w:t xml:space="preserve"> </w:t>
      </w:r>
      <w:r>
        <w:t xml:space="preserve">Sign tests condition on non-tied pairs; all-tied methods have undefined sign intervals and tests.</w:t>
      </w:r>
      <w:r>
        <w:t xml:space="preserve"> </w:t>
      </w:r>
      <w:r>
        <w:t xml:space="preserve">The two-sided sign test cannot reach 0.05 with four concordant, non-tied pairs: its smallest possible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0.125.</w:t>
      </w:r>
      <w:r>
        <w:t xml:space="preserve"> </w:t>
      </w:r>
      <w:r>
        <w:t xml:space="preserve">We therefore do not use this experiment to establish comparative superiority.</w:t>
      </w:r>
    </w:p>
    <w:bookmarkEnd w:id="26"/>
    <w:bookmarkStart w:id="27" w:name="alzheimer-cohort-analysi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Alzheimer cohort analysis</w:t>
      </w:r>
    </w:p>
    <w:p>
      <w:pPr>
        <w:pStyle w:val="FirstParagraph"/>
      </w:pPr>
      <w:r>
        <w:t xml:space="preserve">The bundled GSE125583 fixture contains 289 fusiform-gyrus samples: 219 Alzheimer cases and 70 controls [10].</w:t>
      </w:r>
      <w:r>
        <w:t xml:space="preserve"> </w:t>
      </w:r>
      <w:r>
        <w:t xml:space="preserve">Each sample represents a distinct recorded subject.</w:t>
      </w:r>
      <w:r>
        <w:t xml:space="preserve"> </w:t>
      </w:r>
      <w:r>
        <w:t xml:space="preserve">The panel is fixed as SYN1, SYN2, SYP, SNAP25, STX1A, and VAMP2.</w:t>
      </w:r>
      <w:r>
        <w:t xml:space="preserve"> </w:t>
      </w:r>
      <w:r>
        <w:t xml:space="preserve">It is an illustrative presynaptic panel, not a newly discovered signature or the source study’s pathway analysis.</w:t>
      </w:r>
    </w:p>
    <w:p>
      <w:pPr>
        <w:pStyle w:val="BodyText"/>
      </w:pPr>
      <w:r>
        <w:t xml:space="preserve">The primary preprocessing divides each gene’s nRPKM by its control median.</w:t>
      </w:r>
      <w:r>
        <w:t xml:space="preserve"> </w:t>
      </w:r>
      <w:r>
        <w:t xml:space="preserve">Raw nRPKM and</w:t>
      </w:r>
      <w:r>
        <w:t xml:space="preserve"> </w:t>
      </w:r>
      <w:r>
        <w:rPr>
          <w:rStyle w:val="VerbatimChar"/>
        </w:rPr>
        <w:t xml:space="preserve">log1p(nRPKM)</w:t>
      </w:r>
      <w:r>
        <w:t xml:space="preserve"> </w:t>
      </w:r>
      <w:r>
        <w:t xml:space="preserve">provide sensitivity analyses.</w:t>
      </w:r>
      <w:r>
        <w:t xml:space="preserve"> </w:t>
      </w:r>
      <w:r>
        <w:t xml:space="preserve">We compare GeneFunnel with the four magnitude-based baselines.</w:t>
      </w:r>
      <w:r>
        <w:t xml:space="preserve"> </w:t>
      </w:r>
      <w:r>
        <w:t xml:space="preserve">Rank methods are not applied to this six-gene fixture because it lacks the full transcriptomic background.</w:t>
      </w:r>
    </w:p>
    <w:p>
      <w:pPr>
        <w:pStyle w:val="BodyText"/>
      </w:pPr>
      <w:r>
        <w:t xml:space="preserve">The primary association is Spearman correlation with recorded Braak stage.</w:t>
      </w:r>
      <w:r>
        <w:t xml:space="preserve"> </w:t>
      </w:r>
      <w:r>
        <w:t xml:space="preserve">It uses 287 subjects; covariate adjustment uses 287.</w:t>
      </w:r>
      <w:r>
        <w:t xml:space="preserve"> </w:t>
      </w:r>
      <w:r>
        <w:t xml:space="preserve">We also report a partial rank correlation after adjusting ranked age and sex.</w:t>
      </w:r>
      <w:r>
        <w:t xml:space="preserve"> </w:t>
      </w:r>
      <w:r>
        <w:t xml:space="preserve">Complete observations are used separately for each endpoint.</w:t>
      </w:r>
      <w:r>
        <w:t xml:space="preserve"> </w:t>
      </w:r>
      <w:r>
        <w:t xml:space="preserve">Intervals use 2,000 subject-level bootstrap replicates, stratified by diagnosis.</w:t>
      </w:r>
      <w:r>
        <w:t xml:space="preserve"> </w:t>
      </w:r>
      <w:r>
        <w:t xml:space="preserve">Control-median preprocessing is re-estimated inside every bootstrap replicate.</w:t>
      </w:r>
      <w:r>
        <w:t xml:space="preserve"> </w:t>
      </w:r>
      <w:r>
        <w:t xml:space="preserve">Comparator differences use the same resampled subjects.</w:t>
      </w:r>
      <w:r>
        <w:t xml:space="preserve"> </w:t>
      </w:r>
      <w:r>
        <w:t xml:space="preserve">The intervals are conditional on the observed case–control counts.</w:t>
      </w:r>
    </w:p>
    <w:p>
      <w:pPr>
        <w:pStyle w:val="BodyText"/>
      </w:pPr>
      <w:r>
        <w:t xml:space="preserve">Apparent diagnosis AUROC is descriptive and uses lower scores to indicate disease.</w:t>
      </w:r>
      <w:r>
        <w:t xml:space="preserve"> </w:t>
      </w:r>
      <w:r>
        <w:t xml:space="preserve">It is not held-out predictive performance: controls also define the expression reference.</w:t>
      </w:r>
      <w:r>
        <w:t xml:space="preserve"> </w:t>
      </w:r>
      <w:r>
        <w:t xml:space="preserve">We report no diagnostic threshold, calibration, clinical utility, or causal effect.</w:t>
      </w:r>
      <w:r>
        <w:t xml:space="preserve"> </w:t>
      </w:r>
      <w:r>
        <w:t xml:space="preserve">Missing covariates, cell composition, post-mortem effects, and unmodeled technical variables limit interpretation.</w:t>
      </w:r>
      <w:r>
        <w:t xml:space="preserve"> </w:t>
      </w:r>
      <w:r>
        <w:t xml:space="preserve">The fixture cannot support adjustment for unavailable covariates.</w:t>
      </w:r>
    </w:p>
    <w:bookmarkEnd w:id="27"/>
    <w:bookmarkStart w:id="28" w:name="Xedbd81452a5513f8e0b157eaca3fab151ea43aa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Larger public matrix and computational measurements</w:t>
      </w:r>
    </w:p>
    <w:p>
      <w:pPr>
        <w:pStyle w:val="FirstParagraph"/>
      </w:pPr>
      <w:r>
        <w:t xml:space="preserve">GSE60361 supplies a mouse brain expression-scale example [11].</w:t>
      </w:r>
      <w:r>
        <w:t xml:space="preserve"> </w:t>
      </w:r>
      <w:r>
        <w:t xml:space="preserve">The fixture aggregates 19,972 endogenous genes into 47 subtype profiles from 2,816 annotated cells in seven broad classes.</w:t>
      </w:r>
      <w:r>
        <w:t xml:space="preserve"> </w:t>
      </w:r>
      <w:r>
        <w:t xml:space="preserve">It does not retain donor-level replication or cell-level counts.</w:t>
      </w:r>
      <w:r>
        <w:t xml:space="preserve"> </w:t>
      </w:r>
      <w:r>
        <w:t xml:space="preserve">We therefore report descriptive quantities without confidence intervals or class-prediction accuracy.</w:t>
      </w:r>
    </w:p>
    <w:p>
      <w:pPr>
        <w:pStyle w:val="BodyText"/>
      </w:pPr>
      <w:r>
        <w:t xml:space="preserve">Genes are ranked by median broad-class CPM, with deterministic name-based tie breaking.</w:t>
      </w:r>
      <w:r>
        <w:t xml:space="preserve"> </w:t>
      </w:r>
      <w:r>
        <w:t xml:space="preserve">The top 500 and 5,000 genes form nested abundance panels, not pathways.</w:t>
      </w:r>
      <w:r>
        <w:t xml:space="preserve"> </w:t>
      </w:r>
      <w:r>
        <w:t xml:space="preserve">We compare subtype CPM with expression divided by the broad-class median reference.</w:t>
      </w:r>
      <w:r>
        <w:t xml:space="preserve"> </w:t>
      </w:r>
      <w:r>
        <w:t xml:space="preserve">These reference values use the same source cohort; they are not an external validation set.</w:t>
      </w:r>
      <w:r>
        <w:t xml:space="preserve"> </w:t>
      </w:r>
      <w:r>
        <w:t xml:space="preserve">We report totals, scores, and retained fractions for every subtype.</w:t>
      </w:r>
    </w:p>
    <w:p>
      <w:pPr>
        <w:pStyle w:val="BodyText"/>
      </w:pPr>
      <w:r>
        <w:t xml:space="preserve">Runtime measurements use 5,000 features, 200 samples, and 200 sets containing 50 members.</w:t>
      </w:r>
      <w:r>
        <w:t xml:space="preserve"> </w:t>
      </w:r>
      <w:r>
        <w:t xml:space="preserve">Matrices have generated nonzero densities of 0.05, 0.5, and one.</w:t>
      </w:r>
      <w:r>
        <w:t xml:space="preserve"> </w:t>
      </w:r>
      <w:r>
        <w:t xml:space="preserve">Dense and sparse inputs represent the same values.</w:t>
      </w:r>
      <w:r>
        <w:t xml:space="preserve"> </w:t>
      </w:r>
      <w:r>
        <w:t xml:space="preserve">Each route is warmed once and timed seven times in serial execution.</w:t>
      </w:r>
      <w:r>
        <w:t xml:space="preserve"> </w:t>
      </w:r>
      <w:r>
        <w:t xml:space="preserve">We report elapsed-time ranges and stored input bytes, not peak memory, asymptotic scaling, or cross-package speed rankings.</w:t>
      </w:r>
    </w:p>
    <w:bookmarkEnd w:id="28"/>
    <w:bookmarkEnd w:id="29"/>
    <w:bookmarkStart w:id="45" w:name="resul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Results</w:t>
      </w:r>
    </w:p>
    <w:bookmarkStart w:id="30" w:name="algebraic-checks-and-numerical-semantic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Algebraic checks and numerical semantics</w:t>
      </w:r>
    </w:p>
    <w:p>
      <w:pPr>
        <w:pStyle w:val="FirstParagraph"/>
      </w:pPr>
      <w:r>
        <w:t xml:space="preserve">The independent integer-grid oracle evaluates all vectors with entries from zero to three for sizes two through five.</w:t>
      </w:r>
      <w:r>
        <w:t xml:space="preserve"> </w:t>
      </w:r>
      <w:r>
        <w:t xml:space="preserve">It covers 1360 vectors.</w:t>
      </w:r>
      <w:r>
        <w:t xml:space="preserve"> </w:t>
      </w:r>
      <w:r>
        <w:t xml:space="preserve">The largest observed identity or property violation is 1.776357e-15.</w:t>
      </w:r>
      <w:r>
        <w:t xml:space="preserve"> </w:t>
      </w:r>
      <w:r>
        <w:t xml:space="preserve">The grid includes zeros, ties, concentrated profiles, and dominant-member plateaus.</w:t>
      </w:r>
      <w:r>
        <w:t xml:space="preserve"> </w:t>
      </w:r>
      <w:r>
        <w:t xml:space="preserve">Its equality-under-mixing check is a permutation-based concavity probe; the general proof does not depend on that grid.</w:t>
      </w:r>
    </w:p>
    <w:p>
      <w:pPr>
        <w:pStyle w:val="BodyText"/>
      </w:pPr>
      <w:r>
        <w:t xml:space="preserve">The implementation’s specification additionally distinguishes absent members, missing observations, and implicit sparse zeros.</w:t>
      </w:r>
      <w:r>
        <w:t xml:space="preserve"> </w:t>
      </w:r>
      <w:r>
        <w:t xml:space="preserve">The package tests cover numerical extremes, dense and sparse storage, observation policies, experiment containers, and parallel ordering.</w:t>
      </w:r>
      <w:r>
        <w:t xml:space="preserve"> </w:t>
      </w:r>
      <w:r>
        <w:t xml:space="preserve">The publication reproduction gate reruns deterministic tables and figures in a separate R process.</w:t>
      </w:r>
    </w:p>
    <w:bookmarkEnd w:id="30"/>
    <w:bookmarkStart w:id="34" w:name="simulation-exposes-different-target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Simulation exposes different targets</w:t>
      </w:r>
    </w:p>
    <w:p>
      <w:pPr>
        <w:pStyle w:val="FirstParagraph"/>
      </w:pPr>
      <w:r>
        <w:t xml:space="preserve">Figure 1 shows all mechanisms and both set sizes.</w:t>
      </w:r>
      <w:r>
        <w:t xml:space="preserve"> </w:t>
      </w:r>
      <w:r>
        <w:t xml:space="preserve">Table 1 gives the 50-member results; the supplement includes the 10-member results and paired differences.</w:t>
      </w:r>
    </w:p>
    <w:p>
      <w:pPr>
        <w:pStyle w:val="TableCaption"/>
      </w:pPr>
      <w:r>
        <w:t xml:space="preserve">Table 1. Mean directional AUROC ± Monte Carlo standard error; 50-member sets, 50 replicates.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1. Mean directional AUROC ± Monte Carlo standard error; 50-member sets, 50 replicates."/>
      </w:tblPr>
      <w:tblGrid>
        <w:gridCol w:w="2084"/>
        <w:gridCol w:w="1167"/>
        <w:gridCol w:w="1167"/>
        <w:gridCol w:w="1167"/>
        <w:gridCol w:w="1167"/>
        <w:gridCol w:w="11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ssGSEA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 ±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 ±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 ±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 ± 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 ± 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 ±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0.776 ± 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 ± 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 ± 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total 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 ±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± 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0.496 ± 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0.497 ± 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0.497 ± 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 ± 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 ± 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size nuisance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 ± 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0.508 ± 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0.548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 ± 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heterogeneous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 ± 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 ±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 ±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 ± 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correlated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0.746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 ± 0.007</w:t>
            </w:r>
          </w:p>
        </w:tc>
      </w:tr>
    </w:tbl>
    <w:p>
      <w:pPr>
        <w:pStyle w:val="CaptionedFigure"/>
      </w:pPr>
      <w:r>
        <w:drawing>
          <wp:inline>
            <wp:extent cx="5334000" cy="4364181"/>
            <wp:effectExtent b="0" l="0" r="0" t="0"/>
            <wp:docPr descr="Figure 1. Directional AUROC across simulation mechanisms. Facet labels indicate set size. Error bars show 1.96 Monte Carlo standard errors, not biological confidence intervals. Library-size separation is unwanted nuisance sensitivity. Same-total separation is an algebraic construction result." title="" id="32" name="Picture"/>
            <a:graphic>
              <a:graphicData uri="http://schemas.openxmlformats.org/drawingml/2006/picture">
                <pic:pic>
                  <pic:nvPicPr>
                    <pic:cNvPr descr="article_files/figures/simul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Directional AUROC across simulation mechanisms. Facet labels indicate set size. Error bars show 1.96 Monte Carlo standard errors, not biological confidence intervals. Library-size separation is unwanted nuisance sensitivity. Same-total separation is an algebraic construction result.</w:t>
      </w:r>
    </w:p>
    <w:p>
      <w:pPr>
        <w:pStyle w:val="BodyText"/>
      </w:pPr>
      <w:r>
        <w:t xml:space="preserve">For 50-member sparse activation, GeneFunnel has mean AUROC 0.942, compared with 0.989 for the mean.</w:t>
      </w:r>
      <w:r>
        <w:t xml:space="preserve"> </w:t>
      </w:r>
      <w:r>
        <w:t xml:space="preserve">Under the library-size nuisance, its AUROC is 0.997, while singscore remains near chance at 0.504.</w:t>
      </w:r>
      <w:r>
        <w:t xml:space="preserve"> </w:t>
      </w:r>
      <w:r>
        <w:t xml:space="preserve">This separation is an unwanted sensitivity to whole-sample scale.</w:t>
      </w:r>
      <w:r>
        <w:t xml:space="preserve"> </w:t>
      </w:r>
      <w:r>
        <w:t xml:space="preserve">With heterogeneous gene baselines, GeneFunnel reaches 0.981, versus 0.994 for GSVA.</w:t>
      </w:r>
      <w:r>
        <w:t xml:space="preserve"> </w:t>
      </w:r>
      <w:r>
        <w:t xml:space="preserve">A single ordering of methods is not an appropriate summary across these endpoints.</w:t>
      </w:r>
      <w:r>
        <w:t xml:space="preserve"> </w:t>
      </w:r>
      <w:r>
        <w:t xml:space="preserve">Uniform and sparse activation ask different questions from equality at fixed total.</w:t>
      </w:r>
      <w:r>
        <w:t xml:space="preserve"> </w:t>
      </w:r>
      <w:r>
        <w:t xml:space="preserve">The nuisance scenario explicitly separates magnitude preservation from scale invariance.</w:t>
      </w:r>
      <w:r>
        <w:t xml:space="preserve"> </w:t>
      </w:r>
      <w:r>
        <w:t xml:space="preserve">The heterogeneous and correlated scenarios challenge the common-baseline and independent-member assumptions.</w:t>
      </w:r>
      <w:r>
        <w:t xml:space="preserve"> </w:t>
      </w:r>
      <w:r>
        <w:t xml:space="preserve">The complete paired differences are retained, including unfavorable and inconclusive comparisons.</w:t>
      </w:r>
    </w:p>
    <w:bookmarkEnd w:id="34"/>
    <w:bookmarkStart w:id="35" w:name="missingness-changes-the-target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Missingness changes the target</w:t>
      </w:r>
    </w:p>
    <w:p>
      <w:pPr>
        <w:pStyle w:val="TableCaption"/>
      </w:pPr>
      <w:r>
        <w:t xml:space="preserve">Table 2. Incomplete versus complete profiles without a coverage filter. Relative errors are signed.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2. Incomplete versus complete profiles without a coverage filter. Relative errors are signed."/>
      </w:tblPr>
      <w:tblGrid>
        <w:gridCol w:w="212"/>
        <w:gridCol w:w="1202"/>
        <w:gridCol w:w="707"/>
        <w:gridCol w:w="2121"/>
        <w:gridCol w:w="2475"/>
        <w:gridCol w:w="120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Missing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relative error (total)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relative error (per member)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</w:tr>
    </w:tbl>
    <w:p>
      <w:pPr>
        <w:pStyle w:val="BodyText"/>
      </w:pPr>
      <w:r>
        <w:t xml:space="preserve">Dividing by the observed count does not remove value-dependent missingness bias.</w:t>
      </w:r>
      <w:r>
        <w:t xml:space="preserve"> </w:t>
      </w:r>
      <w:r>
        <w:t xml:space="preserve">A strict coverage policy replaces inadequate scores with missing values; it does not reconstruct complete profiles.</w:t>
      </w:r>
      <w:r>
        <w:t xml:space="preserve"> </w:t>
      </w:r>
      <w:r>
        <w:t xml:space="preserve">The supplement reports the corresponding losses in retained profiles.</w:t>
      </w:r>
      <w:r>
        <w:t xml:space="preserve"> </w:t>
      </w:r>
      <w:r>
        <w:t xml:space="preserve">These results support reporting observation counts alongside scores, especially when comparing samples with different coverage.</w:t>
      </w:r>
    </w:p>
    <w:bookmarkEnd w:id="35"/>
    <w:bookmarkStart w:id="39" w:name="X3b345a9c1986bcf0538b362325ab4251b7026d0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Transfer to an independent glucocorticoid intervention</w:t>
      </w:r>
    </w:p>
    <w:p>
      <w:pPr>
        <w:pStyle w:val="FirstParagraph"/>
      </w:pPr>
      <w:r>
        <w:t xml:space="preserve">The observed airway scoring panel contains 49 of its 50 declared members.</w:t>
      </w:r>
      <w:r>
        <w:t xml:space="preserve"> </w:t>
      </w:r>
      <w:r>
        <w:t xml:space="preserve">The fixed mapping and assay-coverage table retain every original label.</w:t>
      </w:r>
      <w:r>
        <w:t xml:space="preserve"> </w:t>
      </w:r>
      <w:r>
        <w:t xml:space="preserve">Table 3 reports all methods and both preprocessing choices.</w:t>
      </w:r>
    </w:p>
    <w:p>
      <w:pPr>
        <w:pStyle w:val="TableCaption"/>
      </w:pPr>
      <w:r>
        <w:t xml:space="preserve">Table 3. Independent glucocorticoid signature transfer. Differences use each method’s own units and must not be compared across methods.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3. Independent glucocorticoid signature transfer. Differences use each method’s own units and must not be compared across methods."/>
      </w:tblPr>
      <w:tblGrid>
        <w:gridCol w:w="776"/>
        <w:gridCol w:w="1242"/>
        <w:gridCol w:w="1242"/>
        <w:gridCol w:w="854"/>
        <w:gridCol w:w="931"/>
        <w:gridCol w:w="1941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Increased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Tied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Donor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paired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Sign-test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GeneFunnel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log1p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ssGSEA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1162.6175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 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GeneFunnel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 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 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 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log1p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 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 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 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ssGSEA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1162.6175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 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</w:tbl>
    <w:p>
      <w:pPr>
        <w:pStyle w:val="BodyText"/>
      </w:pPr>
      <w:r>
        <w:t xml:space="preserve">GeneFunnel and every comparator except the minimum increase in all four donor pairs on both scoring scales.</w:t>
      </w:r>
      <w:r>
        <w:t xml:space="preserve"> </w:t>
      </w:r>
      <w:r>
        <w:t xml:space="preserve">The minimum remains zero, giving four ties.</w:t>
      </w:r>
      <w:r>
        <w:t xml:space="preserve"> </w:t>
      </w:r>
      <w:r>
        <w:t xml:space="preserve">The two-sided sign test is 0.125 for each non-tied method; these shared directions do not identify a superior scorer.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e 2. Every donor-level contrast for the independent glucocorticoid signature, scored on CPM. Facets use method-specific vertical scales. All points represent paired biological donors; zero ties remain visible." title="" id="37" name="Picture"/>
            <a:graphic>
              <a:graphicData uri="http://schemas.openxmlformats.org/drawingml/2006/picture">
                <pic:pic>
                  <pic:nvPicPr>
                    <pic:cNvPr descr="article_files/figures/airway-pair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Every donor-level contrast for the independent glucocorticoid signature, scored on CPM. Facets use method-specific vertical scales. All points represent paired biological donors; zero ties remain visible.</w:t>
      </w:r>
    </w:p>
    <w:p>
      <w:pPr>
        <w:pStyle w:val="BodyText"/>
      </w:pPr>
      <w:r>
        <w:t xml:space="preserve">The donor-pair table allows inspection of every directional disagreement.</w:t>
      </w:r>
      <w:r>
        <w:t xml:space="preserve"> </w:t>
      </w:r>
      <w:r>
        <w:t xml:space="preserve">Observed concordance concerns this intervention, tissue context, and externally defined signature.</w:t>
      </w:r>
      <w:r>
        <w:t xml:space="preserve"> </w:t>
      </w:r>
      <w:r>
        <w:t xml:space="preserve">Four donor pairs cannot establish a stable ranking of scoring methods or broad perturbation accuracy.</w:t>
      </w:r>
      <w:r>
        <w:t xml:space="preserve"> </w:t>
      </w:r>
      <w:r>
        <w:t xml:space="preserve">Differences between CPM and log-transformed results reflect a genuine change in GeneFunnel’s estimand.</w:t>
      </w:r>
      <w:r>
        <w:t xml:space="preserve"> </w:t>
      </w:r>
      <w:r>
        <w:t xml:space="preserve">A monotone transformation preserves ranks but does not preserve absolute deviations.</w:t>
      </w:r>
    </w:p>
    <w:bookmarkEnd w:id="39"/>
    <w:bookmarkStart w:id="43" w:name="Xbe8c3465ba6aa726fe95f11062c77edeefcf538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Disease association and preprocessing sensitivity</w:t>
      </w:r>
    </w:p>
    <w:p>
      <w:pPr>
        <w:pStyle w:val="FirstParagraph"/>
      </w:pPr>
      <w:r>
        <w:t xml:space="preserve">The primary GeneFunnel correlation with Braak stage is -0.409 (95% interval -0.506 to -0.300).</w:t>
      </w:r>
      <w:r>
        <w:t xml:space="preserve"> </w:t>
      </w:r>
      <w:r>
        <w:t xml:space="preserve">The paired GeneFunnel-minus-mean correlation difference is -0.017 (95% interval -0.034 to -0.002).</w:t>
      </w:r>
      <w:r>
        <w:t xml:space="preserve"> </w:t>
      </w:r>
      <w:r>
        <w:t xml:space="preserve">This difference compares association direction and magnitude, not causal relevance or predictive utility.</w:t>
      </w:r>
    </w:p>
    <w:p>
      <w:pPr>
        <w:pStyle w:val="TableCaption"/>
      </w:pPr>
      <w:r>
        <w:t xml:space="preserve">Table 4. Braak-stage associations with subject-level bootstrap intervals. Partial rank correlation adjusts ranked age and sex.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Table 4. Braak-stage associations with subject-level bootstrap intervals. Partial rank correlation adjusts ranked age and sex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upper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rho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GeneFunnel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rho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rho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rho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log1p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rho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GeneFunnel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log1p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-0.263</w:t>
            </w:r>
          </w:p>
        </w:tc>
      </w:tr>
    </w:tbl>
    <w:p>
      <w:pPr>
        <w:pStyle w:val="CaptionedFigure"/>
      </w:pPr>
      <w:r>
        <w:drawing>
          <wp:inline>
            <wp:extent cx="4800600" cy="2040255"/>
            <wp:effectExtent b="0" l="0" r="0" t="0"/>
            <wp:docPr descr="Figure 3. Braak-stage associations for the fixed presynaptic panel. Intervals use 2,000 diagnosis-stratified subject bootstraps with reference scaling recomputed in each replicate." title="" id="41" name="Picture"/>
            <a:graphic>
              <a:graphicData uri="http://schemas.openxmlformats.org/drawingml/2006/picture">
                <pic:pic>
                  <pic:nvPicPr>
                    <pic:cNvPr descr="article_files/figures/ad-associa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4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Braak-stage associations for the fixed presynaptic panel. Intervals use 2,000 diagnosis-stratified subject bootstraps with reference scaling recomputed in each replicate.</w:t>
      </w:r>
    </w:p>
    <w:p>
      <w:pPr>
        <w:pStyle w:val="BodyText"/>
      </w:pPr>
      <w:r>
        <w:t xml:space="preserve">The complete preprocessing analysis is included in the supplement.</w:t>
      </w:r>
      <w:r>
        <w:t xml:space="preserve"> </w:t>
      </w:r>
      <w:r>
        <w:t xml:space="preserve">Differences among these estimates show that the score alone does not determine the result.</w:t>
      </w:r>
      <w:r>
        <w:t xml:space="preserve"> </w:t>
      </w:r>
      <w:r>
        <w:t xml:space="preserve">The data do not distinguish expression changes within cells from changes in tissue composition.</w:t>
      </w:r>
      <w:r>
        <w:t xml:space="preserve"> </w:t>
      </w:r>
      <w:r>
        <w:t xml:space="preserve">No new Alzheimer mechanism is inferred.</w:t>
      </w:r>
    </w:p>
    <w:bookmarkEnd w:id="43"/>
    <w:bookmarkStart w:id="44" w:name="large-panel-behavior-and-storag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Large-panel behavior and storage</w:t>
      </w:r>
    </w:p>
    <w:p>
      <w:pPr>
        <w:pStyle w:val="TableCaption"/>
      </w:pPr>
      <w:r>
        <w:t xml:space="preserve">Table 5. Descriptive large-panel retained fractions. Subtypes are not independent biological replicates.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5. Descriptive large-panel retained fractions. Subtypes are not independent biological replicates."/>
      </w:tblPr>
      <w:tblGrid>
        <w:gridCol w:w="1245"/>
        <w:gridCol w:w="1512"/>
        <w:gridCol w:w="1512"/>
        <w:gridCol w:w="2224"/>
        <w:gridCol w:w="711"/>
        <w:gridCol w:w="71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Panel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Subtype profiles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retained 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scaled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scaled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</w:tr>
    </w:tbl>
    <w:p/>
    <w:p>
      <w:pPr>
        <w:pStyle w:val="TableCaption"/>
      </w:pPr>
      <w:r>
        <w:t xml:space="preserve">Table 6. Serial runtime and stored input sizes for the fixed workload. Peak memory was not measured.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6. Serial runtime and stored input sizes for the fixed workload. Peak memory was not measured."/>
      </w:tblPr>
      <w:tblGrid>
        <w:gridCol w:w="1320"/>
        <w:gridCol w:w="660"/>
        <w:gridCol w:w="907"/>
        <w:gridCol w:w="990"/>
        <w:gridCol w:w="990"/>
        <w:gridCol w:w="990"/>
        <w:gridCol w:w="206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Nonzero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 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 score difference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8320440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8320440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6323088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8320440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12322352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Absolute scores inherit panel size and measurement units.</w:t>
      </w:r>
      <w:r>
        <w:t xml:space="preserve"> </w:t>
      </w:r>
      <w:r>
        <w:t xml:space="preserve">Dividing by the observed total yields a retained fraction, but changes the estimand from magnitude to inequality.</w:t>
      </w:r>
      <w:r>
        <w:t xml:space="preserve"> </w:t>
      </w:r>
      <w:r>
        <w:t xml:space="preserve">Dense and sparse calculations agree within the stated numerical tolerance.</w:t>
      </w:r>
      <w:r>
        <w:t xml:space="preserve"> </w:t>
      </w:r>
      <w:r>
        <w:t xml:space="preserve">These workloads establish reproducible functionality, not a general efficiency advantage.</w:t>
      </w:r>
    </w:p>
    <w:bookmarkEnd w:id="44"/>
    <w:bookmarkEnd w:id="45"/>
    <w:bookmarkStart w:id="46" w:name="discuss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Discussion</w:t>
      </w:r>
    </w:p>
    <w:p>
      <w:pPr>
        <w:pStyle w:val="FirstParagraph"/>
      </w:pPr>
      <w:r>
        <w:t xml:space="preserve">GeneFunnel provides a direct summary when both total magnitude and numerical equality are scientifically relevant.</w:t>
      </w:r>
      <w:r>
        <w:t xml:space="preserve"> </w:t>
      </w:r>
      <w:r>
        <w:t xml:space="preserve">Its Pietra identity makes this assumption explicit.</w:t>
      </w:r>
      <w:r>
        <w:t xml:space="preserve"> </w:t>
      </w:r>
      <w:r>
        <w:t xml:space="preserve">The score is useful as an alternative representation, not as evidence that a gene set is active.</w:t>
      </w:r>
    </w:p>
    <w:p>
      <w:pPr>
        <w:pStyle w:val="BodyText"/>
      </w:pPr>
      <w:r>
        <w:t xml:space="preserve">The dominant-member plateau is both a feature and a limitation.</w:t>
      </w:r>
      <w:r>
        <w:t xml:space="preserve"> </w:t>
      </w:r>
      <w:r>
        <w:t xml:space="preserve">It prevents one sufficiently large member from indefinitely driving the score.</w:t>
      </w:r>
      <w:r>
        <w:t xml:space="preserve"> </w:t>
      </w:r>
      <w:r>
        <w:t xml:space="preserve">It also makes the score insensitive to that member’s further genuine activation.</w:t>
      </w:r>
      <w:r>
        <w:t xml:space="preserve"> </w:t>
      </w:r>
      <w:r>
        <w:t xml:space="preserve">Sparse biological responses can therefore favor a mean or rank-based summary.</w:t>
      </w:r>
      <w:r>
        <w:t xml:space="preserve"> </w:t>
      </w:r>
      <w:r>
        <w:t xml:space="preserve">Equal-total examples cannot determine which representation is biologically preferable.</w:t>
      </w:r>
    </w:p>
    <w:p>
      <w:pPr>
        <w:pStyle w:val="BodyText"/>
      </w:pPr>
      <w:r>
        <w:t xml:space="preserve">Feature-specific expression baselines matter.</w:t>
      </w:r>
      <w:r>
        <w:t xml:space="preserve"> </w:t>
      </w:r>
      <w:r>
        <w:t xml:space="preserve">Genes can have unequal abundances while showing coordinated fold changes.</w:t>
      </w:r>
      <w:r>
        <w:t xml:space="preserve"> </w:t>
      </w:r>
      <w:r>
        <w:t xml:space="preserve">External scaling can change this behavior, but its reference and uncertainty become part of the method.</w:t>
      </w:r>
      <w:r>
        <w:t xml:space="preserve"> </w:t>
      </w:r>
      <w:r>
        <w:t xml:space="preserve">A control-derived reference is not automatic evidence of out-of-sample validity.</w:t>
      </w:r>
      <w:r>
        <w:t xml:space="preserve"> </w:t>
      </w:r>
      <w:r>
        <w:t xml:space="preserve">Likewise, sample-independent scoring does not remove batch effects or library-size differences.</w:t>
      </w:r>
    </w:p>
    <w:p>
      <w:pPr>
        <w:pStyle w:val="BodyText"/>
      </w:pPr>
      <w:r>
        <w:t xml:space="preserve">Coverage diagnostics address an observable problem without solving an unidentifiable one.</w:t>
      </w:r>
      <w:r>
        <w:t xml:space="preserve"> </w:t>
      </w:r>
      <w:r>
        <w:t xml:space="preserve">Missing values do not reveal what the unobserved members would have contributed.</w:t>
      </w:r>
      <w:r>
        <w:t xml:space="preserve"> </w:t>
      </w:r>
      <w:r>
        <w:t xml:space="preserve">Value-dependent censoring can change both the effective set and its inequality.</w:t>
      </w:r>
      <w:r>
        <w:t xml:space="preserve"> </w:t>
      </w:r>
      <w:r>
        <w:t xml:space="preserve">Thresholds make the resulting exclusion policy auditable.</w:t>
      </w:r>
      <w:r>
        <w:t xml:space="preserve"> </w:t>
      </w:r>
      <w:r>
        <w:t xml:space="preserve">They must not be described as bias corrections.</w:t>
      </w:r>
    </w:p>
    <w:p>
      <w:pPr>
        <w:pStyle w:val="BodyText"/>
      </w:pPr>
      <w:r>
        <w:t xml:space="preserve">The biological evidence remains deliberately bounded.</w:t>
      </w:r>
      <w:r>
        <w:t xml:space="preserve"> </w:t>
      </w:r>
      <w:r>
        <w:t xml:space="preserve">The airway experiment has an independent intervention and an external signature, but only four donors and one transfer context.</w:t>
      </w:r>
      <w:r>
        <w:t xml:space="preserve"> </w:t>
      </w:r>
      <w:r>
        <w:t xml:space="preserve">The Alzheimer analysis is observational and restricted to six genes.</w:t>
      </w:r>
      <w:r>
        <w:t xml:space="preserve"> </w:t>
      </w:r>
      <w:r>
        <w:t xml:space="preserve">The mouse fixture describes aggregated profiles without donor replication.</w:t>
      </w:r>
      <w:r>
        <w:t xml:space="preserve"> </w:t>
      </w:r>
      <w:r>
        <w:t xml:space="preserve">None supplies ground-truth pathway activity across many pathways or platforms.</w:t>
      </w:r>
      <w:r>
        <w:t xml:space="preserve"> </w:t>
      </w:r>
      <w:r>
        <w:t xml:space="preserve">A claim of broad superiority would require independently defined outcomes across additional perturbation cohorts and pathway collections.</w:t>
      </w:r>
      <w:r>
        <w:t xml:space="preserve"> </w:t>
      </w:r>
      <w:r>
        <w:t xml:space="preserve">That claim is not made here.</w:t>
      </w:r>
    </w:p>
    <w:p>
      <w:pPr>
        <w:pStyle w:val="BodyText"/>
      </w:pPr>
      <w:r>
        <w:t xml:space="preserve">The comparator study includes canonical published implementations and transparent ablations.</w:t>
      </w:r>
      <w:r>
        <w:t xml:space="preserve"> </w:t>
      </w:r>
      <w:r>
        <w:t xml:space="preserve">It does not benchmark every scoring method, every normalization, or implementation-level speed across packages.</w:t>
      </w:r>
      <w:r>
        <w:t xml:space="preserve"> </w:t>
      </w:r>
      <w:r>
        <w:t xml:space="preserve">The primary contribution is a reproducible, numerically robust, coverage-aware realization of a clearly defined score.</w:t>
      </w:r>
    </w:p>
    <w:bookmarkEnd w:id="46"/>
    <w:bookmarkStart w:id="48" w:name="availability-and-declaration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Availability and declarations</w:t>
      </w:r>
    </w:p>
    <w:p>
      <w:pPr>
        <w:pStyle w:val="FirstParagraph"/>
      </w:pPr>
      <w:r>
        <w:rPr>
          <w:b/>
          <w:bCs/>
        </w:rPr>
        <w:t xml:space="preserve">Software and evidence.</w:t>
      </w:r>
      <w:r>
        <w:t xml:space="preserve"> </w:t>
      </w:r>
      <w:r>
        <w:t xml:space="preserve">The package source is available at</w:t>
      </w:r>
      <w:r>
        <w:t xml:space="preserve"> </w:t>
      </w:r>
      <w:hyperlink r:id="rId47">
        <w:r>
          <w:rPr>
            <w:rStyle w:val="Hyperlink"/>
          </w:rPr>
          <w:t xml:space="preserve">https://github.com/eturkes/genefunnel</w:t>
        </w:r>
      </w:hyperlink>
      <w:r>
        <w:t xml:space="preserve"> </w:t>
      </w:r>
      <w:r>
        <w:t xml:space="preserve">under GPL version 3 or later.</w:t>
      </w:r>
      <w:r>
        <w:t xml:space="preserve"> </w:t>
      </w:r>
      <w:r>
        <w:t xml:space="preserve">The publication directory contains analysis code, inputs, results, figures, and this manuscript’s source.</w:t>
      </w:r>
      <w:r>
        <w:t xml:space="preserve"> </w:t>
      </w:r>
      <w:r>
        <w:t xml:space="preserve">The reproduction entry point is</w:t>
      </w:r>
      <w:r>
        <w:t xml:space="preserve"> </w:t>
      </w:r>
      <w:r>
        <w:rPr>
          <w:rStyle w:val="VerbatimChar"/>
        </w:rPr>
        <w:t xml:space="preserve">Rscript publication/reproduce.R</w:t>
      </w:r>
      <w:r>
        <w:t xml:space="preserve">.</w:t>
      </w:r>
      <w:r>
        <w:t xml:space="preserve"> </w:t>
      </w:r>
      <w:r>
        <w:t xml:space="preserve">The package gate is</w:t>
      </w:r>
      <w:r>
        <w:t xml:space="preserve"> </w:t>
      </w:r>
      <w:r>
        <w:rPr>
          <w:rStyle w:val="VerbatimChar"/>
        </w:rPr>
        <w:t xml:space="preserve">Rscript tools/check-package.R --bioc</w:t>
      </w:r>
      <w:r>
        <w:t xml:space="preserve">.</w:t>
      </w:r>
      <w:r>
        <w:t xml:space="preserve"> </w:t>
      </w:r>
      <w:r>
        <w:t xml:space="preserve">The recorded environment identifies every loaded package version.</w:t>
      </w:r>
      <w:r>
        <w:t xml:space="preserve"> </w:t>
      </w:r>
      <w:r>
        <w:t xml:space="preserve">An immutable article-associated release and archive identifier must accompany a submitted version.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Public accession identifiers, fixture build scripts, checksums, and original citations are included.</w:t>
      </w:r>
      <w:r>
        <w:t xml:space="preserve"> </w:t>
      </w:r>
      <w:r>
        <w:t xml:space="preserve">The two GEO fixtures reproduce byte-identically through their independent source-building recipes.</w:t>
      </w:r>
      <w:r>
        <w:t xml:space="preserve"> </w:t>
      </w:r>
      <w:r>
        <w:t xml:space="preserve">The independent glucocorticoid panel and the complete HGNC mapping snapshot are included.</w:t>
      </w:r>
      <w:r>
        <w:t xml:space="preserve"> </w:t>
      </w:r>
      <w:r>
        <w:t xml:space="preserve">The airway analysis uses the versioned Bioconductor dataset.</w:t>
      </w:r>
      <w:r>
        <w:t xml:space="preserve"> </w:t>
      </w:r>
      <w:r>
        <w:t xml:space="preserve">No new human samples or experiments are reported.</w:t>
      </w:r>
    </w:p>
    <w:p>
      <w:pPr>
        <w:pStyle w:val="BodyText"/>
      </w:pPr>
      <w:r>
        <w:rPr>
          <w:b/>
          <w:bCs/>
        </w:rPr>
        <w:t xml:space="preserve">Prior dissemination.</w:t>
      </w:r>
      <w:r>
        <w:t xml:space="preserve"> </w:t>
      </w:r>
      <w:r>
        <w:t xml:space="preserve">The score was described in the author’s UCL doctoral thesis [1].</w:t>
      </w:r>
      <w:r>
        <w:t xml:space="preserve"> </w:t>
      </w:r>
      <w:r>
        <w:t xml:space="preserve">This article adds a corrected mathematical framing and reproducible evaluation.</w:t>
      </w:r>
    </w:p>
    <w:p>
      <w:pPr>
        <w:pStyle w:val="BodyText"/>
      </w:pPr>
      <w:r>
        <w:rPr>
          <w:b/>
          <w:bCs/>
        </w:rPr>
        <w:t xml:space="preserve">Author confirmation required before submission.</w:t>
      </w:r>
      <w:r>
        <w:t xml:space="preserve"> </w:t>
      </w:r>
      <w:r>
        <w:t xml:space="preserve">The final author list, affiliations, contributions, funding, competing interests, and applicable ethics wording require confirmation.</w:t>
      </w:r>
      <w:r>
        <w:t xml:space="preserve"> </w:t>
      </w:r>
      <w:r>
        <w:t xml:space="preserve">The prepared files are an article package, not a claim that peer review or journal publication has occurred.</w:t>
      </w:r>
    </w:p>
    <w:bookmarkEnd w:id="48"/>
    <w:bookmarkStart w:id="61" w:name="referenc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Turkes E.</w:t>
      </w:r>
      <w:r>
        <w:t xml:space="preserve"> </w:t>
      </w:r>
      <w:r>
        <w:rPr>
          <w:i/>
          <w:iCs/>
        </w:rPr>
        <w:t xml:space="preserve">Development of Gene Set Enrichment and Imputation Methods for Transcriptomics and Proteomics: Application in the Study of Neurofibrillary Tangle-bearing Neurons in Alzheimer’s Disease</w:t>
      </w:r>
      <w:r>
        <w:t xml:space="preserve">. PhD thesis, University College London. 2025.</w:t>
      </w:r>
      <w:r>
        <w:t xml:space="preserve"> </w:t>
      </w:r>
      <w:hyperlink r:id="rId49">
        <w:r>
          <w:rPr>
            <w:rStyle w:val="Hyperlink"/>
          </w:rPr>
          <w:t xml:space="preserve">https://discovery.ucl.ac.uk/id/eprint/10215006/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Foroutan M, Bhuva DD, Lyu R, Horan K, Cursons J, Davis MJ. Single sample scoring of molecular phenotypes.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. 2018;19:404.</w:t>
      </w:r>
      <w:r>
        <w:t xml:space="preserve"> </w:t>
      </w:r>
      <w:hyperlink r:id="rId50">
        <w:r>
          <w:rPr>
            <w:rStyle w:val="Hyperlink"/>
          </w:rPr>
          <w:t xml:space="preserve">https://doi.org/10.1186/s12859-018-2435-4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Hänzelmann S, Castelo R, Guinney J. GSVA: gene set variation analysis for microarray and RNA-seq data.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. 2013;14:7.</w:t>
      </w:r>
      <w:r>
        <w:t xml:space="preserve"> </w:t>
      </w:r>
      <w:hyperlink r:id="rId51">
        <w:r>
          <w:rPr>
            <w:rStyle w:val="Hyperlink"/>
          </w:rPr>
          <w:t xml:space="preserve">https://doi.org/10.1186/1471-2105-14-7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Barbie DA et al. Systematic RNA interference reveals that oncogenic KRAS-driven cancers require TBK1.</w:t>
      </w:r>
      <w:r>
        <w:t xml:space="preserve"> </w:t>
      </w:r>
      <w:r>
        <w:rPr>
          <w:i/>
          <w:iCs/>
        </w:rPr>
        <w:t xml:space="preserve">Nature</w:t>
      </w:r>
      <w:r>
        <w:t xml:space="preserve">. 2009;462:108–112.</w:t>
      </w:r>
      <w:r>
        <w:t xml:space="preserve"> </w:t>
      </w:r>
      <w:hyperlink r:id="rId52">
        <w:r>
          <w:rPr>
            <w:rStyle w:val="Hyperlink"/>
          </w:rPr>
          <w:t xml:space="preserve">https://doi.org/10.1038/nature08460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Zito A, Escribà Montagut X, Scorici G, Martinelli A, Akhmedov M, Kwee I. PLAID: ultrafast single-sample gene set enrichment scoring.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2025;41:btaf621.</w:t>
      </w:r>
      <w:r>
        <w:t xml:space="preserve"> </w:t>
      </w:r>
      <w:hyperlink r:id="rId53">
        <w:r>
          <w:rPr>
            <w:rStyle w:val="Hyperlink"/>
          </w:rPr>
          <w:t xml:space="preserve">https://doi.org/10.1093/bioinformatics/btaf621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Porro F, Zenga M. Decompositions by sources and by subpopulations of the Pietra index: two applications to professional football teams in Italy.</w:t>
      </w:r>
      <w:r>
        <w:t xml:space="preserve"> </w:t>
      </w:r>
      <w:r>
        <w:rPr>
          <w:i/>
          <w:iCs/>
        </w:rPr>
        <w:t xml:space="preserve">AStA Advances in Statistical Analysis</w:t>
      </w:r>
      <w:r>
        <w:t xml:space="preserve">. 2023;107:73–100.</w:t>
      </w:r>
      <w:r>
        <w:t xml:space="preserve"> </w:t>
      </w:r>
      <w:hyperlink r:id="rId54">
        <w:r>
          <w:rPr>
            <w:rStyle w:val="Hyperlink"/>
          </w:rPr>
          <w:t xml:space="preserve">https://doi.org/10.1007/s10182-021-00397-6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Himes BE et al. RNA-Seq transcriptome profiling identifies CRISPLD2 as a glucocorticoid responsive gene that modulates cytokine function in airway smooth muscle cells.</w:t>
      </w:r>
      <w:r>
        <w:t xml:space="preserve"> </w:t>
      </w:r>
      <w:r>
        <w:rPr>
          <w:i/>
          <w:iCs/>
        </w:rPr>
        <w:t xml:space="preserve">PLoS ONE</w:t>
      </w:r>
      <w:r>
        <w:t xml:space="preserve">. 2014;9:e99625.</w:t>
      </w:r>
      <w:r>
        <w:t xml:space="preserve"> </w:t>
      </w:r>
      <w:hyperlink r:id="rId55">
        <w:r>
          <w:rPr>
            <w:rStyle w:val="Hyperlink"/>
          </w:rPr>
          <w:t xml:space="preserve">https://doi.org/10.1371/journal.pone.0099625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Wang JC, Derynck MK, Nonaka DF, Khodabakhsh DB, Haqq C, Yamamoto KR. Chromatin immunoprecipitation scanning identifies primary glucocorticoid receptor target genes.</w:t>
      </w:r>
      <w:r>
        <w:t xml:space="preserve"> </w:t>
      </w:r>
      <w:r>
        <w:rPr>
          <w:i/>
          <w:iCs/>
        </w:rPr>
        <w:t xml:space="preserve">PNAS</w:t>
      </w:r>
      <w:r>
        <w:t xml:space="preserve">. 2004;101:15603–15608.</w:t>
      </w:r>
      <w:r>
        <w:t xml:space="preserve"> </w:t>
      </w:r>
      <w:hyperlink r:id="rId56">
        <w:r>
          <w:rPr>
            <w:rStyle w:val="Hyperlink"/>
          </w:rPr>
          <w:t xml:space="preserve">https://doi.org/10.1073/pnas.0407008101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HUGO Gene Nomenclature Committee. HGNC complete-set download. Source snapshot and SHA-256 are included in the supplement.</w:t>
      </w:r>
      <w:r>
        <w:t xml:space="preserve"> </w:t>
      </w:r>
      <w:hyperlink r:id="rId57">
        <w:r>
          <w:rPr>
            <w:rStyle w:val="Hyperlink"/>
          </w:rPr>
          <w:t xml:space="preserve">https://www.genenames.org/download/archive/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Srinivasan K et al. Alzheimer’s patient microglia exhibit enhanced aging and unique transcriptional activation.</w:t>
      </w:r>
      <w:r>
        <w:t xml:space="preserve"> </w:t>
      </w:r>
      <w:r>
        <w:rPr>
          <w:i/>
          <w:iCs/>
        </w:rPr>
        <w:t xml:space="preserve">Cell Reports</w:t>
      </w:r>
      <w:r>
        <w:t xml:space="preserve">. 2020;31:107843.</w:t>
      </w:r>
      <w:r>
        <w:t xml:space="preserve"> </w:t>
      </w:r>
      <w:hyperlink r:id="rId58">
        <w:r>
          <w:rPr>
            <w:rStyle w:val="Hyperlink"/>
          </w:rPr>
          <w:t xml:space="preserve">https://doi.org/10.1016/j.celrep.2020.107843</w:t>
        </w:r>
      </w:hyperlink>
      <w:r>
        <w:t xml:space="preserve">. Whole-tissue companion cohort:</w:t>
      </w:r>
      <w:r>
        <w:t xml:space="preserve"> </w:t>
      </w:r>
      <w:hyperlink r:id="rId59">
        <w:r>
          <w:rPr>
            <w:rStyle w:val="Hyperlink"/>
          </w:rPr>
          <w:t xml:space="preserve">https://www.ncbi.nlm.nih.gov/geo/query/acc.cgi?acc=GSE125583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Zeisel A et al. Cell types in the mouse cortex and hippocampus revealed by single-cell RNA-seq.</w:t>
      </w:r>
      <w:r>
        <w:t xml:space="preserve"> </w:t>
      </w:r>
      <w:r>
        <w:rPr>
          <w:i/>
          <w:iCs/>
        </w:rPr>
        <w:t xml:space="preserve">Science</w:t>
      </w:r>
      <w:r>
        <w:t xml:space="preserve">. 2015;347:1138–1142.</w:t>
      </w:r>
      <w:r>
        <w:t xml:space="preserve"> </w:t>
      </w:r>
      <w:hyperlink r:id="rId60">
        <w:r>
          <w:rPr>
            <w:rStyle w:val="Hyperlink"/>
          </w:rPr>
          <w:t xml:space="preserve">https://doi.org/10.1126/science.aaa1934</w:t>
        </w:r>
      </w:hyperlink>
      <w:r>
        <w:t xml:space="preserve">.</w:t>
      </w:r>
    </w:p>
    <w:bookmarkEnd w:id="61"/>
    <w:bookmarkStart w:id="65" w:name="supplementary-methods-and-result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Supplementary Methods and results</w:t>
      </w:r>
    </w:p>
    <w:bookmarkStart w:id="62" w:name="proof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Proofs</w:t>
      </w:r>
    </w:p>
    <w:p>
      <w:pPr>
        <w:pStyle w:val="FirstParagraph"/>
      </w:pPr>
      <w:r>
        <w:rPr>
          <w:b/>
          <w:bCs/>
        </w:rPr>
        <w:t xml:space="preserve">Pietra identity and bounds.</w:t>
      </w:r>
      <w:r>
        <w:t xml:space="preserve"> </w:t>
      </w:r>
      <w:r>
        <w:t xml:space="preserve">Substitution gives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S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  <m:r>
              <m:t>H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At a fixed total, the absolute-deviation sum is convex on the non-negative simplex.</w:t>
      </w:r>
      <w:r>
        <w:t xml:space="preserve"> </w:t>
      </w:r>
      <w:r>
        <w:t xml:space="preserve">Its maximum occurs at a simplex vertex, where it equals</w:t>
      </w:r>
      <w:r>
        <w:t xml:space="preserve"> </w:t>
      </w:r>
      <m:oMath>
        <m:r>
          <m:t>2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minimum is zero at the equal vector.</w:t>
      </w:r>
      <w:r>
        <w:t xml:space="preserve"> </w:t>
      </w:r>
      <w:r>
        <w:t xml:space="preserve">Substitution proves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Concavity.</w:t>
      </w:r>
      <w:r>
        <w:t xml:space="preserve"> </w:t>
      </w:r>
      <w:r>
        <w:t xml:space="preserve">The mapping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b"/>
          </m:rPr>
          <m:t>1</m:t>
        </m:r>
      </m:oMath>
      <w:r>
        <w:t xml:space="preserve"> </w:t>
      </w:r>
      <w:r>
        <w:t xml:space="preserve">is linear.</w:t>
      </w:r>
      <w:r>
        <w:t xml:space="preserve"> </w:t>
      </w:r>
      <w:r>
        <w:t xml:space="preserve">Its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is convex.</w:t>
      </w:r>
      <w:r>
        <w:t xml:space="preserve"> </w:t>
      </w:r>
      <w:r>
        <w:t xml:space="preserve">Subtracting a non-negative multiple of this norm from the linear total gives a concave function.</w:t>
      </w:r>
      <w:r>
        <w:t xml:space="preserve"> </w:t>
      </w:r>
      <w:r>
        <w:t xml:space="preserve">Thus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  <m:r>
              <m:t>y</m:t>
            </m:r>
          </m:e>
        </m:d>
        <m:r>
          <m:rPr>
            <m:sty m:val="p"/>
          </m:rPr>
          <m:t>≥</m:t>
        </m:r>
        <m:r>
          <m:t>t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for any non-negative vectors of the same size 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This result does not require member independence or a probability model.</w:t>
      </w:r>
    </w:p>
    <w:p>
      <w:pPr>
        <w:pStyle w:val="BodyText"/>
      </w:pPr>
      <w:r>
        <w:rPr>
          <w:b/>
          <w:bCs/>
        </w:rPr>
        <w:t xml:space="preserve">Non-negative calculation and monotonicity.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: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L</m:t>
            </m:r>
          </m:e>
        </m:d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lower and upper deviations have equal sums, so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  <m:r>
                <m:t>S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B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all terms are non-negative.</w:t>
      </w:r>
      <w:r>
        <w:t xml:space="preserve"> </w:t>
      </w:r>
      <w:r>
        <w:t xml:space="preserve">Within a region of fixed</w:t>
      </w:r>
      <w:r>
        <w:t xml:space="preserve"> </w:t>
      </w:r>
      <m:oMath>
        <m:r>
          <m:t>L</m:t>
        </m:r>
      </m:oMath>
      <w:r>
        <w:t xml:space="preserve">, the derivative for a member outside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For a member inside</w:t>
      </w:r>
      <w:r>
        <w:t xml:space="preserve"> </w:t>
      </w:r>
      <m:oMath>
        <m:r>
          <m:t>L</m:t>
        </m:r>
      </m:oMath>
      <w:r>
        <w:t xml:space="preserve">, the derivative 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Both derivatives are non-negative.</w:t>
      </w:r>
      <w:r>
        <w:t xml:space="preserve"> </w:t>
      </w:r>
      <w:r>
        <w:t xml:space="preserve">The score is continuous at region boundaries, so it is coordinatewise nondecreasing throughout its domain.</w:t>
      </w:r>
      <w:r>
        <w:t xml:space="preserve"> </w:t>
      </w:r>
      <w:r>
        <w:t xml:space="preserve">The derivatives lie between zero and two; coordinate changes cannot amplify the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input distance by more than two at fixed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Plateau.</w:t>
      </w:r>
      <w:r>
        <w:t xml:space="preserve"> </w:t>
      </w:r>
      <w:r>
        <w:t xml:space="preserve">If all members except one lie below the mean,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t>B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Further increases in the remaining member leave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unchanged.</w:t>
      </w:r>
      <w:r>
        <w:t xml:space="preserve"> </w:t>
      </w:r>
      <w:r>
        <w:t xml:space="preserve">For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this gives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Homogeneity and translation.</w:t>
      </w:r>
      <w:r>
        <w:t xml:space="preserve"> </w:t>
      </w:r>
      <w:r>
        <w:t xml:space="preserve">Scaling by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scales the total and every absolute deviation by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Adding the same non-negative constant to all members changes the total by</w:t>
      </w:r>
      <w:r>
        <w:t xml:space="preserve"> </w:t>
      </w:r>
      <m:oMath>
        <m:r>
          <m:t>n</m:t>
        </m:r>
        <m:r>
          <m:t>c</m:t>
        </m:r>
      </m:oMath>
      <w:r>
        <w:t xml:space="preserve"> </w:t>
      </w:r>
      <w:r>
        <w:t xml:space="preserve">and leaves every deviation unchanged.</w:t>
      </w:r>
      <w:r>
        <w:t xml:space="preserve"> </w:t>
      </w:r>
      <w:r>
        <w:t xml:space="preserve">Neither result justifies arbitrary shifts as preprocessing.</w:t>
      </w:r>
    </w:p>
    <w:bookmarkEnd w:id="62"/>
    <w:bookmarkStart w:id="63" w:name="additional-simulation-and-disease-table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Additional simulation and disease tables</w:t>
      </w:r>
    </w:p>
    <w:p>
      <w:pPr>
        <w:pStyle w:val="TableCaption"/>
      </w:pPr>
      <w:r>
        <w:t xml:space="preserve">Table S1. Mean directional AUROC ± Monte Carlo standard error; 10-member sets.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S1. Mean directional AUROC ± Monte Carlo standard error; 10-member sets."/>
      </w:tblPr>
      <w:tblGrid>
        <w:gridCol w:w="2084"/>
        <w:gridCol w:w="1167"/>
        <w:gridCol w:w="1167"/>
        <w:gridCol w:w="1167"/>
        <w:gridCol w:w="1167"/>
        <w:gridCol w:w="11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ssGSEA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 ± 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 ± 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 ± 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 ± 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0.877 ± 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0.723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 ± 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 ± 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 ± 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total 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 ±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0.742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 ± 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0.496 ± 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0.499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0.497 ± 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0.498 ± 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0.499 ± 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size nuisance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 ± 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 ± 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0.491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0.494 ± 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0.517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0.508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0.506 ± 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heterogeneous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0.861 ± 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 ±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 ± 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 ± 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 ± 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correlated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0.717 ± 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 ± 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 ± 0.007</w:t>
            </w:r>
          </w:p>
        </w:tc>
      </w:tr>
    </w:tbl>
    <w:p/>
    <w:p>
      <w:pPr>
        <w:pStyle w:val="TableCaption"/>
      </w:pPr>
      <w:r>
        <w:t xml:space="preserve">Table S2. Fixed preprocessing sensitivity. Apparent AUROC is not held-out diagnostic performance.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S2. Fixed preprocessing sensitivity. Apparent AUROC is not held-out diagnostic performance."/>
      </w:tblPr>
      <w:tblGrid>
        <w:gridCol w:w="1650"/>
        <w:gridCol w:w="1760"/>
        <w:gridCol w:w="1430"/>
        <w:gridCol w:w="143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 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 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Apparent AUROC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GeneFunnel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log1p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GeneFunnel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log1p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GeneFunnel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log1p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</w:t>
            </w:r>
          </w:p>
        </w:tc>
      </w:tr>
    </w:tbl>
    <w:p/>
    <w:p>
      <w:pPr>
        <w:pStyle w:val="TableCaption"/>
      </w:pPr>
      <w:r>
        <w:t xml:space="preserve">Table S3. Coverage filtering changes retention, not the scoring equation.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S3. Coverage filtering changes retention, not the scoring equation."/>
      </w:tblPr>
      <w:tblGrid>
        <w:gridCol w:w="297"/>
        <w:gridCol w:w="1683"/>
        <w:gridCol w:w="990"/>
        <w:gridCol w:w="1683"/>
        <w:gridCol w:w="1782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Missing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Retained profiles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</w:tbl>
    <w:bookmarkEnd w:id="63"/>
    <w:bookmarkStart w:id="64" w:name="complete-machine-readable-supplement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Complete machine-readable supplement</w:t>
      </w:r>
    </w:p>
    <w:p>
      <w:pPr>
        <w:pStyle w:val="FirstParagraph"/>
      </w:pPr>
      <w:r>
        <w:rPr>
          <w:rStyle w:val="VerbatimChar"/>
        </w:rPr>
        <w:t xml:space="preserve">simulation-replicates.csv</w:t>
      </w:r>
      <w:r>
        <w:t xml:space="preserve"> </w:t>
      </w:r>
      <w:r>
        <w:t xml:space="preserve">contains every replicate-level AUROC.</w:t>
      </w:r>
      <w:r>
        <w:t xml:space="preserve"> </w:t>
      </w:r>
      <w:r>
        <w:rPr>
          <w:rStyle w:val="VerbatimChar"/>
        </w:rPr>
        <w:t xml:space="preserve">simulation-summary.csv</w:t>
      </w:r>
      <w:r>
        <w:t xml:space="preserve"> </w:t>
      </w:r>
      <w:r>
        <w:t xml:space="preserve">contains all paired GeneFunnel–comparator differences and their intervals.</w:t>
      </w:r>
      <w:r>
        <w:t xml:space="preserve"> </w:t>
      </w:r>
      <w:r>
        <w:rPr>
          <w:rStyle w:val="VerbatimChar"/>
        </w:rPr>
        <w:t xml:space="preserve">airway-pairs.csv</w:t>
      </w:r>
      <w:r>
        <w:t xml:space="preserve"> </w:t>
      </w:r>
      <w:r>
        <w:t xml:space="preserve">contains every independent donor contrast.</w:t>
      </w:r>
      <w:r>
        <w:t xml:space="preserve"> </w:t>
      </w:r>
      <w:r>
        <w:rPr>
          <w:rStyle w:val="VerbatimChar"/>
        </w:rPr>
        <w:t xml:space="preserve">airway-coverage.csv</w:t>
      </w:r>
      <w:r>
        <w:t xml:space="preserve"> </w:t>
      </w:r>
      <w:r>
        <w:t xml:space="preserve">contains every original signature label and its inclusion status.</w:t>
      </w:r>
      <w:r>
        <w:t xml:space="preserve"> </w:t>
      </w:r>
      <w:r>
        <w:rPr>
          <w:rStyle w:val="VerbatimChar"/>
        </w:rPr>
        <w:t xml:space="preserve">ad-inference.csv</w:t>
      </w:r>
      <w:r>
        <w:t xml:space="preserve"> </w:t>
      </w:r>
      <w:r>
        <w:t xml:space="preserve">contains all association and apparent-discrimination intervals.</w:t>
      </w:r>
      <w:r>
        <w:t xml:space="preserve"> </w:t>
      </w:r>
      <w:r>
        <w:rPr>
          <w:rStyle w:val="VerbatimChar"/>
        </w:rPr>
        <w:t xml:space="preserve">ad-scores.csv</w:t>
      </w:r>
      <w:r>
        <w:t xml:space="preserve"> </w:t>
      </w:r>
      <w:r>
        <w:t xml:space="preserve">contains public subject identifiers, covariates, and calculated scores.</w:t>
      </w:r>
      <w:r>
        <w:t xml:space="preserve"> </w:t>
      </w:r>
      <w:r>
        <w:rPr>
          <w:rStyle w:val="VerbatimChar"/>
        </w:rPr>
        <w:t xml:space="preserve">mouse-scale.csv</w:t>
      </w:r>
      <w:r>
        <w:t xml:space="preserve"> </w:t>
      </w:r>
      <w:r>
        <w:t xml:space="preserve">contains all descriptive subtype results.</w:t>
      </w:r>
      <w:r>
        <w:t xml:space="preserve"> </w:t>
      </w:r>
      <w:r>
        <w:rPr>
          <w:rStyle w:val="VerbatimChar"/>
        </w:rPr>
        <w:t xml:space="preserve">input-manifest.csv</w:t>
      </w:r>
      <w:r>
        <w:t xml:space="preserve"> </w:t>
      </w:r>
      <w:r>
        <w:t xml:space="preserve">identifies the exact data objects.</w:t>
      </w:r>
      <w:r>
        <w:t xml:space="preserve"> </w:t>
      </w:r>
      <w:r>
        <w:rPr>
          <w:rStyle w:val="VerbatimChar"/>
        </w:rPr>
        <w:t xml:space="preserve">replay.csv</w:t>
      </w:r>
      <w:r>
        <w:t xml:space="preserve"> </w:t>
      </w:r>
      <w:r>
        <w:t xml:space="preserve">records byte equality across independent analysis runs.</w:t>
      </w:r>
      <w:r>
        <w:t xml:space="preserve"> </w:t>
      </w:r>
      <w:r>
        <w:rPr>
          <w:rStyle w:val="VerbatimChar"/>
        </w:rPr>
        <w:t xml:space="preserve">environment.txt</w:t>
      </w:r>
      <w:r>
        <w:t xml:space="preserve"> </w:t>
      </w:r>
      <w:r>
        <w:t xml:space="preserve">records the R session.</w:t>
      </w:r>
      <w:r>
        <w:t xml:space="preserve"> </w:t>
      </w:r>
      <w:r>
        <w:rPr>
          <w:rStyle w:val="VerbatimChar"/>
        </w:rPr>
        <w:t xml:space="preserve">dependencies.csv</w:t>
      </w:r>
      <w:r>
        <w:t xml:space="preserve"> </w:t>
      </w:r>
      <w:r>
        <w:t xml:space="preserve">records exact loaded package versions.</w:t>
      </w:r>
      <w:r>
        <w:t xml:space="preserve"> </w:t>
      </w:r>
      <w:r>
        <w:rPr>
          <w:rStyle w:val="VerbatimChar"/>
        </w:rPr>
        <w:t xml:space="preserve">runtime-environment.txt</w:t>
      </w:r>
      <w:r>
        <w:t xml:space="preserve"> </w:t>
      </w:r>
      <w:r>
        <w:t xml:space="preserve">records the timing host and thread environment.</w:t>
      </w:r>
    </w:p>
    <w:p>
      <w:pPr>
        <w:pStyle w:val="TableCaption"/>
      </w:pPr>
      <w:r>
        <w:t xml:space="preserve">Table S4. Analysis inputs and MD5 identities. Mapping provenance additionally records the HGNC SHA-256.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S4. Analysis inputs and MD5 identities. Mapping provenance additionally records the HGNC SHA-256."/>
      </w:tblPr>
      <w:tblGrid>
        <w:gridCol w:w="4653"/>
        <w:gridCol w:w="3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inst/extdata/GSE125583_presynaptic_release.csv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4f3038f701f2015f35f46c938e3b0cdd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inst/extdata/GSE60361_brain_cell_types.rds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93e3022388eefd47dc06dfcad9c194aa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airway/data/airway.RData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b94d7026634bcb1d4277c014d0816a24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publication/inputs/wang2004-activated-hgnc.tsv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7e3b6007fc60d6add20300536bd94c3b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publication/inputs/hgnc_complete_set.txt.gz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f9951c5f5d8f34acdc74a7c80e6c73c0</w:t>
            </w:r>
          </w:p>
        </w:tc>
      </w:tr>
    </w:tbl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31" Target="media/rId31.png" /><Relationship Type="http://schemas.openxmlformats.org/officeDocument/2006/relationships/hyperlink" Id="rId49" Target="https://discovery.ucl.ac.uk/id/eprint/10215006/" TargetMode="External" /><Relationship Type="http://schemas.openxmlformats.org/officeDocument/2006/relationships/hyperlink" Id="rId54" Target="https://doi.org/10.1007/s10182-021-00397-6" TargetMode="External" /><Relationship Type="http://schemas.openxmlformats.org/officeDocument/2006/relationships/hyperlink" Id="rId58" Target="https://doi.org/10.1016/j.celrep.2020.107843" TargetMode="External" /><Relationship Type="http://schemas.openxmlformats.org/officeDocument/2006/relationships/hyperlink" Id="rId52" Target="https://doi.org/10.1038/nature08460" TargetMode="External" /><Relationship Type="http://schemas.openxmlformats.org/officeDocument/2006/relationships/hyperlink" Id="rId56" Target="https://doi.org/10.1073/pnas.0407008101" TargetMode="External" /><Relationship Type="http://schemas.openxmlformats.org/officeDocument/2006/relationships/hyperlink" Id="rId53" Target="https://doi.org/10.1093/bioinformatics/btaf621" TargetMode="External" /><Relationship Type="http://schemas.openxmlformats.org/officeDocument/2006/relationships/hyperlink" Id="rId60" Target="https://doi.org/10.1126/science.aaa1934" TargetMode="External" /><Relationship Type="http://schemas.openxmlformats.org/officeDocument/2006/relationships/hyperlink" Id="rId51" Target="https://doi.org/10.1186/1471-2105-14-7" TargetMode="External" /><Relationship Type="http://schemas.openxmlformats.org/officeDocument/2006/relationships/hyperlink" Id="rId50" Target="https://doi.org/10.1186/s12859-018-2435-4" TargetMode="External" /><Relationship Type="http://schemas.openxmlformats.org/officeDocument/2006/relationships/hyperlink" Id="rId55" Target="https://doi.org/10.1371/journal.pone.0099625" TargetMode="External" /><Relationship Type="http://schemas.openxmlformats.org/officeDocument/2006/relationships/hyperlink" Id="rId47" Target="https://github.com/eturkes/genefunnel" TargetMode="External" /><Relationship Type="http://schemas.openxmlformats.org/officeDocument/2006/relationships/hyperlink" Id="rId57" Target="https://www.genenames.org/download/archive/" TargetMode="External" /><Relationship Type="http://schemas.openxmlformats.org/officeDocument/2006/relationships/hyperlink" Id="rId59" Target="https://www.ncbi.nlm.nih.gov/geo/query/acc.cgi?acc=GSE1255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iscovery.ucl.ac.uk/id/eprint/10215006/" TargetMode="External" /><Relationship Type="http://schemas.openxmlformats.org/officeDocument/2006/relationships/hyperlink" Id="rId54" Target="https://doi.org/10.1007/s10182-021-00397-6" TargetMode="External" /><Relationship Type="http://schemas.openxmlformats.org/officeDocument/2006/relationships/hyperlink" Id="rId58" Target="https://doi.org/10.1016/j.celrep.2020.107843" TargetMode="External" /><Relationship Type="http://schemas.openxmlformats.org/officeDocument/2006/relationships/hyperlink" Id="rId52" Target="https://doi.org/10.1038/nature08460" TargetMode="External" /><Relationship Type="http://schemas.openxmlformats.org/officeDocument/2006/relationships/hyperlink" Id="rId56" Target="https://doi.org/10.1073/pnas.0407008101" TargetMode="External" /><Relationship Type="http://schemas.openxmlformats.org/officeDocument/2006/relationships/hyperlink" Id="rId53" Target="https://doi.org/10.1093/bioinformatics/btaf621" TargetMode="External" /><Relationship Type="http://schemas.openxmlformats.org/officeDocument/2006/relationships/hyperlink" Id="rId60" Target="https://doi.org/10.1126/science.aaa1934" TargetMode="External" /><Relationship Type="http://schemas.openxmlformats.org/officeDocument/2006/relationships/hyperlink" Id="rId51" Target="https://doi.org/10.1186/1471-2105-14-7" TargetMode="External" /><Relationship Type="http://schemas.openxmlformats.org/officeDocument/2006/relationships/hyperlink" Id="rId50" Target="https://doi.org/10.1186/s12859-018-2435-4" TargetMode="External" /><Relationship Type="http://schemas.openxmlformats.org/officeDocument/2006/relationships/hyperlink" Id="rId55" Target="https://doi.org/10.1371/journal.pone.0099625" TargetMode="External" /><Relationship Type="http://schemas.openxmlformats.org/officeDocument/2006/relationships/hyperlink" Id="rId47" Target="https://github.com/eturkes/genefunnel" TargetMode="External" /><Relationship Type="http://schemas.openxmlformats.org/officeDocument/2006/relationships/hyperlink" Id="rId57" Target="https://www.genenames.org/download/archive/" TargetMode="External" /><Relationship Type="http://schemas.openxmlformats.org/officeDocument/2006/relationships/hyperlink" Id="rId59" Target="https://www.ncbi.nlm.nih.gov/geo/query/acc.cgi?acc=GSE1255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GeneFunnel: a coverage-aware implementation of a Pietra-penalized gene-set total</dc:title>
  <dc:creator>Emir Turkes</dc:creator>
  <cp:keywords/>
  <dcterms:created xsi:type="dcterms:W3CDTF">2026-09-08T00:58:34Z</dcterms:created>
  <dcterms:modified xsi:type="dcterms:W3CDTF">2026-09-08T00:58:34Z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