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ImputeFinder:</w:t>
      </w:r>
      <w:r>
        <w:t xml:space="preserve"> </w:t>
      </w:r>
      <w:r>
        <w:t xml:space="preserve">auditable</w:t>
      </w:r>
      <w:r>
        <w:t xml:space="preserve"> </w:t>
      </w:r>
      <w:r>
        <w:t xml:space="preserve">condition-specific</w:t>
      </w:r>
      <w:r>
        <w:t xml:space="preserve"> </w:t>
      </w:r>
      <w:r>
        <w:t xml:space="preserve">routing</w:t>
      </w:r>
      <w:r>
        <w:t xml:space="preserve"> </w:t>
      </w:r>
      <w:r>
        <w:t xml:space="preserve">of</w:t>
      </w:r>
      <w:r>
        <w:t xml:space="preserve"> </w:t>
      </w:r>
      <w:r>
        <w:t xml:space="preserve">missing</w:t>
      </w:r>
      <w:r>
        <w:t xml:space="preserve"> </w:t>
      </w:r>
      <w:r>
        <w:t xml:space="preserve">proteomics</w:t>
      </w:r>
      <w:r>
        <w:t xml:space="preserve"> </w:t>
      </w:r>
      <w:r>
        <w:t xml:space="preserve">intensities</w:t>
      </w:r>
    </w:p>
    <w:p>
      <w:pPr>
        <w:pStyle w:val="Author"/>
      </w:pPr>
      <w:r>
        <w:t xml:space="preserve">Emir</w:t>
      </w:r>
      <w:r>
        <w:t xml:space="preserve"> </w:t>
      </w:r>
      <w:r>
        <w:t xml:space="preserve">Turkes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Missing proteomics intensities often require condition-specific treatment, but observed patterns alone do not identify their underlying mechanisms.</w:t>
      </w:r>
      <w:r>
        <w:t xml:space="preserve"> </w:t>
      </w:r>
      <w:r>
        <w:t xml:space="preserve">Existing workflows already support mixed imputation and condition-aware handling.</w:t>
      </w:r>
      <w:r>
        <w:t xml:space="preserve"> </w:t>
      </w:r>
      <w:r>
        <w:t xml:space="preserve">The remaining practical problem is making routing, filtering, uncertainty, and artificial observations explicit and reproducible.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ImputeFinder records feature-condition states, intensity cutoffs, original observation counts, retention decisions, and optional minimum-value rescue.</w:t>
      </w:r>
      <w:r>
        <w:t xml:space="preserve"> </w:t>
      </w:r>
      <w:r>
        <w:t xml:space="preserve">We evaluated eight generative missingness scenarios, three replication levels, and 30 independent datasets per setting.</w:t>
      </w:r>
      <w:r>
        <w:t xml:space="preserve"> </w:t>
      </w:r>
      <w:r>
        <w:t xml:space="preserve">We compared ten operational routes and eight downstream pipelines, including observed-only limma and dropout-aware proDA.</w:t>
      </w:r>
      <w:r>
        <w:t xml:space="preserve"> </w:t>
      </w:r>
      <w:r>
        <w:t xml:space="preserve">We also analysed the full filtered PXD020717 BA46 soluble protein-group table and masked measured values in its complete-feature subset.</w:t>
      </w:r>
      <w:r>
        <w:t xml:space="preserve"> </w:t>
      </w:r>
      <w:r>
        <w:t xml:space="preserve">An external iPRG2015 experiment provided six known spike effects in a constant yeast background.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Automatic selection was strongly scenario-dependent and did not establish missingness mechanisms.</w:t>
      </w:r>
      <w:r>
        <w:t xml:space="preserve"> </w:t>
      </w:r>
      <w:r>
        <w:t xml:space="preserve">At six samples per condition, the no-rescue detector accepted 100.0% of observed-covariate MAR datasets.</w:t>
      </w:r>
      <w:r>
        <w:t xml:space="preserve"> </w:t>
      </w:r>
      <w:r>
        <w:t xml:space="preserve">Its MAR recall was only 22.0% in that setting.</w:t>
      </w:r>
      <w:r>
        <w:t xml:space="preserve"> </w:t>
      </w:r>
      <w:r>
        <w:t xml:space="preserve">It declined all MCAR-background and high-tail MNAR datasets at this replication level.</w:t>
      </w:r>
      <w:r>
        <w:t xml:space="preserve"> </w:t>
      </w:r>
      <w:r>
        <w:t xml:space="preserve">In mixed-missingness simulations, no-rescue routing followed by mixed imputation produced mean FDP 7.6% and power 69.8%.</w:t>
      </w:r>
      <w:r>
        <w:t xml:space="preserve"> </w:t>
      </w:r>
      <w:r>
        <w:t xml:space="preserve">Observed-only limma produced corresponding values of 2.9% and 70.0%.</w:t>
      </w:r>
      <w:r>
        <w:t xml:space="preserve"> </w:t>
      </w:r>
      <w:r>
        <w:t xml:space="preserve">The public table contained 2645 retained protein groups and 17 donors.</w:t>
      </w:r>
      <w:r>
        <w:t xml:space="preserve"> </w:t>
      </w:r>
      <w:r>
        <w:t xml:space="preserve">Every full-table and feature-bootstrap condition profile contained multiple candidate transitions.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t xml:space="preserve">ImputeFinder provides auditable operational routing, not mechanism identification or a generally superior inference pipeline.</w:t>
      </w:r>
      <w:r>
        <w:t xml:space="preserve"> </w:t>
      </w:r>
      <w:r>
        <w:t xml:space="preserve">Its abstention, rescue, filtering, and cutoff sensitivity must remain visible when interpreting downstream results.</w:t>
      </w:r>
    </w:p>
    <w:bookmarkEnd w:id="20"/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Missing values in label-free proteomics can arise through several acquisition and processing processes.</w:t>
      </w:r>
      <w:r>
        <w:t xml:space="preserve"> </w:t>
      </w:r>
      <w:r>
        <w:t xml:space="preserve">An association between observed intensity and missingness does not establish a unique cause.</w:t>
      </w:r>
      <w:r>
        <w:t xml:space="preserve"> </w:t>
      </w:r>
      <w:r>
        <w:t xml:space="preserve">MAR and MNAR describe conditional missing-data models, not directly observable labels for individual blank cells [1,2].</w:t>
      </w:r>
      <w:r>
        <w:t xml:space="preserve"> </w:t>
      </w:r>
      <w:r>
        <w:t xml:space="preserve">Gradual intensity-dependent detection also challenges a simple division between random loss and hard left censoring [3].</w:t>
      </w:r>
    </w:p>
    <w:p>
      <w:pPr>
        <w:pStyle w:val="BodyText"/>
      </w:pPr>
      <w:r>
        <w:t xml:space="preserve">Condition-aware mixed treatment is established prior art.</w:t>
      </w:r>
      <w:r>
        <w:t xml:space="preserve"> </w:t>
      </w:r>
      <w:r>
        <w:t xml:space="preserve">DEP demonstrates mixed MAR/MNAR imputation using complete condition absence and separate condition subsets [4,5].</w:t>
      </w:r>
      <w:r>
        <w:t xml:space="preserve"> </w:t>
      </w:r>
      <w:r>
        <w:t xml:space="preserve">DAPAR/ProStaR distinguishes partially observed values from values missing throughout a condition [6].</w:t>
      </w:r>
      <w:r>
        <w:t xml:space="preserve"> </w:t>
      </w:r>
      <w:r>
        <w:t xml:space="preserve">msImpute uses group-aware information to combine MAR and MNAR reconstructions [7].</w:t>
      </w:r>
      <w:r>
        <w:t xml:space="preserve"> </w:t>
      </w:r>
      <w:r>
        <w:t xml:space="preserve">Intensity and missingness-rate sector routing provides another direct precedent [8].</w:t>
      </w:r>
      <w:r>
        <w:t xml:space="preserve"> </w:t>
      </w:r>
      <w:r>
        <w:t xml:space="preserve">These contributions preclude claiming that condition-wise or intensity-based mixed imputation is itself new.</w:t>
      </w:r>
    </w:p>
    <w:p>
      <w:pPr>
        <w:pStyle w:val="BodyText"/>
      </w:pPr>
      <w:r>
        <w:t xml:space="preserve">An earlier hybrid strategy was used in Fowler and colleagues’ extracellular-vesicle study and described in Turkes’ thesis [9,10].</w:t>
      </w:r>
      <w:r>
        <w:t xml:space="preserve"> </w:t>
      </w:r>
      <w:r>
        <w:t xml:space="preserve">That application used manually selected cutoffs and evaluated a particular simulation.</w:t>
      </w:r>
      <w:r>
        <w:t xml:space="preserve"> </w:t>
      </w:r>
      <w:r>
        <w:t xml:space="preserve">The current software formalises the operational states, adds automatic transition diagnostics, preserves original evidence, and exposes rescue and abstention policies.</w:t>
      </w:r>
      <w:r>
        <w:t xml:space="preserve"> </w:t>
      </w:r>
      <w:r>
        <w:t xml:space="preserve">We do not reuse historical recovery percentages as independent evidence for this implementation.</w:t>
      </w:r>
    </w:p>
    <w:p>
      <w:pPr>
        <w:pStyle w:val="BodyText"/>
      </w:pPr>
      <w:r>
        <w:t xml:space="preserve">The scientific question is therefore narrower than finding the best imputer.</w:t>
      </w:r>
      <w:r>
        <w:t xml:space="preserve"> </w:t>
      </w:r>
      <w:r>
        <w:t xml:space="preserve">Can an explicit routing interface preserve decisions and expose situations where its assumptions fail?</w:t>
      </w:r>
      <w:r>
        <w:t xml:space="preserve"> </w:t>
      </w:r>
      <w:r>
        <w:t xml:space="preserve">We assess implementation behaviour, routing coverage, downstream consequences, and real-data cutoff stability.</w:t>
      </w:r>
      <w:r>
        <w:t xml:space="preserve"> </w:t>
      </w:r>
      <w:r>
        <w:t xml:space="preserve">We report unfavourable findings because reconstruction accuracy and differential-analysis performance need not agree [11].</w:t>
      </w:r>
    </w:p>
    <w:bookmarkEnd w:id="21"/>
    <w:bookmarkStart w:id="30" w:name="methods"/>
    <w:p>
      <w:pPr>
        <w:pStyle w:val="Heading1"/>
      </w:pPr>
      <w:r>
        <w:t xml:space="preserve">Methods</w:t>
      </w:r>
    </w:p>
    <w:bookmarkStart w:id="22" w:name="input-states-and-retention"/>
    <w:p>
      <w:pPr>
        <w:pStyle w:val="Heading2"/>
      </w:pPr>
      <w:r>
        <w:t xml:space="preserve">Input, states, and retention</w:t>
      </w:r>
    </w:p>
    <w:p>
      <w:pPr>
        <w:pStyle w:val="FirstParagraph"/>
      </w:pPr>
      <w:r>
        <w:t xml:space="preserve">ImputeFinder accepts ordinary numeric matrices or</w:t>
      </w:r>
      <w:r>
        <w:t xml:space="preserve"> </w:t>
      </w:r>
      <w:r>
        <w:rPr>
          <w:rStyle w:val="VerbatimChar"/>
        </w:rPr>
        <w:t xml:space="preserve">SummarizedExperiment</w:t>
      </w:r>
      <w:r>
        <w:t xml:space="preserve"> </w:t>
      </w:r>
      <w:r>
        <w:t xml:space="preserve">assays containing unnormalised log2 intensities.</w:t>
      </w:r>
      <w:r>
        <w:t xml:space="preserve"> </w:t>
      </w:r>
      <w:r>
        <w:t xml:space="preserve">Rows identify features; columns identify samples; an aligned vector defines experimental conditions.</w:t>
      </w:r>
      <w:r>
        <w:t xml:space="preserve"> </w:t>
      </w:r>
      <w:r>
        <w:t xml:space="preserve">Missing cells use</w:t>
      </w:r>
      <w:r>
        <w:t xml:space="preserve"> </w:t>
      </w:r>
      <w:r>
        <w:rPr>
          <w:rStyle w:val="VerbatimChar"/>
        </w:rPr>
        <w:t xml:space="preserve">NA</w:t>
      </w:r>
      <w:r>
        <w:t xml:space="preserve">; zero remains observed.</w:t>
      </w:r>
      <w:r>
        <w:t xml:space="preserve"> </w:t>
      </w:r>
      <w:r>
        <w:t xml:space="preserve">Input validation checks structure and finiteness, but cannot verify the claimed preprocessing history.</w:t>
      </w:r>
    </w:p>
    <w:p>
      <w:pPr>
        <w:pStyle w:val="BodyText"/>
      </w:pPr>
      <w:r>
        <w:t xml:space="preserve">For each feature-condition block, the software counts observations and calculates the arithmetic mean of observed log2 intensities.</w:t>
      </w:r>
      <w:r>
        <w:t xml:space="preserve"> </w:t>
      </w:r>
      <w:r>
        <w:t xml:space="preserve">This mean corresponds to a geometric mean on the original intensity scale.</w:t>
      </w:r>
      <w:r>
        <w:t xml:space="preserve"> </w:t>
      </w:r>
      <w:r>
        <w:t xml:space="preserve">Complete blocks remain complete, regardless of their intensity.</w:t>
      </w:r>
      <w:r>
        <w:t xml:space="preserve"> </w:t>
      </w:r>
      <w:r>
        <w:t xml:space="preserve">The following rules apply after the selected rescue policy.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sample is observed.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values are missing and the observed mean is below the condition cutoff.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values are missing, the mean reaches the cutoff, and strictly more than half the samples are observed.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mean reaches the cutoff, but no strict observed majority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value was observed and rescue is disabled.</w:t>
            </w:r>
          </w:p>
        </w:tc>
      </w:tr>
    </w:tbl>
    <w:p>
      <w:pPr>
        <w:pStyle w:val="BodyText"/>
      </w:pPr>
      <w:r>
        <w:t xml:space="preserve">The MAR and MNAR names are compatibility labels for operational routes.</w:t>
      </w:r>
      <w:r>
        <w:t xml:space="preserve"> </w:t>
      </w:r>
      <w:r>
        <w:t xml:space="preserve">They are neither posterior mechanism probabilities nor validated diagnoses of blank cells.</w:t>
      </w:r>
      <w:r>
        <w:t xml:space="preserve"> </w:t>
      </w:r>
      <w:r>
        <w:t xml:space="preserve">Equality belongs to the MAR side of the cutoff.</w:t>
      </w:r>
      <w:r>
        <w:t xml:space="preserve"> </w:t>
      </w:r>
      <w:r>
        <w:t xml:space="preserve">A feature is retained only when no condition is insufficient and at least one condition is MAR or complete.</w:t>
      </w:r>
      <w:r>
        <w:t xml:space="preserve"> </w:t>
      </w:r>
      <w:r>
        <w:t xml:space="preserve">Globally missing features and features that are MNAR or absent everywhere are dropped.</w:t>
      </w:r>
      <w:r>
        <w:t xml:space="preserve"> </w:t>
      </w:r>
      <w:r>
        <w:t xml:space="preserve">Thus, good diagnostic classification does not imply that a missing cell remains actionable after filtering.</w:t>
      </w:r>
    </w:p>
    <w:bookmarkEnd w:id="22"/>
    <w:bookmarkStart w:id="23" w:name="rescue-and-provenance"/>
    <w:p>
      <w:pPr>
        <w:pStyle w:val="Heading2"/>
      </w:pPr>
      <w:r>
        <w:t xml:space="preserve">Rescue and provenance</w:t>
      </w:r>
    </w:p>
    <w:p>
      <w:pPr>
        <w:pStyle w:val="FirstParagraph"/>
      </w:pPr>
      <w:r>
        <w:t xml:space="preserve">The default minimum-rescue policy inserts one condition-minimum value into each surviving fully missing block.</w:t>
      </w:r>
      <w:r>
        <w:t xml:space="preserve"> </w:t>
      </w:r>
      <w:r>
        <w:t xml:space="preserve">The minimum uses finite intensities before any insertions.</w:t>
      </w:r>
      <w:r>
        <w:t xml:space="preserve"> </w:t>
      </w:r>
      <w:r>
        <w:t xml:space="preserve">The selected sample follows a reproducible random draw over sorted identifiers.</w:t>
      </w:r>
      <w:r>
        <w:t xml:space="preserve"> </w:t>
      </w:r>
      <w:r>
        <w:t xml:space="preserve">Globally absent features receive no rescue.</w:t>
      </w:r>
      <w:r>
        <w:t xml:space="preserve"> </w:t>
      </w:r>
      <w:r>
        <w:t xml:space="preserve">No-rescue mode preserves fully missing blocks as</w:t>
      </w:r>
      <w:r>
        <w:t xml:space="preserve"> </w:t>
      </w:r>
      <w:r>
        <w:rPr>
          <w:rStyle w:val="VerbatimChar"/>
        </w:rPr>
        <w:t xml:space="preserve">absent</w:t>
      </w:r>
      <w:r>
        <w:t xml:space="preserve"> </w:t>
      </w:r>
      <w:r>
        <w:t xml:space="preserve">and excludes them from intensity fitting.</w:t>
      </w:r>
    </w:p>
    <w:p>
      <w:pPr>
        <w:pStyle w:val="BodyText"/>
      </w:pPr>
      <w:r>
        <w:t xml:space="preserve">Every insertion records the feature, condition, sample, value, and seed.</w:t>
      </w:r>
      <w:r>
        <w:t xml:space="preserve"> </w:t>
      </w:r>
      <w:r>
        <w:t xml:space="preserve">Original observation counts and means remain available separately from processed statistics.</w:t>
      </w:r>
      <w:r>
        <w:t xml:space="preserve"> </w:t>
      </w:r>
      <w:r>
        <w:t xml:space="preserve">The result also preserves dropped-feature reasons and the selected assay metadata.</w:t>
      </w:r>
      <w:r>
        <w:t xml:space="preserve"> </w:t>
      </w:r>
      <w:r>
        <w:t xml:space="preserve">Rescue changes the returned data; it is not merely a plotting device.</w:t>
      </w:r>
      <w:r>
        <w:t xml:space="preserve"> </w:t>
      </w:r>
      <w:r>
        <w:t xml:space="preserve">In one-sample conditions, rescue creates synthetic completeness, so meaningful within-condition assessment requires replication.</w:t>
      </w:r>
    </w:p>
    <w:bookmarkEnd w:id="23"/>
    <w:bookmarkStart w:id="24" w:name="automatic-transition-selection"/>
    <w:p>
      <w:pPr>
        <w:pStyle w:val="Heading2"/>
      </w:pPr>
      <w:r>
        <w:t xml:space="preserve">Automatic transition selection</w:t>
      </w:r>
    </w:p>
    <w:p>
      <w:pPr>
        <w:pStyle w:val="FirstParagraph"/>
      </w:pPr>
      <w:r>
        <w:t xml:space="preserve">For a condition, let</w:t>
      </w:r>
      <w:r>
        <w:t xml:space="preserve"> </w:t>
      </w:r>
      <w:r>
        <w:rPr>
          <w:rStyle w:val="VerbatimChar"/>
        </w:rPr>
        <w:t xml:space="preserve">nI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nC</w:t>
      </w:r>
      <w:r>
        <w:t xml:space="preserve"> </w:t>
      </w:r>
      <w:r>
        <w:t xml:space="preserve">denote incomplete and complete feature counts.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fI(z)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fC(z)</w:t>
      </w:r>
      <w:r>
        <w:t xml:space="preserve"> </w:t>
      </w:r>
      <w:r>
        <w:t xml:space="preserve">denote their kernel density estimates over observed mean intensity</w:t>
      </w:r>
      <w:r>
        <w:t xml:space="preserve"> </w:t>
      </w:r>
      <w:r>
        <w:rPr>
          <w:rStyle w:val="VerbatimChar"/>
        </w:rPr>
        <w:t xml:space="preserve">z</w:t>
      </w:r>
      <w:r>
        <w:t xml:space="preserve">.</w:t>
      </w:r>
      <w:r>
        <w:t xml:space="preserve"> </w:t>
      </w:r>
      <w:r>
        <w:t xml:space="preserve">The displayed curve is:</w:t>
      </w:r>
    </w:p>
    <w:p>
      <w:pPr>
        <w:pStyle w:val="SourceCode"/>
      </w:pPr>
      <w:r>
        <w:rPr>
          <w:rStyle w:val="VerbatimChar"/>
        </w:rPr>
        <w:t xml:space="preserve">q(z) = nI fI(z) / [nI fI(z) + nC fC(z)]</w:t>
      </w:r>
    </w:p>
    <w:p>
      <w:pPr>
        <w:pStyle w:val="FirstParagraph"/>
      </w:pPr>
      <w:r>
        <w:t xml:space="preserve">This curve estimates an intensity-indexed incomplete-feature proportion.</w:t>
      </w:r>
      <w:r>
        <w:t xml:space="preserve"> </w:t>
      </w:r>
      <w:r>
        <w:t xml:space="preserve">It does not estimate the fraction of missing cells or their causal mechanisms.</w:t>
      </w:r>
      <w:r>
        <w:t xml:space="preserve"> </w:t>
      </w:r>
      <w:r>
        <w:t xml:space="preserve">Both densities use Gaussian kernels, a shared pooled</w:t>
      </w:r>
      <w:r>
        <w:t xml:space="preserve"> </w:t>
      </w:r>
      <w:r>
        <w:rPr>
          <w:rStyle w:val="VerbatimChar"/>
        </w:rPr>
        <w:t xml:space="preserve">bw.nrd0</w:t>
      </w:r>
      <w:r>
        <w:t xml:space="preserve"> </w:t>
      </w:r>
      <w:r>
        <w:t xml:space="preserve">bandwidth, and a 512-point grid.</w:t>
      </w:r>
    </w:p>
    <w:p>
      <w:pPr>
        <w:pStyle w:val="BodyText"/>
      </w:pPr>
      <w:r>
        <w:t xml:space="preserve">Method version 3 requires at least 80 observed feature means and 12 features in each completeness class.</w:t>
      </w:r>
      <w:r>
        <w:t xml:space="preserve"> </w:t>
      </w:r>
      <w:r>
        <w:t xml:space="preserve">It retains the density-supported interval around the dominant density peak, using a relative-density floor of 0.1.</w:t>
      </w:r>
      <w:r>
        <w:t xml:space="preserve"> </w:t>
      </w:r>
      <w:r>
        <w:t xml:space="preserve">A logistic incomplete-feature trend must decrease with intensity and pass a likelihood-ratio screen at 0.001.</w:t>
      </w:r>
      <w:r>
        <w:t xml:space="preserve"> </w:t>
      </w:r>
      <w:r>
        <w:t xml:space="preserve">This screen is an algorithmic criterion, not a calibrated biological hypothesis test.</w:t>
      </w:r>
      <w:r>
        <w:t xml:space="preserve"> </w:t>
      </w:r>
      <w:r>
        <w:t xml:space="preserve">Feature dependence can affect its calibration.</w:t>
      </w:r>
    </w:p>
    <w:p>
      <w:pPr>
        <w:pStyle w:val="BodyText"/>
      </w:pPr>
      <w:r>
        <w:t xml:space="preserve">A degree-three local polynomial estimates the derivative over a half-window of approximately half a bandwidth.</w:t>
      </w:r>
      <w:r>
        <w:t xml:space="preserve"> </w:t>
      </w:r>
      <w:r>
        <w:t xml:space="preserve">Candidate downward transitions require a proportion drop of at least 0.05 and a derivative peak-to-noise ratio of at least 1.5.</w:t>
      </w:r>
      <w:r>
        <w:t xml:space="preserve"> </w:t>
      </w:r>
      <w:r>
        <w:t xml:space="preserve">The algorithm selects the lowest-intensity credible transition.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denotes its right half-depth crossing,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its derivative minimum, and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the bandwidth, the cutoff is</w:t>
      </w:r>
      <w:r>
        <w:t xml:space="preserve"> </w:t>
      </w:r>
      <w:r>
        <w:rPr>
          <w:rStyle w:val="VerbatimChar"/>
        </w:rPr>
        <w:t xml:space="preserve">min(r − h, p + 0.5h)</w:t>
      </w:r>
      <w:r>
        <w:t xml:space="preserve">.</w:t>
      </w:r>
      <w:r>
        <w:t xml:space="preserve"> </w:t>
      </w:r>
      <w:r>
        <w:t xml:space="preserve">These fixed heuristics are not estimated confidence bounds or a physical detection limit.</w:t>
      </w:r>
      <w:r>
        <w:t xml:space="preserve"> </w:t>
      </w:r>
      <w:r>
        <w:t xml:space="preserve">The source and stored diagnostics define all numerical safeguards.</w:t>
      </w:r>
    </w:p>
    <w:p>
      <w:pPr>
        <w:pStyle w:val="BodyText"/>
      </w:pPr>
      <w:r>
        <w:t xml:space="preserve">Unsupported profiles raise structured errors that retain the profile and failure reason.</w:t>
      </w:r>
      <w:r>
        <w:t xml:space="preserve"> </w:t>
      </w:r>
      <w:r>
        <w:t xml:space="preserve">Multiple transitions warn by default; strict mode raises an ambiguity error.</w:t>
      </w:r>
      <w:r>
        <w:t xml:space="preserve"> </w:t>
      </w:r>
      <w:r>
        <w:t xml:space="preserve">Our benchmarks explicitly accept the lowest transition and retain ambiguity records.</w:t>
      </w:r>
      <w:r>
        <w:t xml:space="preserve"> </w:t>
      </w:r>
      <w:r>
        <w:t xml:space="preserve">Consequently, reported availability is permissive detector availability, not availability under the strict policy.</w:t>
      </w:r>
    </w:p>
    <w:bookmarkEnd w:id="24"/>
    <w:bookmarkStart w:id="25" w:name="Xe613d1c7b0ee479689f036dcc51b92dffadca0d"/>
    <w:p>
      <w:pPr>
        <w:pStyle w:val="Heading2"/>
      </w:pPr>
      <w:r>
        <w:t xml:space="preserve">Independent simulations and routing comparators</w:t>
      </w:r>
    </w:p>
    <w:p>
      <w:pPr>
        <w:pStyle w:val="FirstParagraph"/>
      </w:pPr>
      <w:r>
        <w:t xml:space="preserve">We generated 720 datasets: eight scenarios, three replication levels, and 30 seeds per setting.</w:t>
      </w:r>
      <w:r>
        <w:t xml:space="preserve"> </w:t>
      </w:r>
      <w:r>
        <w:t xml:space="preserve">Each dataset contained 600 features and two conditions with 3, 6, or 10 samples each.</w:t>
      </w:r>
      <w:r>
        <w:t xml:space="preserve"> </w:t>
      </w:r>
      <w:r>
        <w:t xml:space="preserve">Baseline feature means followed</w:t>
      </w:r>
      <w:r>
        <w:t xml:space="preserve"> </w:t>
      </w:r>
      <w:r>
        <w:rPr>
          <w:rStyle w:val="VerbatimChar"/>
        </w:rPr>
        <w:t xml:space="preserve">Normal(14, 2.5²)</w:t>
      </w:r>
      <w:r>
        <w:t xml:space="preserve">.</w:t>
      </w:r>
      <w:r>
        <w:t xml:space="preserve"> </w:t>
      </w:r>
      <w:r>
        <w:t xml:space="preserve">Twenty percent initially received a condition effect of either −1.5 or +1.5 log2 units.</w:t>
      </w:r>
      <w:r>
        <w:t xml:space="preserve"> </w:t>
      </w:r>
      <w:r>
        <w:t xml:space="preserve">Ordinary measurement noise had standard deviation 0.4.</w:t>
      </w:r>
      <w:r>
        <w:t xml:space="preserve"> </w:t>
      </w:r>
      <w:r>
        <w:t xml:space="preserve">Five percent were forced on/off features, with condition means 9 and 16.</w:t>
      </w:r>
      <w:r>
        <w:t xml:space="preserve"> </w:t>
      </w:r>
      <w:r>
        <w:t xml:space="preserve">This overwrite can increase the final number of changed features; power uses the final recorded effects.</w:t>
      </w:r>
      <w:r>
        <w:t xml:space="preserve"> </w:t>
      </w:r>
      <w:r>
        <w:t xml:space="preserve">Their absent blocks were recorded separately from simulated MAR and MNAR causes.</w:t>
      </w:r>
      <w:r>
        <w:t xml:space="preserve"> </w:t>
      </w:r>
      <w:r>
        <w:t xml:space="preserve">Thus, the MCAR setting has an MCAR background plus explicitly scored on/off features, not exclusively MCAR missingness.</w:t>
      </w:r>
    </w:p>
    <w:p>
      <w:pPr>
        <w:pStyle w:val="BodyText"/>
      </w:pPr>
      <w:r>
        <w:t xml:space="preserve">The generator records cell causes before calling the package.</w:t>
      </w:r>
      <w:r>
        <w:t xml:space="preserve"> </w:t>
      </w:r>
      <w:r>
        <w:t xml:space="preserve">It does not construct truth by reproducing ImputeFinder’s cutoff or retention rules.</w:t>
      </w:r>
      <w:r>
        <w:t xml:space="preserve"> </w:t>
      </w:r>
      <w:r>
        <w:t xml:space="preserve">Random loss is applied first; any additional intensity-dependent loss receives an MNAR cause.</w:t>
      </w:r>
      <w:r>
        <w:t xml:space="preserve"> </w:t>
      </w:r>
      <w:r>
        <w:t xml:space="preserve">The cell labels identify simulated loss components, not individually identifiable mechanisms in observational data.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Missingness beyond forced on/off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loss probability 0.25.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Observed-covariate 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depends on a fully observed covariate correlated with feature intensity, not on unobserved intensities conditional on that covariate.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Smooth MNAR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Low-tail logistic loss, maximum 0.85, midpoint 12, width 0.8; background random loss 0.03.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censoring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probability 0.95 below intensity 12; background random loss 0.03.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low-tail logistic components centred at 11 and 15; background random loss 0.03.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High-tail MNAR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Increasing logistic loss centred at 15; background random loss 0.03.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Heteroscedastic/batch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Intensity-dependent noise, balanced sample shifts, random loss 0.10, and smooth low-tail loss.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loss 0.12 and smooth low-tail loss.</w:t>
            </w:r>
          </w:p>
        </w:tc>
      </w:tr>
    </w:tbl>
    <w:p>
      <w:pPr>
        <w:pStyle w:val="BodyText"/>
      </w:pPr>
      <w:r>
        <w:t xml:space="preserve">The observed MAR covariate is intentionally unavailable to this intensity-only classifier.</w:t>
      </w:r>
      <w:r>
        <w:t xml:space="preserve"> </w:t>
      </w:r>
      <w:r>
        <w:t xml:space="preserve">That scenario probes a realistic confounding limitation, not whether a covariate-aware model could succeed.</w:t>
      </w:r>
      <w:r>
        <w:t xml:space="preserve"> </w:t>
      </w:r>
      <w:r>
        <w:t xml:space="preserve">The exact equations, seeds, and input matrices are reproducible from</w:t>
      </w:r>
      <w:r>
        <w:t xml:space="preserve"> </w:t>
      </w:r>
      <w:r>
        <w:rPr>
          <w:rStyle w:val="VerbatimChar"/>
        </w:rPr>
        <w:t xml:space="preserve">benchmark.R</w:t>
      </w:r>
      <w:r>
        <w:t xml:space="preserve">.</w:t>
      </w:r>
      <w:r>
        <w:t xml:space="preserve"> </w:t>
      </w:r>
      <w:r>
        <w:t xml:space="preserve">Simulation conditions were not adjusted to improve the resulting scores.</w:t>
      </w:r>
    </w:p>
    <w:p>
      <w:pPr>
        <w:pStyle w:val="BodyText"/>
      </w:pPr>
      <w:r>
        <w:t xml:space="preserve">We compared automatic selection with and without rescue; no-rescue manual cutoffs at 11, 12, and 13; and five simple routes.</w:t>
      </w:r>
      <w:r>
        <w:t xml:space="preserve"> </w:t>
      </w:r>
      <w:r>
        <w:t xml:space="preserve">The simple routes use pooled intensity Q25, condition intensity Q25, observed majority, all-MAR assignment, or DEP-style complete-condition absence.</w:t>
      </w:r>
      <w:r>
        <w:t xml:space="preserve"> </w:t>
      </w:r>
      <w:r>
        <w:t xml:space="preserve">The DEP-style rule routes a feature to MNAR if it is fully absent in any condition.</w:t>
      </w:r>
      <w:r>
        <w:t xml:space="preserve"> </w:t>
      </w:r>
      <w:r>
        <w:t xml:space="preserve">Simple baselines retain every feature with an observation somewhere.</w:t>
      </w:r>
      <w:r>
        <w:t xml:space="preserve"> </w:t>
      </w:r>
      <w:r>
        <w:t xml:space="preserve">Their broader retention is reported, not hidden by a common post hoc subset.</w:t>
      </w:r>
      <w:r>
        <w:t xml:space="preserve"> </w:t>
      </w:r>
      <w:r>
        <w:t xml:space="preserve">Manual cutoffs are illustrative fixed boundaries, not recommendations for arbitrary instruments or input scales.</w:t>
      </w:r>
    </w:p>
    <w:bookmarkEnd w:id="25"/>
    <w:bookmarkStart w:id="26" w:name="estimands-and-uncertainty"/>
    <w:p>
      <w:pPr>
        <w:pStyle w:val="Heading2"/>
      </w:pPr>
      <w:r>
        <w:t xml:space="preserve">Estimands and uncertainty</w:t>
      </w:r>
    </w:p>
    <w:p>
      <w:pPr>
        <w:pStyle w:val="FirstParagraph"/>
      </w:pPr>
      <w:r>
        <w:t xml:space="preserve">Diagnostic coverage counts original MAR/MNAR-caused missing cells receiving either operational route, including subsequently dropped features.</w:t>
      </w:r>
      <w:r>
        <w:t xml:space="preserve"> </w:t>
      </w:r>
      <w:r>
        <w:t xml:space="preserve">Diagnostic correctness counts cells whose route agrees with their recorded simulated cause.</w:t>
      </w:r>
      <w:r>
        <w:t xml:space="preserve"> </w:t>
      </w:r>
      <w:r>
        <w:t xml:space="preserve">Actionable coverage and correctness additionally require feature retention.</w:t>
      </w:r>
      <w:r>
        <w:t xml:space="preserve"> </w:t>
      </w:r>
      <w:r>
        <w:t xml:space="preserve">Fully absent structural blocks are excluded from mechanism-scoring denominators and assessed through on/off retention.</w:t>
      </w:r>
      <w:r>
        <w:t xml:space="preserve"> </w:t>
      </w:r>
      <w:r>
        <w:t xml:space="preserve">Selective accuracy uses only assigned cells and must be interpreted with its coverage.</w:t>
      </w:r>
    </w:p>
    <w:p>
      <w:pPr>
        <w:pStyle w:val="BodyText"/>
      </w:pPr>
      <w:r>
        <w:t xml:space="preserve">Every requested method-dataset pair appears in the output, including errors.</w:t>
      </w:r>
      <w:r>
        <w:t xml:space="preserve"> </w:t>
      </w:r>
      <w:r>
        <w:t xml:space="preserve">Failed pipelines receive zero availability, unconditional coverage, correctness, retention, and discovery power.</w:t>
      </w:r>
      <w:r>
        <w:t xml:space="preserve"> </w:t>
      </w:r>
      <w:r>
        <w:t xml:space="preserve">Reconstruction error, effect error, and FDP remain undefined for unexecuted analyses.</w:t>
      </w:r>
      <w:r>
        <w:t xml:space="preserve"> </w:t>
      </w:r>
      <w:r>
        <w:t xml:space="preserve">Their summary tables report the number of successful finite evaluations.</w:t>
      </w:r>
      <w:r>
        <w:t xml:space="preserve"> </w:t>
      </w:r>
      <w:r>
        <w:t xml:space="preserve">An executed analysis with no discoveries has FDP zero.</w:t>
      </w:r>
    </w:p>
    <w:p>
      <w:pPr>
        <w:pStyle w:val="BodyText"/>
      </w:pPr>
      <w:r>
        <w:t xml:space="preserve">Uncertainty uses datasets as independent units, not cells or features.</w:t>
      </w:r>
      <w:r>
        <w:t xml:space="preserve"> </w:t>
      </w:r>
      <w:r>
        <w:t xml:space="preserve">We report 95% Student-t Monte Carlo intervals across seeds and Wilson intervals for binary availability.</w:t>
      </w:r>
      <w:r>
        <w:t xml:space="preserve"> </w:t>
      </w:r>
      <w:r>
        <w:t xml:space="preserve">Paired contrasts subtract outcomes within the same simulated dataset.</w:t>
      </w:r>
      <w:r>
        <w:t xml:space="preserve"> </w:t>
      </w:r>
      <w:r>
        <w:t xml:space="preserve">Intervals describe variation under the specified generator, not uncertainty about a patient population.</w:t>
      </w:r>
      <w:r>
        <w:t xml:space="preserve"> </w:t>
      </w:r>
      <w:r>
        <w:t xml:space="preserve">The data are not a model of peptide identification, correlated pathways, or every mass-spectrometry acquisition regime.</w:t>
      </w:r>
    </w:p>
    <w:bookmarkEnd w:id="26"/>
    <w:bookmarkStart w:id="27" w:name="downstream-pipelines"/>
    <w:p>
      <w:pPr>
        <w:pStyle w:val="Heading2"/>
      </w:pPr>
      <w:r>
        <w:t xml:space="preserve">Downstream pipelines</w:t>
      </w:r>
    </w:p>
    <w:p>
      <w:pPr>
        <w:pStyle w:val="FirstParagraph"/>
      </w:pPr>
      <w:r>
        <w:t xml:space="preserve">We evaluated 90 paired datasets with six samples per condition from the MCAR, mixed, and heteroscedastic/batch scenarios.</w:t>
      </w:r>
      <w:r>
        <w:t xml:space="preserve"> </w:t>
      </w:r>
      <w:r>
        <w:t xml:space="preserve">Uniform kNN and uniform MinProb used</w:t>
      </w:r>
      <w:r>
        <w:t xml:space="preserve"> </w:t>
      </w:r>
      <w:r>
        <w:rPr>
          <w:rStyle w:val="VerbatimChar"/>
        </w:rPr>
        <w:t xml:space="preserve">imputeLCMD</w:t>
      </w:r>
      <w:r>
        <w:t xml:space="preserve"> </w:t>
      </w:r>
      <w:r>
        <w:t xml:space="preserve">[20], with</w:t>
      </w:r>
      <w:r>
        <w:t xml:space="preserve"> </w:t>
      </w:r>
      <w:r>
        <w:rPr>
          <w:rStyle w:val="VerbatimChar"/>
        </w:rPr>
        <w:t xml:space="preserve">K=10</w:t>
      </w:r>
      <w:r>
        <w:t xml:space="preserve">,</w:t>
      </w:r>
      <w:r>
        <w:t xml:space="preserve"> </w:t>
      </w:r>
      <w:r>
        <w:rPr>
          <w:rStyle w:val="VerbatimChar"/>
        </w:rPr>
        <w:t xml:space="preserve">q=0.01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tune.sigma=1</w:t>
      </w:r>
      <w:r>
        <w:t xml:space="preserve">.</w:t>
      </w:r>
      <w:r>
        <w:t xml:space="preserve"> </w:t>
      </w:r>
      <w:r>
        <w:t xml:space="preserve">Mixed pipelines fitted both candidates within each condition using the available retained matrix.</w:t>
      </w:r>
      <w:r>
        <w:t xml:space="preserve"> </w:t>
      </w:r>
      <w:r>
        <w:t xml:space="preserve">They selected MinProb for MNAR or absent blocks and kNN elsewhere.</w:t>
      </w:r>
      <w:r>
        <w:t xml:space="preserve"> </w:t>
      </w:r>
      <w:r>
        <w:t xml:space="preserve">Original finite values remained unchanged.</w:t>
      </w:r>
      <w:r>
        <w:t xml:space="preserve"> </w:t>
      </w:r>
      <w:r>
        <w:t xml:space="preserve">Conditions and imputers used distinct deterministic random streams, shared consistently across compared methods.</w:t>
      </w:r>
    </w:p>
    <w:p>
      <w:pPr>
        <w:pStyle w:val="BodyText"/>
      </w:pPr>
      <w:r>
        <w:t xml:space="preserve">The DEP comparator reproduces its absence-based routing rule with these shared imputers.</w:t>
      </w:r>
      <w:r>
        <w:t xml:space="preserve"> </w:t>
      </w:r>
      <w:r>
        <w:t xml:space="preserve">It does not reproduce the complete DEP normalization and inference workflow.</w:t>
      </w:r>
      <w:r>
        <w:t xml:space="preserve"> </w:t>
      </w:r>
      <w:r>
        <w:t xml:space="preserve">Likewise, these comparisons do not benchmark every DAPAR, msImpute, or sector-routing implementation.</w:t>
      </w:r>
      <w:r>
        <w:t xml:space="preserve"> </w:t>
      </w:r>
      <w:r>
        <w:t xml:space="preserve">ImputeFinder pipelines also change retention and, under rescue, the imputer training matrix.</w:t>
      </w:r>
      <w:r>
        <w:t xml:space="preserve"> </w:t>
      </w:r>
      <w:r>
        <w:t xml:space="preserve">They are therefore complete processing comparisons, not pure routing-only ablations.</w:t>
      </w:r>
    </w:p>
    <w:p>
      <w:pPr>
        <w:pStyle w:val="BodyText"/>
      </w:pPr>
      <w:r>
        <w:t xml:space="preserve">We fitted the same two-condition linear model with limma to observed or completed matrices [12].</w:t>
      </w:r>
      <w:r>
        <w:t xml:space="preserve"> </w:t>
      </w:r>
      <w:r>
        <w:t xml:space="preserve">The observed-only branch kept missing values.</w:t>
      </w:r>
      <w:r>
        <w:t xml:space="preserve"> </w:t>
      </w:r>
      <w:r>
        <w:t xml:space="preserve">The proDA branch fitted a dropout-aware model to those original missing values and used its Wald contrast [13].</w:t>
      </w:r>
      <w:r>
        <w:t xml:space="preserve"> </w:t>
      </w:r>
      <w:r>
        <w:t xml:space="preserve">proDA is an inference comparator, not a reconstruction or routing algorithm.</w:t>
      </w:r>
      <w:r>
        <w:t xml:space="preserve"> </w:t>
      </w:r>
      <w:r>
        <w:t xml:space="preserve">Its random initialization used a separate fixed seed for each dataset or contrast.</w:t>
      </w:r>
      <w:r>
        <w:t xml:space="preserve"> </w:t>
      </w:r>
      <w:r>
        <w:t xml:space="preserve">We recorded numerical convergence, iteration counts, and final parameter-change errors with a uniform 100-iteration limit and unchanged 0.001 tolerance.</w:t>
      </w:r>
      <w:r>
        <w:t xml:space="preserve"> </w:t>
      </w:r>
      <w:r>
        <w:t xml:space="preserve">A numerical audit found one default fit that required 22 iterations, exceeding the package’s default limit of 20.</w:t>
      </w:r>
      <w:r>
        <w:t xml:space="preserve"> </w:t>
      </w:r>
      <w:r>
        <w:t xml:space="preserve">The larger limit changes the numerical stopping allowance, not the model or tolerance.</w:t>
      </w:r>
      <w:r>
        <w:t xml:space="preserve"> </w:t>
      </w:r>
      <w:r>
        <w:t xml:space="preserve">The recorded stopping iteration also identifies fits that would converge within the default limit, using the same fixed initialization.</w:t>
      </w:r>
      <w:r>
        <w:t xml:space="preserve"> </w:t>
      </w:r>
      <w:r>
        <w:t xml:space="preserve">A returned fit without numerical convergence was unavailable for primary inference, even if the API returned estimates.</w:t>
      </w:r>
      <w:r>
        <w:t xml:space="preserve"> </w:t>
      </w:r>
      <w:r>
        <w:t xml:space="preserve">Solver-only probes compared limits of 20 and 100 iterations with identical initial random states on one dataset from each downstream scenario.</w:t>
      </w:r>
      <w:r>
        <w:t xml:space="preserve"> </w:t>
      </w:r>
      <w:r>
        <w:t xml:space="preserve">These probes did not use discovery performance to choose settings.</w:t>
      </w:r>
      <w:r>
        <w:t xml:space="preserve"> </w:t>
      </w:r>
      <w:r>
        <w:t xml:space="preserve">No pipeline received additional normalization; simulated sample offsets were balanced within conditions.</w:t>
      </w:r>
      <w:r>
        <w:t xml:space="preserve"> </w:t>
      </w:r>
      <w:r>
        <w:t xml:space="preserve">The balanced design isolates missingness effects but does not validate a real-data normalization choice.</w:t>
      </w:r>
    </w:p>
    <w:p>
      <w:pPr>
        <w:pStyle w:val="BodyText"/>
      </w:pPr>
      <w:r>
        <w:t xml:space="preserve">For comparability, untested or filtered features received</w:t>
      </w:r>
      <w:r>
        <w:t xml:space="preserve"> </w:t>
      </w:r>
      <w:r>
        <w:rPr>
          <w:rStyle w:val="VerbatimChar"/>
        </w:rPr>
        <w:t xml:space="preserve">p=1</w:t>
      </w:r>
      <w:r>
        <w:t xml:space="preserve"> </w:t>
      </w:r>
      <w:r>
        <w:t xml:space="preserve">before Benjamini–Hochberg adjustment over all 600 original features [14].</w:t>
      </w:r>
      <w:r>
        <w:t xml:space="preserve"> </w:t>
      </w:r>
      <w:r>
        <w:t xml:space="preserve">This common universe differs from adjusting only retained features.</w:t>
      </w:r>
      <w:r>
        <w:t xml:space="preserve"> </w:t>
      </w:r>
      <w:r>
        <w:t xml:space="preserve">Power counts discoveries among all truly changed features, including filtered features.</w:t>
      </w:r>
      <w:r>
        <w:t xml:space="preserve"> </w:t>
      </w:r>
      <w:r>
        <w:t xml:space="preserve">FDP counts unchanged features among discoveries at adjusted</w:t>
      </w:r>
      <w:r>
        <w:t xml:space="preserve"> </w:t>
      </w:r>
      <w:r>
        <w:rPr>
          <w:rStyle w:val="VerbatimChar"/>
        </w:rPr>
        <w:t xml:space="preserve">p&lt;0.05</w:t>
      </w:r>
      <w:r>
        <w:t xml:space="preserve">.</w:t>
      </w:r>
      <w:r>
        <w:t xml:space="preserve"> </w:t>
      </w:r>
      <w:r>
        <w:t xml:space="preserve">Single imputation does not propagate missing-value uncertainty and does not guarantee nominal FDR control.</w:t>
      </w:r>
      <w:r>
        <w:t xml:space="preserve"> </w:t>
      </w:r>
      <w:r>
        <w:t xml:space="preserve">Missing-cell reconstruction and effect errors are conditional on the returned features; retention and reconstructed fractions accompany them.</w:t>
      </w:r>
    </w:p>
    <w:bookmarkEnd w:id="27"/>
    <w:bookmarkStart w:id="28" w:name="public-data-extraction-and-sensitivity"/>
    <w:p>
      <w:pPr>
        <w:pStyle w:val="Heading2"/>
      </w:pPr>
      <w:r>
        <w:t xml:space="preserve">Public-data extraction and sensitivity</w:t>
      </w:r>
    </w:p>
    <w:p>
      <w:pPr>
        <w:pStyle w:val="FirstParagraph"/>
      </w:pPr>
      <w:r>
        <w:t xml:space="preserve">We used the complete</w:t>
      </w:r>
      <w:r>
        <w:t xml:space="preserve"> </w:t>
      </w:r>
      <w:r>
        <w:rPr>
          <w:rStyle w:val="VerbatimChar"/>
        </w:rPr>
        <w:t xml:space="preserve">proteinGroups.txt</w:t>
      </w:r>
      <w:r>
        <w:t xml:space="preserve"> </w:t>
      </w:r>
      <w:r>
        <w:t xml:space="preserve">member from the PXD020717 BA46 soluble MaxQuant archive [15].</w:t>
      </w:r>
      <w:r>
        <w:t xml:space="preserve"> </w:t>
      </w:r>
      <w:r>
        <w:t xml:space="preserve">The extraction verifies archive size, member size and CRC, and a pinned SHA256 digest.</w:t>
      </w:r>
      <w:r>
        <w:t xml:space="preserve"> </w:t>
      </w:r>
      <w:r>
        <w:t xml:space="preserve">It excludes reverse hits, potential contaminants, and rows identified only by site.</w:t>
      </w:r>
      <w:r>
        <w:t xml:space="preserve"> </w:t>
      </w:r>
      <w:r>
        <w:t xml:space="preserve">All other protein groups and intensity columns remain eligible, without disease- or protein-based selection.</w:t>
      </w:r>
    </w:p>
    <w:p>
      <w:pPr>
        <w:pStyle w:val="BodyText"/>
      </w:pPr>
      <w:r>
        <w:t xml:space="preserve">The source contains 3,002 rows and 18 runs.</w:t>
      </w:r>
      <w:r>
        <w:t xml:space="preserve"> </w:t>
      </w:r>
      <w:r>
        <w:t xml:space="preserve">The filtered table contains 2,645 protein groups.</w:t>
      </w:r>
      <w:r>
        <w:t xml:space="preserve"> </w:t>
      </w:r>
      <w:r>
        <w:t xml:space="preserve">Two AD04 runs share a donor identifier.</w:t>
      </w:r>
      <w:r>
        <w:t xml:space="preserve"> </w:t>
      </w:r>
      <w:r>
        <w:t xml:space="preserve">We collapse them using the mean of positive linear intensities before log2 transformation, producing nine AD and eight control donors.</w:t>
      </w:r>
      <w:r>
        <w:t xml:space="preserve"> </w:t>
      </w:r>
      <w:r>
        <w:t xml:space="preserve">All-zero donor blocks remain missing.</w:t>
      </w:r>
      <w:r>
        <w:t xml:space="preserve"> </w:t>
      </w:r>
      <w:r>
        <w:t xml:space="preserve">This choice preserves any detection but can conceal run-level missingness; a separate 18-run sensitivity analysis records its effect.</w:t>
      </w:r>
      <w:r>
        <w:t xml:space="preserve"> </w:t>
      </w:r>
      <w:r>
        <w:t xml:space="preserve">Protein-group identifiers remain groups, not asserted one-to-one gene measurements.</w:t>
      </w:r>
    </w:p>
    <w:p>
      <w:pPr>
        <w:pStyle w:val="BodyText"/>
      </w:pPr>
      <w:r>
        <w:t xml:space="preserve">We ran both rescue policies, perturbed each selected cutoff by ±1 log2 unit, and performed 100 feature-bootstrap resamples per policy.</w:t>
      </w:r>
      <w:r>
        <w:t xml:space="preserve"> </w:t>
      </w:r>
      <w:r>
        <w:t xml:space="preserve">These resamples describe algorithmic stability, not independent-protein or donor-level confidence intervals.</w:t>
      </w:r>
      <w:r>
        <w:t xml:space="preserve"> </w:t>
      </w:r>
      <w:r>
        <w:t xml:space="preserve">Twenty rescue seeds tested classification invariance and changes in sample medians.</w:t>
      </w:r>
      <w:r>
        <w:t xml:space="preserve"> </w:t>
      </w:r>
      <w:r>
        <w:t xml:space="preserve">No disease association, diagnostic performance, or missingness mechanism is inferred from this observational table.</w:t>
      </w:r>
    </w:p>
    <w:p>
      <w:pPr>
        <w:pStyle w:val="BodyText"/>
      </w:pPr>
      <w:r>
        <w:t xml:space="preserve">For measured-value holdout, we used all 932 features observed in every donor.</w:t>
      </w:r>
      <w:r>
        <w:t xml:space="preserve"> </w:t>
      </w:r>
      <w:r>
        <w:t xml:space="preserve">Thirty seeds applied either 20% random masking or smooth low-tail masking.</w:t>
      </w:r>
      <w:r>
        <w:t xml:space="preserve"> </w:t>
      </w:r>
      <w:r>
        <w:t xml:space="preserve">The hidden measurements provide reconstruction targets, not experimental knowledge of naturally missing values.</w:t>
      </w:r>
      <w:r>
        <w:t xml:space="preserve"> </w:t>
      </w:r>
      <w:r>
        <w:t xml:space="preserve">Complete-feature selection favours observable proteins and excludes the original absent blocks.</w:t>
      </w:r>
      <w:r>
        <w:t xml:space="preserve"> </w:t>
      </w:r>
      <w:r>
        <w:t xml:space="preserve">This analysis is a semi-synthetic sensitivity check, not independent experimental validation of missingness mechanisms.</w:t>
      </w:r>
    </w:p>
    <w:bookmarkEnd w:id="28"/>
    <w:bookmarkStart w:id="29" w:name="external-controlled-mixture-calibration"/>
    <w:p>
      <w:pPr>
        <w:pStyle w:val="Heading2"/>
      </w:pPr>
      <w:r>
        <w:t xml:space="preserve">External controlled-mixture calibration</w:t>
      </w:r>
    </w:p>
    <w:p>
      <w:pPr>
        <w:pStyle w:val="FirstParagraph"/>
      </w:pPr>
      <w:r>
        <w:t xml:space="preserve">The iPRG2015 study added six proteins at known amounts to four mixtures containing 200 ng of the same yeast digest [16].</w:t>
      </w:r>
      <w:r>
        <w:t xml:space="preserve"> </w:t>
      </w:r>
      <w:r>
        <w:t xml:space="preserve">Each mixture had three technical runs, not independent biological replicates.</w:t>
      </w:r>
      <w:r>
        <w:t xml:space="preserve"> </w:t>
      </w:r>
      <w:r>
        <w:t xml:space="preserve">We used the complete MaxQuant 1.6.17.0 raw-intensity table from its PXD028038 reprocessing [17].</w:t>
      </w:r>
      <w:r>
        <w:t xml:space="preserve"> </w:t>
      </w:r>
      <w:r>
        <w:t xml:space="preserve">Match-between-runs was enabled upstream.</w:t>
      </w:r>
      <w:r>
        <w:t xml:space="preserve"> </w:t>
      </w:r>
      <w:r>
        <w:t xml:space="preserve">We did not rerun peptide identification, alignment, or protein grouping.</w:t>
      </w:r>
      <w:r>
        <w:t xml:space="preserve"> </w:t>
      </w:r>
      <w:r>
        <w:t xml:space="preserve">The source checksum and original accession MSV000079843 are recorded with the extract.</w:t>
      </w:r>
    </w:p>
    <w:p>
      <w:pPr>
        <w:pStyle w:val="BodyText"/>
      </w:pPr>
      <w:r>
        <w:t xml:space="preserve">Filtering retained 3,262 groups, including all six declared spikes.</w:t>
      </w:r>
      <w:r>
        <w:t xml:space="preserve"> </w:t>
      </w:r>
      <w:r>
        <w:t xml:space="preserve">Known spike identifiers override generic contaminant exclusion; reverse and site-only exclusions remain.</w:t>
      </w:r>
      <w:r>
        <w:t xml:space="preserve"> </w:t>
      </w:r>
      <w:r>
        <w:t xml:space="preserve">The blinded spike accessions are study labels, not current organism annotations.</w:t>
      </w:r>
      <w:r>
        <w:t xml:space="preserve"> </w:t>
      </w:r>
      <w:r>
        <w:t xml:space="preserve">The source has approximately 2.4% missing cells, so this is a relatively complete-table calibration.</w:t>
      </w:r>
    </w:p>
    <w:p>
      <w:pPr>
        <w:pStyle w:val="BodyText"/>
      </w:pPr>
      <w:r>
        <w:t xml:space="preserve">We analysed all six pairwise contrasts with seven pipelines, omitting the simulation-specific manual cutoff of 12.</w:t>
      </w:r>
      <w:r>
        <w:t xml:space="preserve"> </w:t>
      </w:r>
      <w:r>
        <w:t xml:space="preserve">Classification used unnormalised log2 intensities.</w:t>
      </w:r>
      <w:r>
        <w:t xml:space="preserve"> </w:t>
      </w:r>
      <w:r>
        <w:t xml:space="preserve">The primary inference analysis then subtracted prespecified sample offsets calculated from medians of the original observed intensities.</w:t>
      </w:r>
      <w:r>
        <w:t xml:space="preserve"> </w:t>
      </w:r>
      <w:r>
        <w:t xml:space="preserve">The same offsets applied to every pipeline, including proDA.</w:t>
      </w:r>
      <w:r>
        <w:t xml:space="preserve"> </w:t>
      </w:r>
      <w:r>
        <w:t xml:space="preserve">A second analysis omitted normalization to expose preprocessing sensitivity.</w:t>
      </w:r>
    </w:p>
    <w:p>
      <w:pPr>
        <w:pStyle w:val="BodyText"/>
      </w:pPr>
      <w:r>
        <w:t xml:space="preserve">The added amounts imply six nonzero spike effects per contrast, with 36 nonzero effects across the six contrasts.</w:t>
      </w:r>
      <w:r>
        <w:t xml:space="preserve"> </w:t>
      </w:r>
      <w:r>
        <w:t xml:space="preserve">Only 30 exceed an absolute log2 fold change of one.</w:t>
      </w:r>
      <w:r>
        <w:t xml:space="preserve"> </w:t>
      </w:r>
      <w:r>
        <w:t xml:space="preserve">Our zero-null tests therefore count all 36 nonzero effects as positives, including small effects.</w:t>
      </w:r>
      <w:r>
        <w:t xml:space="preserve"> </w:t>
      </w:r>
      <w:r>
        <w:t xml:space="preserve">Every denominator includes all six spikes, even when a pipeline drops or cannot test them.</w:t>
      </w:r>
      <w:r>
        <w:t xml:space="preserve"> </w:t>
      </w:r>
      <w:r>
        <w:t xml:space="preserve">The background-discovery count uses all other retained source groups as the expected constant yeast background.</w:t>
      </w:r>
      <w:r>
        <w:t xml:space="preserve"> </w:t>
      </w:r>
      <w:r>
        <w:t xml:space="preserve">Common-universe BH adjustment assigns untested features</w:t>
      </w:r>
      <w:r>
        <w:t xml:space="preserve"> </w:t>
      </w:r>
      <w:r>
        <w:rPr>
          <w:rStyle w:val="VerbatimChar"/>
        </w:rPr>
        <w:t xml:space="preserve">p=1</w:t>
      </w:r>
      <w:r>
        <w:t xml:space="preserve">.</w:t>
      </w:r>
      <w:r>
        <w:t xml:space="preserve"> </w:t>
      </w:r>
      <w:r>
        <w:t xml:space="preserve">Effect error reports the number of estimable spikes.</w:t>
      </w:r>
    </w:p>
    <w:p>
      <w:pPr>
        <w:pStyle w:val="BodyText"/>
      </w:pPr>
      <w:r>
        <w:t xml:space="preserve">These are correlated contrasts from one controlled experiment.</w:t>
      </w:r>
      <w:r>
        <w:t xml:space="preserve"> </w:t>
      </w:r>
      <w:r>
        <w:t xml:space="preserve">We report realised FDP and counts without independent-contrast confidence intervals or claims of calibrated general FDR control.</w:t>
      </w:r>
      <w:r>
        <w:t xml:space="preserve"> </w:t>
      </w:r>
      <w:r>
        <w:t xml:space="preserve">Added concentrations provide effect truth, not causes for individual missing cells.</w:t>
      </w:r>
    </w:p>
    <w:bookmarkEnd w:id="29"/>
    <w:bookmarkEnd w:id="30"/>
    <w:bookmarkStart w:id="45" w:name="results"/>
    <w:p>
      <w:pPr>
        <w:pStyle w:val="Heading1"/>
      </w:pPr>
      <w:r>
        <w:t xml:space="preserve">Results</w:t>
      </w:r>
    </w:p>
    <w:bookmarkStart w:id="34" w:name="X0c7253cee56fd5720ff9736a59fdcce647d6fe3"/>
    <w:p>
      <w:pPr>
        <w:pStyle w:val="Heading2"/>
      </w:pPr>
      <w:r>
        <w:t xml:space="preserve">Availability and routing failures are informative</w:t>
      </w:r>
    </w:p>
    <w:p>
      <w:pPr>
        <w:pStyle w:val="FirstParagraph"/>
      </w:pPr>
      <w:r>
        <w:t xml:space="preserve">Figure 1 reports permissive availability and correctly routed actionable missing cells at six samples per condition.</w:t>
      </w:r>
      <w:r>
        <w:t xml:space="preserve"> </w:t>
      </w:r>
      <w:r>
        <w:t xml:space="preserve">The complete supplement includes all replication levels and failure messages.</w:t>
      </w:r>
      <w:r>
        <w:t xml:space="preserve"> </w:t>
      </w:r>
      <w:r>
        <w:t xml:space="preserve">The no-rescue detector accepted every smooth, mixed, dual-transition, covariate-MAR, and heteroscedastic/batch dataset at this replication level.</w:t>
      </w:r>
      <w:r>
        <w:t xml:space="preserve"> </w:t>
      </w:r>
      <w:r>
        <w:t xml:space="preserve">It accepted 90.0% of hard-censoring datasets and none of the MCAR-background or high-tail datasets.</w:t>
      </w:r>
      <w:r>
        <w:t xml:space="preserve"> </w:t>
      </w:r>
      <w:r>
        <w:t xml:space="preserve">Abstention under incompatible profiles prevents forced cutoff selection, but also limits automatic coverage.</w:t>
      </w:r>
    </w:p>
    <w:p>
      <w:pPr>
        <w:pStyle w:val="BodyText"/>
      </w:pPr>
      <w:r>
        <w:t xml:space="preserve">The observed-covariate MAR scenario illustrates a central identification failure.</w:t>
      </w:r>
      <w:r>
        <w:t xml:space="preserve"> </w:t>
      </w:r>
      <w:r>
        <w:t xml:space="preserve">Its decreasing incomplete-feature curve looked compatible with the detector despite having no MNAR-caused cells outside the separately labelled structural absence.</w:t>
      </w:r>
      <w:r>
        <w:t xml:space="preserve"> </w:t>
      </w:r>
      <w:r>
        <w:t xml:space="preserve">Only 22.0% [19.9%, 24.0%] of MAR-caused missing cells received a MAR route.</w:t>
      </w:r>
      <w:r>
        <w:t xml:space="preserve"> </w:t>
      </w:r>
      <w:r>
        <w:t xml:space="preserve">Automatic success therefore cannot be interpreted as evidence that MNAR mechanisms exist.</w:t>
      </w:r>
    </w:p>
    <w:p>
      <w:pPr>
        <w:pStyle w:val="BodyText"/>
      </w:pPr>
      <w:r>
        <w:t xml:space="preserve">Filtering substantially reduced actionable coverage compared with diagnostic classification.</w:t>
      </w:r>
      <w:r>
        <w:t xml:space="preserve"> </w:t>
      </w:r>
      <w:r>
        <w:t xml:space="preserve">In the mixed scenario, no-rescue diagnostic correctness was 63.7%, while actionable correctness was 20.8%.</w:t>
      </w:r>
      <w:r>
        <w:t xml:space="preserve"> </w:t>
      </w:r>
      <w:r>
        <w:t xml:space="preserve">The denominator includes original MAR/MNAR-caused missing cells, not only retained or successfully routed cells.</w:t>
      </w:r>
      <w:r>
        <w:t xml:space="preserve"> </w:t>
      </w:r>
      <w:r>
        <w:t xml:space="preserve">This difference is a consequence of the retention rule and must remain visible in evaluations.</w:t>
      </w:r>
    </w:p>
    <w:p>
      <w:pPr>
        <w:pStyle w:val="CaptionedFigure"/>
      </w:pPr>
      <w:r>
        <w:drawing>
          <wp:inline>
            <wp:extent cx="5334000" cy="4364181"/>
            <wp:effectExtent b="0" l="0" r="0" t="0"/>
            <wp:docPr descr="Figure 1. Scenario-specific routing. Each cell aggregates 30 independent datasets. Availability intervals and complete metrics appear in the supplement. Actionable correctness includes filtering and treats pipeline failures as unassigned." title="" id="32" name="Picture"/>
            <a:graphic>
              <a:graphicData uri="http://schemas.openxmlformats.org/drawingml/2006/picture">
                <pic:pic>
                  <pic:nvPicPr>
                    <pic:cNvPr descr="manuscript_files/461a47ffad1555733ada7658b075f7a8b422599b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Scenario-specific routing. Each cell aggregates 30 independent datasets. Availability intervals and complete metrics appear in the supplement. Actionable correctness includes filtering and treats pipeline failures as unassigned.</w:t>
      </w:r>
    </w:p>
    <w:bookmarkEnd w:id="34"/>
    <w:bookmarkStart w:id="38" w:name="X0a5809875d16fe387a0664f238417c410df4cb8"/>
    <w:p>
      <w:pPr>
        <w:pStyle w:val="Heading2"/>
      </w:pPr>
      <w:r>
        <w:t xml:space="preserve">Downstream consequences do not support universal superiority</w:t>
      </w:r>
    </w:p>
    <w:p>
      <w:pPr>
        <w:pStyle w:val="FirstParagraph"/>
      </w:pPr>
      <w:r>
        <w:t xml:space="preserve">Figure 2 and Table 1 show discovery trade-offs under the fixed processing choices.</w:t>
      </w:r>
      <w:r>
        <w:t xml:space="preserve"> </w:t>
      </w:r>
      <w:r>
        <w:t xml:space="preserve">In mixed missingness, minimum rescue produced mean FDP 4.8% [3.9%, 5.7%] and power 64.5% [62.3%, 66.7%].</w:t>
      </w:r>
      <w:r>
        <w:t xml:space="preserve"> </w:t>
      </w:r>
      <w:r>
        <w:t xml:space="preserve">Disabling rescue produced mean FDP 7.6% [6.7%, 8.5%] and power 69.8% [68.2%, 71.4%].</w:t>
      </w:r>
      <w:r>
        <w:t xml:space="preserve"> </w:t>
      </w:r>
      <w:r>
        <w:t xml:space="preserve">The DEP-style route retained more features and reached power 91.5%, but its mean FDP was 17.7%.</w:t>
      </w:r>
      <w:r>
        <w:t xml:space="preserve"> </w:t>
      </w:r>
      <w:r>
        <w:t xml:space="preserve">These results do not make one route universally preferable.</w:t>
      </w:r>
      <w:r>
        <w:t xml:space="preserve"> </w:t>
      </w:r>
      <w:r>
        <w:t xml:space="preserve">Observed-only and dropout-aware inference address a different trade-off without requiring an imputed matrix as input.</w:t>
      </w:r>
      <w:r>
        <w:t xml:space="preserve"> </w:t>
      </w:r>
      <w:r>
        <w:t xml:space="preserve">proDA satisfied the recorded convergence criterion in 90 of 90 simulated datasets.</w:t>
      </w:r>
      <w:r>
        <w:t xml:space="preserve"> </w:t>
      </w:r>
      <w:r>
        <w:t xml:space="preserve">Of these, 89 stopped within the default 20 iterations.</w:t>
      </w:r>
    </w:p>
    <w:p>
      <w:pPr>
        <w:pStyle w:val="TableCaption"/>
      </w:pPr>
      <w:r>
        <w:t xml:space="preserve">Table 1. Mixed-missingness downstream results. Brackets show 95% Monte Carlo intervals; availability uses Wilson intervals.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1. Mixed-missingness downstream results. Brackets show 95% Monte Carlo intervals; availability uses Wilson intervals."/>
      </w:tblPr>
      <w:tblGrid>
        <w:gridCol w:w="1750"/>
        <w:gridCol w:w="1917"/>
        <w:gridCol w:w="750"/>
        <w:gridCol w:w="1750"/>
        <w:gridCol w:w="17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 + rescue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 [88.6%, 100.0%]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4.8% [3.9%, 5.7%]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64.5% [62.3%, 66.7%]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Automatic, no rescue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 [88.6%, 100.0%]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7.6% [6.7%, 8.5%]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69.8% [68.2%, 71.4%]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 [88.6%, 100.0%]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6.4% [5.7%, 7.1%]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73.0% [71.7%, 74.3%]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 absence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 [88.6%, 100.0%]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17.7% [16.5%, 18.8%]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91.5% [90.6%, 92.3%]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 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 [88.6%, 100.0%]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28.9% [27.5%, 30.3%]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95.7% [94.9%, 96.4%]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 MinProb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 [88.6%, 100.0%]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 [1.4%, 3.0%]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34.6% [33.3%, 35.9%]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Observed-only limma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 [88.6%, 100.0%]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2.9% [2.3%, 3.5%]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70.0% [69.1%, 71.0%]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 [88.6%, 100.0%]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7.1% [6.1%, 8.1%]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88.6% [87.4%, 89.8%]</w:t>
            </w:r>
          </w:p>
        </w:tc>
      </w:tr>
    </w:tbl>
    <w:p>
      <w:pPr>
        <w:pStyle w:val="BodyText"/>
      </w:pPr>
      <w:r>
        <w:t xml:space="preserve">Uniform MinProb often reduced discoveries, whereas kNN could produce substantial false discoveries.</w:t>
      </w:r>
      <w:r>
        <w:t xml:space="preserve"> </w:t>
      </w:r>
      <w:r>
        <w:t xml:space="preserve">The observed-only branch also failed to recover every changed feature, especially forced on/off features.</w:t>
      </w:r>
      <w:r>
        <w:t xml:space="preserve"> </w:t>
      </w:r>
      <w:r>
        <w:t xml:space="preserve">Filtering, imputed variance, censoring bias, and imputer choice all contribute to these differences.</w:t>
      </w:r>
      <w:r>
        <w:t xml:space="preserve"> </w:t>
      </w:r>
      <w:r>
        <w:t xml:space="preserve">We do not attribute every downstream difference solely to routing accuracy.</w:t>
      </w:r>
      <w:r>
        <w:t xml:space="preserve"> </w:t>
      </w:r>
      <w:r>
        <w:t xml:space="preserve">Paired contrasts, conditional reconstruction errors, successful-run counts, and complete warning logs are supplied as CSV tables.</w:t>
      </w:r>
    </w:p>
    <w:p>
      <w:pPr>
        <w:pStyle w:val="CaptionedFigure"/>
      </w:pPr>
      <w:r>
        <w:drawing>
          <wp:inline>
            <wp:extent cx="5334000" cy="4364181"/>
            <wp:effectExtent b="0" l="0" r="0" t="0"/>
            <wp:docPr descr="Figure 2. Downstream power and FDP. Points are dataset means with 95% Monte Carlo intervals. The dashed line marks 5% FDP, not a guarantee. Missing FDP points represent unavailable analyses; failed pipelines contribute zero unconditional power." title="" id="36" name="Picture"/>
            <a:graphic>
              <a:graphicData uri="http://schemas.openxmlformats.org/drawingml/2006/picture">
                <pic:pic>
                  <pic:nvPicPr>
                    <pic:cNvPr descr="manuscript_files/925dac6b7066658a3b0f7c1aab37cf53f573a76f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Downstream power and FDP. Points are dataset means with 95% Monte Carlo intervals. The dashed line marks 5% FDP, not a guarantee. Missing FDP points represent unavailable analyses; failed pipelines contribute zero unconditional power.</w:t>
      </w:r>
    </w:p>
    <w:bookmarkEnd w:id="38"/>
    <w:bookmarkStart w:id="42" w:name="X7bdab9e7ec72ae0b9255e6c23fa386a22c23e3d"/>
    <w:p>
      <w:pPr>
        <w:pStyle w:val="Heading2"/>
      </w:pPr>
      <w:r>
        <w:t xml:space="preserve">Public profiles have multiple plausible transitions</w:t>
      </w:r>
    </w:p>
    <w:p>
      <w:pPr>
        <w:pStyle w:val="FirstParagraph"/>
      </w:pPr>
      <w:r>
        <w:t xml:space="preserve">The donor-collapsed table had 26.7% missing cells and 51 globally absent protein groups.</w:t>
      </w:r>
      <w:r>
        <w:t xml:space="preserve"> </w:t>
      </w:r>
      <w:r>
        <w:t xml:space="preserve">No-rescue automatic selection retained 1684 groups.</w:t>
      </w:r>
      <w:r>
        <w:t xml:space="preserve"> </w:t>
      </w:r>
      <w:r>
        <w:t xml:space="preserve">Minimum rescue retained 1680 and inserted 71 values before final filtering.</w:t>
      </w:r>
      <w:r>
        <w:t xml:space="preserve"> </w:t>
      </w:r>
      <w:r>
        <w:t xml:space="preserve">Both condition profiles contained multiple candidate transitions under both policies.</w:t>
      </w:r>
      <w:r>
        <w:t xml:space="preserve"> </w:t>
      </w:r>
      <w:r>
        <w:t xml:space="preserve">Every bootstrap profile was also ambiguous.</w:t>
      </w:r>
      <w:r>
        <w:t xml:space="preserve"> </w:t>
      </w:r>
      <w:r>
        <w:t xml:space="preserve">Strict ambiguity handling would therefore require manual decisions rather than accept these full-table outputs.</w:t>
      </w:r>
    </w:p>
    <w:p>
      <w:pPr>
        <w:pStyle w:val="BodyText"/>
      </w:pPr>
      <w:r>
        <w:t xml:space="preserve">The full-table no-rescue cutoffs were 24.29 for AD and 22.84 for controls.</w:t>
      </w:r>
      <w:r>
        <w:t xml:space="preserve"> </w:t>
      </w:r>
      <w:r>
        <w:t xml:space="preserve">The bootstrap distributions were broad and differed from these selected values (Figure 3).</w:t>
      </w:r>
      <w:r>
        <w:t xml:space="preserve"> </w:t>
      </w:r>
      <w:r>
        <w:t xml:space="preserve">The no-rescue 2.5th–97.5th percentile ranges were 21.55–24.38 for AD and 22.54–25.01 for controls.</w:t>
      </w:r>
      <w:r>
        <w:t xml:space="preserve"> </w:t>
      </w:r>
      <w:r>
        <w:t xml:space="preserve">These are descriptive stability ranges, not calibrated confidence intervals.</w:t>
      </w:r>
      <w:r>
        <w:t xml:space="preserve"> </w:t>
      </w:r>
      <w:r>
        <w:t xml:space="preserve">Changing both no-rescue cutoffs by ±1 altered retention from 1545 to 1760 groups.</w:t>
      </w:r>
      <w:r>
        <w:t xml:space="preserve"> </w:t>
      </w:r>
      <w:r>
        <w:t xml:space="preserve">These changes are not evidence of disease effects.</w:t>
      </w:r>
      <w:r>
        <w:t xml:space="preserve"> </w:t>
      </w:r>
      <w:r>
        <w:t xml:space="preserve">They show that a numerically returned cutoff is not necessarily a stable scientific boundary.</w:t>
      </w:r>
    </w:p>
    <w:p>
      <w:pPr>
        <w:pStyle w:val="CaptionedFigure"/>
      </w:pPr>
      <w:r>
        <w:drawing>
          <wp:inline>
            <wp:extent cx="5334000" cy="3733800"/>
            <wp:effectExtent b="0" l="0" r="0" t="0"/>
            <wp:docPr descr="Figure 3. Feature-bootstrap cutoff stability in PXD020717. All 100 draws per rescue policy returned a cutoff but had multiple transitions. Red lines mark full-table selections. These distributions are descriptive, not donor-level confidence intervals." title="" id="40" name="Picture"/>
            <a:graphic>
              <a:graphicData uri="http://schemas.openxmlformats.org/drawingml/2006/picture">
                <pic:pic>
                  <pic:nvPicPr>
                    <pic:cNvPr descr="manuscript_files/fa002597ce2354410179474f912b9224ac5e5f8b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Feature-bootstrap cutoff stability in PXD020717. All 100 draws per rescue policy returned a cutoff but had multiple transitions. Red lines mark full-table selections. These distributions are descriptive, not donor-level confidence intervals.</w:t>
      </w:r>
    </w:p>
    <w:p>
      <w:pPr>
        <w:pStyle w:val="BodyText"/>
      </w:pPr>
      <w:r>
        <w:t xml:space="preserve">The 20 rescue seeds preserved classifications, cutoffs, and retention exactly.</w:t>
      </w:r>
      <w:r>
        <w:t xml:space="preserve"> </w:t>
      </w:r>
      <w:r>
        <w:t xml:space="preserve">They changed the logged sample receiving each artificial value, but all 71 rescued blocks belonged to subsequently dropped features.</w:t>
      </w:r>
      <w:r>
        <w:t xml:space="preserve"> </w:t>
      </w:r>
      <w:r>
        <w:t xml:space="preserve">Consequently, no artificial values remained in this particular returned matrix, and its sample medians did not change across seeds.</w:t>
      </w:r>
      <w:r>
        <w:t xml:space="preserve"> </w:t>
      </w:r>
      <w:r>
        <w:t xml:space="preserve">The largest absolute sample-median shift relative to the unrescued retained matrix was 0.00 log2 units.</w:t>
      </w:r>
      <w:r>
        <w:t xml:space="preserve"> </w:t>
      </w:r>
      <w:r>
        <w:t xml:space="preserve">This null result does not establish seed invariance for datasets whose rescued features survive filtering.</w:t>
      </w:r>
    </w:p>
    <w:bookmarkEnd w:id="42"/>
    <w:bookmarkStart w:id="43" w:name="X7e80a417124379a06c2d5b586cfd280b061f02d"/>
    <w:p>
      <w:pPr>
        <w:pStyle w:val="Heading2"/>
      </w:pPr>
      <w:r>
        <w:t xml:space="preserve">Measured-value holdout does not remove selection bias</w:t>
      </w:r>
    </w:p>
    <w:p>
      <w:pPr>
        <w:pStyle w:val="FirstParagraph"/>
      </w:pPr>
      <w:r>
        <w:t xml:space="preserve">In random masking, both automatic policies declined all 30 datasets.</w:t>
      </w:r>
      <w:r>
        <w:t xml:space="preserve"> </w:t>
      </w:r>
      <w:r>
        <w:t xml:space="preserve">In low-tail masking, both accepted all 30.</w:t>
      </w:r>
      <w:r>
        <w:t xml:space="preserve"> </w:t>
      </w:r>
      <w:r>
        <w:t xml:space="preserve">No-rescue ImputeFinder had conditional missing-cell RMSE 1.91 log2 units.</w:t>
      </w:r>
      <w:r>
        <w:t xml:space="preserve"> </w:t>
      </w:r>
      <w:r>
        <w:t xml:space="preserve">The DEP-style route had RMSE 1.62.</w:t>
      </w:r>
      <w:r>
        <w:t xml:space="preserve"> </w:t>
      </w:r>
      <w:r>
        <w:t xml:space="preserve">These errors apply to returned features; the supplement reports retained and reconstructed fractions.</w:t>
      </w:r>
      <w:r>
        <w:t xml:space="preserve"> </w:t>
      </w:r>
      <w:r>
        <w:t xml:space="preserve">They provide no evidence that ImputeFinder improves reconstruction generally.</w:t>
      </w:r>
      <w:r>
        <w:t xml:space="preserve"> </w:t>
      </w:r>
      <w:r>
        <w:t xml:space="preserve">They also do not reveal errors for naturally absent measurements, which have no observed target in this dataset.</w:t>
      </w:r>
    </w:p>
    <w:bookmarkEnd w:id="43"/>
    <w:bookmarkStart w:id="44" w:name="X154ca2d27b36a9ac0037adf981fa0604cb8752e"/>
    <w:p>
      <w:pPr>
        <w:pStyle w:val="Heading2"/>
      </w:pPr>
      <w:r>
        <w:t xml:space="preserve">Controlled mixtures provide a separate downstream check</w:t>
      </w:r>
    </w:p>
    <w:p>
      <w:pPr>
        <w:pStyle w:val="FirstParagraph"/>
      </w:pPr>
      <w:r>
        <w:t xml:space="preserve">Table 2 reports the median-normalised iPRG2015 analysis.</w:t>
      </w:r>
      <w:r>
        <w:t xml:space="preserve"> </w:t>
      </w:r>
      <w:r>
        <w:t xml:space="preserve">Counts sum across six correlated contrasts and must not be interpreted as six independent experiments.</w:t>
      </w:r>
      <w:r>
        <w:t xml:space="preserve"> </w:t>
      </w:r>
      <w:r>
        <w:t xml:space="preserve">The supplement preserves every contrast, pipeline failure, spike estimate, and the unnormalised sensitivity analysis.</w:t>
      </w:r>
      <w:r>
        <w:t xml:space="preserve"> </w:t>
      </w:r>
      <w:r>
        <w:t xml:space="preserve">Across both normalization choices, proDA satisfied its numerical criterion in 12 of 12 fits.</w:t>
      </w:r>
    </w:p>
    <w:p>
      <w:pPr>
        <w:pStyle w:val="TableCaption"/>
      </w:pPr>
      <w:r>
        <w:t xml:space="preserve">Table 2. External controlled-mixture results. Background calls are summed feature-contrast outcomes, not unique proteins. Missing counts indicate no completed contrasts.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2. External controlled-mixture results. Background calls are summed feature-contrast outcomes, not unique proteins. Missing counts indicate no completed contrasts."/>
      </w:tblPr>
      <w:tblGrid>
        <w:gridCol w:w="1663"/>
        <w:gridCol w:w="1584"/>
        <w:gridCol w:w="1425"/>
        <w:gridCol w:w="1346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contrasts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Spike discoveries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Background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Estimable spike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 + rescue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Automatic, no rescue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 absence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 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 MinProb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Observed-only limma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36/36</w:t>
            </w:r>
          </w:p>
        </w:tc>
      </w:tr>
    </w:tbl>
    <w:p>
      <w:pPr>
        <w:pStyle w:val="BodyText"/>
      </w:pPr>
      <w:r>
        <w:t xml:space="preserve">One false background discovery alongside six true positives already yields FDP of at least 14.3% in a contrast.</w:t>
      </w:r>
      <w:r>
        <w:t xml:space="preserve"> </w:t>
      </w:r>
      <w:r>
        <w:t xml:space="preserve">Conversely, zero observed false discoveries cannot establish general 5% FDR control.</w:t>
      </w:r>
      <w:r>
        <w:t xml:space="preserve"> </w:t>
      </w:r>
      <w:r>
        <w:t xml:space="preserve">The external analysis tests performance on real instrument-derived intensities with known added concentrations.</w:t>
      </w:r>
      <w:r>
        <w:t xml:space="preserve"> </w:t>
      </w:r>
      <w:r>
        <w:t xml:space="preserve">It does not remove the limits imposed by six spike proteins, technical replication, upstream matching, and relatively little missingness.</w:t>
      </w:r>
    </w:p>
    <w:bookmarkEnd w:id="44"/>
    <w:bookmarkEnd w:id="45"/>
    <w:bookmarkStart w:id="46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ImputeFinder’s contribution is an explicit and inspectable routing contract.</w:t>
      </w:r>
      <w:r>
        <w:t xml:space="preserve"> </w:t>
      </w:r>
      <w:r>
        <w:t xml:space="preserve">Original evidence, artificial insertions, absent blocks, rejected features, candidate cutoffs, and failures remain recoverable from the result.</w:t>
      </w:r>
      <w:r>
        <w:t xml:space="preserve"> </w:t>
      </w:r>
      <w:r>
        <w:t xml:space="preserve">That contract supports sensitivity analysis and prevents a completed matrix from obscuring how its values were selected.</w:t>
      </w:r>
      <w:r>
        <w:t xml:space="preserve"> </w:t>
      </w:r>
      <w:r>
        <w:t xml:space="preserve">It does not solve the general identification problem for missing-data mechanisms.</w:t>
      </w:r>
    </w:p>
    <w:p>
      <w:pPr>
        <w:pStyle w:val="BodyText"/>
      </w:pPr>
      <w:r>
        <w:t xml:space="preserve">The counterexamples are consequential.</w:t>
      </w:r>
      <w:r>
        <w:t xml:space="preserve"> </w:t>
      </w:r>
      <w:r>
        <w:t xml:space="preserve">Observed-covariate MAR can produce a descending intensity profile, while high-intensity MNAR violates the detector’s assumed direction.</w:t>
      </w:r>
      <w:r>
        <w:t xml:space="preserve"> </w:t>
      </w:r>
      <w:r>
        <w:t xml:space="preserve">Hard censoring can leave too little observed transition evidence for automatic fitting.</w:t>
      </w:r>
      <w:r>
        <w:t xml:space="preserve"> </w:t>
      </w:r>
      <w:r>
        <w:t xml:space="preserve">The full public-data table yielded multiple transitions in every condition and feature-bootstrap fit.</w:t>
      </w:r>
      <w:r>
        <w:t xml:space="preserve"> </w:t>
      </w:r>
      <w:r>
        <w:t xml:space="preserve">These results argue for reviewing the stored diagnostics, reporting abstention, and retaining no-rescue analyses.</w:t>
      </w:r>
      <w:r>
        <w:t xml:space="preserve"> </w:t>
      </w:r>
      <w:r>
        <w:t xml:space="preserve">They do not support choosing manual cutoffs solely to maximise a desired downstream discovery count.</w:t>
      </w:r>
    </w:p>
    <w:p>
      <w:pPr>
        <w:pStyle w:val="BodyText"/>
      </w:pPr>
      <w:r>
        <w:t xml:space="preserve">Rescue should be treated as an explicit modelling intervention.</w:t>
      </w:r>
      <w:r>
        <w:t xml:space="preserve"> </w:t>
      </w:r>
      <w:r>
        <w:t xml:space="preserve">The inserted minimum can affect the fitted profile, feature retention, imputer training, and normalization summaries.</w:t>
      </w:r>
      <w:r>
        <w:t xml:space="preserve"> </w:t>
      </w:r>
      <w:r>
        <w:t xml:space="preserve">The absence of a value does not establish that the biological quantity was near the smallest observed intensity.</w:t>
      </w:r>
      <w:r>
        <w:t xml:space="preserve"> </w:t>
      </w:r>
      <w:r>
        <w:t xml:space="preserve">Users who need that assumption must justify it for their assay or retain an absent state.</w:t>
      </w:r>
    </w:p>
    <w:p>
      <w:pPr>
        <w:pStyle w:val="BodyText"/>
      </w:pPr>
      <w:r>
        <w:t xml:space="preserve">The comparison has defined limits.</w:t>
      </w:r>
      <w:r>
        <w:t xml:space="preserve"> </w:t>
      </w:r>
      <w:r>
        <w:t xml:space="preserve">Simulations use simplified feature distributions and only two conditions.</w:t>
      </w:r>
      <w:r>
        <w:t xml:space="preserve"> </w:t>
      </w:r>
      <w:r>
        <w:t xml:space="preserve">The downstream comparison fixes a small imputer set and does not optimise each established workflow.</w:t>
      </w:r>
      <w:r>
        <w:t xml:space="preserve"> </w:t>
      </w:r>
      <w:r>
        <w:t xml:space="preserve">Deep-learning and Bayesian reconstruction methods provide additional approaches that were not evaluated here [18,19].</w:t>
      </w:r>
      <w:r>
        <w:t xml:space="preserve"> </w:t>
      </w:r>
      <w:r>
        <w:t xml:space="preserve">The observational protein table comes from one assay subset with disease-related heterogeneity and no known naturally missing values.</w:t>
      </w:r>
      <w:r>
        <w:t xml:space="preserve"> </w:t>
      </w:r>
      <w:r>
        <w:t xml:space="preserve">The independent controlled-mixture experiment contains only six spike proteins and technical replication.</w:t>
      </w:r>
      <w:r>
        <w:t xml:space="preserve"> </w:t>
      </w:r>
      <w:r>
        <w:t xml:space="preserve">Complete-feature masking introduces selection bias and does not recreate acquisition failures.</w:t>
      </w:r>
      <w:r>
        <w:t xml:space="preserve"> </w:t>
      </w:r>
      <w:r>
        <w:t xml:space="preserve">Feature-bootstrap stability is not calibrated under correlated protein groups.</w:t>
      </w:r>
      <w:r>
        <w:t xml:space="preserve"> </w:t>
      </w:r>
      <w:r>
        <w:t xml:space="preserve">Single-imputation inference can remain anticonservative even when reconstruction appears satisfactory.</w:t>
      </w:r>
    </w:p>
    <w:p>
      <w:pPr>
        <w:pStyle w:val="BodyText"/>
      </w:pPr>
      <w:r>
        <w:t xml:space="preserve">Consequently, this article supports software correctness, traceability, and bounded empirical characterisation.</w:t>
      </w:r>
      <w:r>
        <w:t xml:space="preserve"> </w:t>
      </w:r>
      <w:r>
        <w:t xml:space="preserve">It does not support claims of first condition-aware mixed imputation, mechanism recovery from arbitrary observations, universal superiority, or validated disease discovery.</w:t>
      </w:r>
      <w:r>
        <w:t xml:space="preserve"> </w:t>
      </w:r>
      <w:r>
        <w:t xml:space="preserve">Studies requiring those stronger claims need corresponding experimental truth, appropriate competing implementations, and application-specific calibration.</w:t>
      </w:r>
    </w:p>
    <w:bookmarkEnd w:id="46"/>
    <w:bookmarkStart w:id="48" w:name="software-and-reproducibility"/>
    <w:p>
      <w:pPr>
        <w:pStyle w:val="Heading1"/>
      </w:pPr>
      <w:r>
        <w:t xml:space="preserve">Software and reproducibility</w:t>
      </w:r>
    </w:p>
    <w:p>
      <w:pPr>
        <w:pStyle w:val="FirstParagraph"/>
      </w:pPr>
      <w:r>
        <w:t xml:space="preserve">The package is distributed under GPL-3.0-or-later at</w:t>
      </w:r>
      <w:r>
        <w:t xml:space="preserve"> </w:t>
      </w:r>
      <w:hyperlink r:id="rId47">
        <w:r>
          <w:rPr>
            <w:rStyle w:val="Hyperlink"/>
          </w:rPr>
          <w:t xml:space="preserve">https://github.com/eturkes/imputefinder</w:t>
        </w:r>
      </w:hyperlink>
      <w:r>
        <w:t xml:space="preserve">.</w:t>
      </w:r>
      <w:r>
        <w:t xml:space="preserve"> </w:t>
      </w:r>
      <w:r>
        <w:t xml:space="preserve">The evaluated package version is 0.99.8; the automatic detector is method version 3.</w:t>
      </w:r>
      <w:r>
        <w:t xml:space="preserve"> </w:t>
      </w:r>
      <w:r>
        <w:t xml:space="preserve">The source archive is not described as an accepted Bioconductor release.</w:t>
      </w:r>
    </w:p>
    <w:p>
      <w:pPr>
        <w:pStyle w:val="BodyText"/>
      </w:pPr>
      <w:r>
        <w:rPr>
          <w:rStyle w:val="VerbatimChar"/>
        </w:rPr>
        <w:t xml:space="preserve">publication/reproduce.py</w:t>
      </w:r>
      <w:r>
        <w:t xml:space="preserve"> </w:t>
      </w:r>
      <w:r>
        <w:t xml:space="preserve">regenerates source extraction, all analyses, figures, and this article.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--verify</w:t>
      </w:r>
      <w:r>
        <w:t xml:space="preserve"> </w:t>
      </w:r>
      <w:r>
        <w:t xml:space="preserve">mode independently reruns the analyses and compares deterministic evidence hashes.</w:t>
      </w:r>
      <w:r>
        <w:t xml:space="preserve"> </w:t>
      </w:r>
      <w:r>
        <w:t xml:space="preserve">The source-data manifest pins source and output SHA256 digests.</w:t>
      </w:r>
      <w:r>
        <w:t xml:space="preserve"> </w:t>
      </w:r>
      <w:r>
        <w:rPr>
          <w:rStyle w:val="VerbatimChar"/>
        </w:rPr>
        <w:t xml:space="preserve">publication/check-results.R</w:t>
      </w:r>
      <w:r>
        <w:t xml:space="preserve"> </w:t>
      </w:r>
      <w:r>
        <w:t xml:space="preserve">validates required dimensions, denominators, and failure handling.</w:t>
      </w:r>
      <w:r>
        <w:t xml:space="preserve"> </w:t>
      </w:r>
      <w:r>
        <w:rPr>
          <w:rStyle w:val="VerbatimChar"/>
        </w:rPr>
        <w:t xml:space="preserve">tools/check-package.R</w:t>
      </w:r>
      <w:r>
        <w:t xml:space="preserve"> </w:t>
      </w:r>
      <w:r>
        <w:t xml:space="preserve">builds the source package and runs examples, tests, and vignettes.</w:t>
      </w:r>
      <w:r>
        <w:t xml:space="preserve"> </w:t>
      </w:r>
      <w:r>
        <w:t xml:space="preserve">The supplementary files include all per-dataset outcomes, structured real-data diagnostics, sensitivity tables, and software versions.</w:t>
      </w:r>
      <w:r>
        <w:t xml:space="preserve"> </w:t>
      </w:r>
      <w:r>
        <w:t xml:space="preserve">No hosted continuous-integration result, journal acceptance, or public archive deposit is inferred from these local checks.</w:t>
      </w:r>
    </w:p>
    <w:bookmarkEnd w:id="48"/>
    <w:bookmarkStart w:id="49" w:name="declarations-for-author-confirmation"/>
    <w:p>
      <w:pPr>
        <w:pStyle w:val="Heading1"/>
      </w:pPr>
      <w:r>
        <w:t xml:space="preserve">Declarations for author confirmation</w:t>
      </w:r>
    </w:p>
    <w:p>
      <w:pPr>
        <w:pStyle w:val="FirstParagraph"/>
      </w:pPr>
      <w:r>
        <w:t xml:space="preserve">The displayed author name follows the package metadata and is provisional for journal submission.</w:t>
      </w:r>
      <w:r>
        <w:t xml:space="preserve"> </w:t>
      </w:r>
      <w:r>
        <w:t xml:space="preserve">The final author list, affiliations, contributions, funding, and competing-interest statements require author confirmation.</w:t>
      </w:r>
      <w:r>
        <w:t xml:space="preserve"> </w:t>
      </w:r>
      <w:r>
        <w:t xml:space="preserve">This analysis reuses public data and recruits no new participants.</w:t>
      </w:r>
      <w:r>
        <w:t xml:space="preserve"> </w:t>
      </w:r>
      <w:r>
        <w:t xml:space="preserve">The corresponding ethics and data-reuse wording requires author confirmation against the selected journal’s requirements.</w:t>
      </w:r>
      <w:r>
        <w:t xml:space="preserve"> </w:t>
      </w:r>
      <w:r>
        <w:t xml:space="preserve">The target journal, archival release identifier, and submission details remain editorial decisions.</w:t>
      </w:r>
    </w:p>
    <w:bookmarkEnd w:id="49"/>
    <w:bookmarkStart w:id="72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Rubin DB. Inference and missing data.</w:t>
      </w:r>
      <w:r>
        <w:t xml:space="preserve"> </w:t>
      </w:r>
      <w:r>
        <w:rPr>
          <w:i/>
          <w:iCs/>
        </w:rPr>
        <w:t xml:space="preserve">Biometrika</w:t>
      </w:r>
      <w:r>
        <w:t xml:space="preserve">. 1976;63:581–592.</w:t>
      </w:r>
      <w:r>
        <w:t xml:space="preserve"> </w:t>
      </w:r>
      <w:hyperlink r:id="rId50">
        <w:r>
          <w:rPr>
            <w:rStyle w:val="Hyperlink"/>
          </w:rPr>
          <w:t xml:space="preserve">https://doi.org/10.1093/biomet/63.3.581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Nabi R, Bhattacharya R. On Testability and Goodness of Fit Tests in Missing Data Models.</w:t>
      </w:r>
      <w:r>
        <w:t xml:space="preserve"> </w:t>
      </w:r>
      <w:r>
        <w:rPr>
          <w:i/>
          <w:iCs/>
        </w:rPr>
        <w:t xml:space="preserve">Proceedings of UAI</w:t>
      </w:r>
      <w:r>
        <w:t xml:space="preserve">. 2023;216:1467–1477.</w:t>
      </w:r>
      <w:r>
        <w:t xml:space="preserve"> </w:t>
      </w:r>
      <w:hyperlink r:id="rId51">
        <w:r>
          <w:rPr>
            <w:rStyle w:val="Hyperlink"/>
          </w:rPr>
          <w:t xml:space="preserve">https://proceedings.mlr.press/v216/nabi23a.html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Li M, Smyth GK. Neither random nor censored: estimating intensity-dependent probabilities for missing values in label-free proteomics.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. 2023;39:btad200.</w:t>
      </w:r>
      <w:r>
        <w:t xml:space="preserve"> </w:t>
      </w:r>
      <w:hyperlink r:id="rId52">
        <w:r>
          <w:rPr>
            <w:rStyle w:val="Hyperlink"/>
          </w:rPr>
          <w:t xml:space="preserve">https://doi.org/10.1093/bioinformatics/btad200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Zhang X, Smits AH, van Tilburg GBA, Ovaa H, Huber W, Vermeulen M. Proteome-wide identification of ubiquitin interactions using UbIA-MS.</w:t>
      </w:r>
      <w:r>
        <w:t xml:space="preserve"> </w:t>
      </w:r>
      <w:r>
        <w:rPr>
          <w:i/>
          <w:iCs/>
        </w:rPr>
        <w:t xml:space="preserve">Nature Protocols</w:t>
      </w:r>
      <w:r>
        <w:t xml:space="preserve">. 2018;13:530–550.</w:t>
      </w:r>
      <w:r>
        <w:t xml:space="preserve"> </w:t>
      </w:r>
      <w:hyperlink r:id="rId53">
        <w:r>
          <w:rPr>
            <w:rStyle w:val="Hyperlink"/>
          </w:rPr>
          <w:t xml:space="preserve">https://doi.org/10.1038/nprot.2017.147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DEP. Missing value handling. Official package workflow.</w:t>
      </w:r>
      <w:r>
        <w:t xml:space="preserve"> </w:t>
      </w:r>
      <w:hyperlink r:id="rId54">
        <w:r>
          <w:rPr>
            <w:rStyle w:val="Hyperlink"/>
          </w:rPr>
          <w:t xml:space="preserve">https://bioconductor.posit.co/packages/3.21/bioc/vignettes/DEP/inst/doc/MissingValues.html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Wieczorek S, Combes F, Lazar C, et al. DAPAR &amp; ProStaR: software to perform statistical analyses in quantitative discovery proteomics.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. 2017;33:135–136.</w:t>
      </w:r>
      <w:r>
        <w:t xml:space="preserve"> </w:t>
      </w:r>
      <w:hyperlink r:id="rId55">
        <w:r>
          <w:rPr>
            <w:rStyle w:val="Hyperlink"/>
          </w:rPr>
          <w:t xml:space="preserve">https://doi.org/10.1093/bioinformatics/btw580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Hediyeh-Zadeh S, Webb AI, Davis MJ. MsImpute: Estimation of Missing Peptide Intensity Data in Label-Free Quantitative Mass Spectrometry.</w:t>
      </w:r>
      <w:r>
        <w:t xml:space="preserve"> </w:t>
      </w:r>
      <w:r>
        <w:rPr>
          <w:i/>
          <w:iCs/>
        </w:rPr>
        <w:t xml:space="preserve">Molecular &amp; Cellular Proteomics</w:t>
      </w:r>
      <w:r>
        <w:t xml:space="preserve">. 2023;22:100558.</w:t>
      </w:r>
      <w:r>
        <w:t xml:space="preserve"> </w:t>
      </w:r>
      <w:hyperlink r:id="rId56">
        <w:r>
          <w:rPr>
            <w:rStyle w:val="Hyperlink"/>
          </w:rPr>
          <w:t xml:space="preserve">https://doi.org/10.1016/j.mcpro.2023.100558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Shi Y, Zhong H, Rogalski JC, Foster LJ. Optimizing imputation strategies for mass spectrometry-based proteomics considering intensity and missing value rates.</w:t>
      </w:r>
      <w:r>
        <w:t xml:space="preserve"> </w:t>
      </w:r>
      <w:r>
        <w:rPr>
          <w:i/>
          <w:iCs/>
        </w:rPr>
        <w:t xml:space="preserve">Computational and Structural Biotechnology Journal</w:t>
      </w:r>
      <w:r>
        <w:t xml:space="preserve">. 2025;27:1818–1826.</w:t>
      </w:r>
      <w:r>
        <w:t xml:space="preserve"> </w:t>
      </w:r>
      <w:hyperlink r:id="rId57">
        <w:r>
          <w:rPr>
            <w:rStyle w:val="Hyperlink"/>
          </w:rPr>
          <w:t xml:space="preserve">https://doi.org/10.1016/j.csbj.2025.04.041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Fowler SL, Behr TS, Turkes E, et al. Tau filaments are tethered within brain extracellular vesicles in Alzheimer’s disease.</w:t>
      </w:r>
      <w:r>
        <w:t xml:space="preserve"> </w:t>
      </w:r>
      <w:r>
        <w:rPr>
          <w:i/>
          <w:iCs/>
        </w:rPr>
        <w:t xml:space="preserve">Nature Neuroscience</w:t>
      </w:r>
      <w:r>
        <w:t xml:space="preserve">. 2025;28:40–48.</w:t>
      </w:r>
      <w:r>
        <w:t xml:space="preserve"> </w:t>
      </w:r>
      <w:hyperlink r:id="rId58">
        <w:r>
          <w:rPr>
            <w:rStyle w:val="Hyperlink"/>
          </w:rPr>
          <w:t xml:space="preserve">https://doi.org/10.1038/s41593-024-01801-5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Turkes E. Development of Gene Set Enrichment and Imputation Methods for Transcriptomics and Proteomics: Application in the Study of Neurofibrillary Tangle-bearing Neurons in Alzheimer’s Disease. Doctoral thesis. University College London; 2025.</w:t>
      </w:r>
      <w:r>
        <w:t xml:space="preserve"> </w:t>
      </w:r>
      <w:hyperlink r:id="rId59">
        <w:r>
          <w:rPr>
            <w:rStyle w:val="Hyperlink"/>
          </w:rPr>
          <w:t xml:space="preserve">https://discovery.ucl.ac.uk/id/eprint/10215006/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Harris L, Fondrie WE, Oh S, Noble WS. Evaluating Proteomics Imputation Methods with Improved Criteria.</w:t>
      </w:r>
      <w:r>
        <w:t xml:space="preserve"> </w:t>
      </w:r>
      <w:r>
        <w:rPr>
          <w:i/>
          <w:iCs/>
        </w:rPr>
        <w:t xml:space="preserve">Journal of Proteome Research</w:t>
      </w:r>
      <w:r>
        <w:t xml:space="preserve">. 2023;22:3427–3438.</w:t>
      </w:r>
      <w:r>
        <w:t xml:space="preserve"> </w:t>
      </w:r>
      <w:hyperlink r:id="rId60">
        <w:r>
          <w:rPr>
            <w:rStyle w:val="Hyperlink"/>
          </w:rPr>
          <w:t xml:space="preserve">https://doi.org/10.1021/acs.jproteome.3c00205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Ritchie ME, Phipson B, Wu D, et al. limma powers differential expression analyses for RNA-sequencing and microarray studies.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. 2015;43:e47.</w:t>
      </w:r>
      <w:r>
        <w:t xml:space="preserve"> </w:t>
      </w:r>
      <w:hyperlink r:id="rId61">
        <w:r>
          <w:rPr>
            <w:rStyle w:val="Hyperlink"/>
          </w:rPr>
          <w:t xml:space="preserve">https://doi.org/10.1093/nar/gkv007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Ahlmann-Eltze C, Anders S. proDA: Probabilistic Dropout Analysis for Identifying Differentially Abundant Proteins in Label-Free Mass Spectrometry.</w:t>
      </w:r>
      <w:r>
        <w:t xml:space="preserve"> </w:t>
      </w:r>
      <w:r>
        <w:rPr>
          <w:i/>
          <w:iCs/>
        </w:rPr>
        <w:t xml:space="preserve">bioRxiv</w:t>
      </w:r>
      <w:r>
        <w:t xml:space="preserve">, preprint. 2020 revision.</w:t>
      </w:r>
      <w:r>
        <w:t xml:space="preserve"> </w:t>
      </w:r>
      <w:hyperlink r:id="rId62">
        <w:r>
          <w:rPr>
            <w:rStyle w:val="Hyperlink"/>
          </w:rPr>
          <w:t xml:space="preserve">https://doi.org/10.1101/661496</w:t>
        </w:r>
      </w:hyperlink>
      <w:r>
        <w:t xml:space="preserve">. Software:</w:t>
      </w:r>
      <w:r>
        <w:t xml:space="preserve"> </w:t>
      </w:r>
      <w:hyperlink r:id="rId63">
        <w:r>
          <w:rPr>
            <w:rStyle w:val="Hyperlink"/>
          </w:rPr>
          <w:t xml:space="preserve">https://doi.org/10.18129/B9.bioc.proDA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Benjamini Y, Hochberg Y. Controlling the false discovery rate: a practical and powerful approach to multiple testing.</w:t>
      </w:r>
      <w:r>
        <w:t xml:space="preserve"> </w:t>
      </w:r>
      <w:r>
        <w:rPr>
          <w:i/>
          <w:iCs/>
        </w:rPr>
        <w:t xml:space="preserve">Journal of the Royal Statistical Society B</w:t>
      </w:r>
      <w:r>
        <w:t xml:space="preserve">. 1995;57:289–300.</w:t>
      </w:r>
      <w:r>
        <w:t xml:space="preserve"> </w:t>
      </w:r>
      <w:hyperlink r:id="rId64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Wesseling H, et al. Tau PTM Profiles Identify Patient Heterogeneity and Stages of Alzheimer’s Disease.</w:t>
      </w:r>
      <w:r>
        <w:t xml:space="preserve"> </w:t>
      </w:r>
      <w:r>
        <w:rPr>
          <w:i/>
          <w:iCs/>
        </w:rPr>
        <w:t xml:space="preserve">Cell</w:t>
      </w:r>
      <w:r>
        <w:t xml:space="preserve">. 2020;183:1699–1713.e13.</w:t>
      </w:r>
      <w:r>
        <w:t xml:space="preserve"> </w:t>
      </w:r>
      <w:hyperlink r:id="rId65">
        <w:r>
          <w:rPr>
            <w:rStyle w:val="Hyperlink"/>
          </w:rPr>
          <w:t xml:space="preserve">https://doi.org/10.1016/j.cell.2020.10.029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Choi M, Eren-Dogu ZF, Colangelo C, et al. ABRF Proteome Informatics Research Group (iPRG) 2015 Study: Detection of Differentially Abundant Proteins in Label-Free Quantitative LC-MS/MS Experiments.</w:t>
      </w:r>
      <w:r>
        <w:t xml:space="preserve"> </w:t>
      </w:r>
      <w:r>
        <w:rPr>
          <w:i/>
          <w:iCs/>
        </w:rPr>
        <w:t xml:space="preserve">Journal of Proteome Research</w:t>
      </w:r>
      <w:r>
        <w:t xml:space="preserve">. 2017;16:945–957.</w:t>
      </w:r>
      <w:r>
        <w:t xml:space="preserve"> </w:t>
      </w:r>
      <w:hyperlink r:id="rId66">
        <w:r>
          <w:rPr>
            <w:rStyle w:val="Hyperlink"/>
          </w:rPr>
          <w:t xml:space="preserve">https://doi.org/10.1021/acs.jproteome.6b00881</w:t>
        </w:r>
      </w:hyperlink>
      <w:r>
        <w:t xml:space="preserve">. Committee spike design:</w:t>
      </w:r>
      <w:r>
        <w:t xml:space="preserve"> </w:t>
      </w:r>
      <w:hyperlink r:id="rId67">
        <w:r>
          <w:rPr>
            <w:rStyle w:val="Hyperlink"/>
          </w:rPr>
          <w:t xml:space="preserve">https://abrf.org/wp-content/uploads/iPRG15.pdf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Bloom J, Triantafyllidis A, Quaglieri A, Ngov PB, Infusini G, Webb A. Mass Dynamics 1.0: A Streamlined, Web-Based Environment for Analyzing, Sharing, and Integrating Label-Free Data.</w:t>
      </w:r>
      <w:r>
        <w:t xml:space="preserve"> </w:t>
      </w:r>
      <w:r>
        <w:rPr>
          <w:i/>
          <w:iCs/>
        </w:rPr>
        <w:t xml:space="preserve">Journal of Proteome Research</w:t>
      </w:r>
      <w:r>
        <w:t xml:space="preserve">. 2021;20:5180–5188.</w:t>
      </w:r>
      <w:r>
        <w:t xml:space="preserve"> </w:t>
      </w:r>
      <w:hyperlink r:id="rId68">
        <w:r>
          <w:rPr>
            <w:rStyle w:val="Hyperlink"/>
          </w:rPr>
          <w:t xml:space="preserve">https://doi.org/10.1021/acs.jproteome.1c00683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Webel H, Niu L, Nielsen AB, et al. Imputation of label-free quantitative mass spectrometry-based proteomics data using self-supervised deep learning.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. 2024;15:3599.</w:t>
      </w:r>
      <w:r>
        <w:t xml:space="preserve"> </w:t>
      </w:r>
      <w:hyperlink r:id="rId69">
        <w:r>
          <w:rPr>
            <w:rStyle w:val="Hyperlink"/>
          </w:rPr>
          <w:t xml:space="preserve">https://doi.org/10.1038/s41467-024-48711-5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He J, et al. msBayesImpute as a versatile framework for addressing missing values in biomedical mass spectrometry proteomics data.</w:t>
      </w:r>
      <w:r>
        <w:t xml:space="preserve"> </w:t>
      </w:r>
      <w:r>
        <w:rPr>
          <w:i/>
          <w:iCs/>
        </w:rPr>
        <w:t xml:space="preserve">Communications Chemistry</w:t>
      </w:r>
      <w:r>
        <w:t xml:space="preserve">. 2026.</w:t>
      </w:r>
      <w:r>
        <w:t xml:space="preserve"> </w:t>
      </w:r>
      <w:hyperlink r:id="rId70">
        <w:r>
          <w:rPr>
            <w:rStyle w:val="Hyperlink"/>
          </w:rPr>
          <w:t xml:space="preserve">https://doi.org/10.1038/s42004-026-02106-3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Lazar C, Burger T. imputeLCMD: A Collection of Methods for Left-Censored Missing Data Imputation. R package version 2.1; 2022.</w:t>
      </w:r>
      <w:r>
        <w:t xml:space="preserve"> </w:t>
      </w:r>
      <w:hyperlink r:id="rId71">
        <w:r>
          <w:rPr>
            <w:rStyle w:val="Hyperlink"/>
          </w:rPr>
          <w:t xml:space="preserve">https://doi.org/10.32614/CRAN.package.imputeLCMD</w:t>
        </w:r>
      </w:hyperlink>
      <w:r>
        <w:t xml:space="preserve">.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hyperlink" Id="rId67" Target="https://abrf.org/wp-content/uploads/iPRG15.pdf" TargetMode="External" /><Relationship Type="http://schemas.openxmlformats.org/officeDocument/2006/relationships/hyperlink" Id="rId54" Target="https://bioconductor.posit.co/packages/3.21/bioc/vignettes/DEP/inst/doc/MissingValues.html" TargetMode="External" /><Relationship Type="http://schemas.openxmlformats.org/officeDocument/2006/relationships/hyperlink" Id="rId59" Target="https://discovery.ucl.ac.uk/id/eprint/10215006/" TargetMode="External" /><Relationship Type="http://schemas.openxmlformats.org/officeDocument/2006/relationships/hyperlink" Id="rId65" Target="https://doi.org/10.1016/j.cell.2020.10.029" TargetMode="External" /><Relationship Type="http://schemas.openxmlformats.org/officeDocument/2006/relationships/hyperlink" Id="rId57" Target="https://doi.org/10.1016/j.csbj.2025.04.041" TargetMode="External" /><Relationship Type="http://schemas.openxmlformats.org/officeDocument/2006/relationships/hyperlink" Id="rId56" Target="https://doi.org/10.1016/j.mcpro.2023.100558" TargetMode="External" /><Relationship Type="http://schemas.openxmlformats.org/officeDocument/2006/relationships/hyperlink" Id="rId68" Target="https://doi.org/10.1021/acs.jproteome.1c00683" TargetMode="External" /><Relationship Type="http://schemas.openxmlformats.org/officeDocument/2006/relationships/hyperlink" Id="rId60" Target="https://doi.org/10.1021/acs.jproteome.3c00205" TargetMode="External" /><Relationship Type="http://schemas.openxmlformats.org/officeDocument/2006/relationships/hyperlink" Id="rId66" Target="https://doi.org/10.1021/acs.jproteome.6b00881" TargetMode="External" /><Relationship Type="http://schemas.openxmlformats.org/officeDocument/2006/relationships/hyperlink" Id="rId53" Target="https://doi.org/10.1038/nprot.2017.147" TargetMode="External" /><Relationship Type="http://schemas.openxmlformats.org/officeDocument/2006/relationships/hyperlink" Id="rId69" Target="https://doi.org/10.1038/s41467-024-48711-5" TargetMode="External" /><Relationship Type="http://schemas.openxmlformats.org/officeDocument/2006/relationships/hyperlink" Id="rId58" Target="https://doi.org/10.1038/s41593-024-01801-5" TargetMode="External" /><Relationship Type="http://schemas.openxmlformats.org/officeDocument/2006/relationships/hyperlink" Id="rId70" Target="https://doi.org/10.1038/s42004-026-02106-3" TargetMode="External" /><Relationship Type="http://schemas.openxmlformats.org/officeDocument/2006/relationships/hyperlink" Id="rId52" Target="https://doi.org/10.1093/bioinformatics/btad200" TargetMode="External" /><Relationship Type="http://schemas.openxmlformats.org/officeDocument/2006/relationships/hyperlink" Id="rId55" Target="https://doi.org/10.1093/bioinformatics/btw580" TargetMode="External" /><Relationship Type="http://schemas.openxmlformats.org/officeDocument/2006/relationships/hyperlink" Id="rId50" Target="https://doi.org/10.1093/biomet/63.3.581" TargetMode="External" /><Relationship Type="http://schemas.openxmlformats.org/officeDocument/2006/relationships/hyperlink" Id="rId61" Target="https://doi.org/10.1093/nar/gkv007" TargetMode="External" /><Relationship Type="http://schemas.openxmlformats.org/officeDocument/2006/relationships/hyperlink" Id="rId62" Target="https://doi.org/10.1101/661496" TargetMode="External" /><Relationship Type="http://schemas.openxmlformats.org/officeDocument/2006/relationships/hyperlink" Id="rId64" Target="https://doi.org/10.1111/j.2517-6161.1995.tb02031.x" TargetMode="External" /><Relationship Type="http://schemas.openxmlformats.org/officeDocument/2006/relationships/hyperlink" Id="rId63" Target="https://doi.org/10.18129/B9.bioc.proDA" TargetMode="External" /><Relationship Type="http://schemas.openxmlformats.org/officeDocument/2006/relationships/hyperlink" Id="rId71" Target="https://doi.org/10.32614/CRAN.package.imputeLCMD" TargetMode="External" /><Relationship Type="http://schemas.openxmlformats.org/officeDocument/2006/relationships/hyperlink" Id="rId47" Target="https://github.com/eturkes/imputefinder" TargetMode="External" /><Relationship Type="http://schemas.openxmlformats.org/officeDocument/2006/relationships/hyperlink" Id="rId51" Target="https://proceedings.mlr.press/v216/nabi23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abrf.org/wp-content/uploads/iPRG15.pdf" TargetMode="External" /><Relationship Type="http://schemas.openxmlformats.org/officeDocument/2006/relationships/hyperlink" Id="rId54" Target="https://bioconductor.posit.co/packages/3.21/bioc/vignettes/DEP/inst/doc/MissingValues.html" TargetMode="External" /><Relationship Type="http://schemas.openxmlformats.org/officeDocument/2006/relationships/hyperlink" Id="rId59" Target="https://discovery.ucl.ac.uk/id/eprint/10215006/" TargetMode="External" /><Relationship Type="http://schemas.openxmlformats.org/officeDocument/2006/relationships/hyperlink" Id="rId65" Target="https://doi.org/10.1016/j.cell.2020.10.029" TargetMode="External" /><Relationship Type="http://schemas.openxmlformats.org/officeDocument/2006/relationships/hyperlink" Id="rId57" Target="https://doi.org/10.1016/j.csbj.2025.04.041" TargetMode="External" /><Relationship Type="http://schemas.openxmlformats.org/officeDocument/2006/relationships/hyperlink" Id="rId56" Target="https://doi.org/10.1016/j.mcpro.2023.100558" TargetMode="External" /><Relationship Type="http://schemas.openxmlformats.org/officeDocument/2006/relationships/hyperlink" Id="rId68" Target="https://doi.org/10.1021/acs.jproteome.1c00683" TargetMode="External" /><Relationship Type="http://schemas.openxmlformats.org/officeDocument/2006/relationships/hyperlink" Id="rId60" Target="https://doi.org/10.1021/acs.jproteome.3c00205" TargetMode="External" /><Relationship Type="http://schemas.openxmlformats.org/officeDocument/2006/relationships/hyperlink" Id="rId66" Target="https://doi.org/10.1021/acs.jproteome.6b00881" TargetMode="External" /><Relationship Type="http://schemas.openxmlformats.org/officeDocument/2006/relationships/hyperlink" Id="rId53" Target="https://doi.org/10.1038/nprot.2017.147" TargetMode="External" /><Relationship Type="http://schemas.openxmlformats.org/officeDocument/2006/relationships/hyperlink" Id="rId69" Target="https://doi.org/10.1038/s41467-024-48711-5" TargetMode="External" /><Relationship Type="http://schemas.openxmlformats.org/officeDocument/2006/relationships/hyperlink" Id="rId58" Target="https://doi.org/10.1038/s41593-024-01801-5" TargetMode="External" /><Relationship Type="http://schemas.openxmlformats.org/officeDocument/2006/relationships/hyperlink" Id="rId70" Target="https://doi.org/10.1038/s42004-026-02106-3" TargetMode="External" /><Relationship Type="http://schemas.openxmlformats.org/officeDocument/2006/relationships/hyperlink" Id="rId52" Target="https://doi.org/10.1093/bioinformatics/btad200" TargetMode="External" /><Relationship Type="http://schemas.openxmlformats.org/officeDocument/2006/relationships/hyperlink" Id="rId55" Target="https://doi.org/10.1093/bioinformatics/btw580" TargetMode="External" /><Relationship Type="http://schemas.openxmlformats.org/officeDocument/2006/relationships/hyperlink" Id="rId50" Target="https://doi.org/10.1093/biomet/63.3.581" TargetMode="External" /><Relationship Type="http://schemas.openxmlformats.org/officeDocument/2006/relationships/hyperlink" Id="rId61" Target="https://doi.org/10.1093/nar/gkv007" TargetMode="External" /><Relationship Type="http://schemas.openxmlformats.org/officeDocument/2006/relationships/hyperlink" Id="rId62" Target="https://doi.org/10.1101/661496" TargetMode="External" /><Relationship Type="http://schemas.openxmlformats.org/officeDocument/2006/relationships/hyperlink" Id="rId64" Target="https://doi.org/10.1111/j.2517-6161.1995.tb02031.x" TargetMode="External" /><Relationship Type="http://schemas.openxmlformats.org/officeDocument/2006/relationships/hyperlink" Id="rId63" Target="https://doi.org/10.18129/B9.bioc.proDA" TargetMode="External" /><Relationship Type="http://schemas.openxmlformats.org/officeDocument/2006/relationships/hyperlink" Id="rId71" Target="https://doi.org/10.32614/CRAN.package.imputeLCMD" TargetMode="External" /><Relationship Type="http://schemas.openxmlformats.org/officeDocument/2006/relationships/hyperlink" Id="rId47" Target="https://github.com/eturkes/imputefinder" TargetMode="External" /><Relationship Type="http://schemas.openxmlformats.org/officeDocument/2006/relationships/hyperlink" Id="rId51" Target="https://proceedings.mlr.press/v216/nabi23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ImputeFinder: auditable condition-specific routing of missing proteomics intensities</dc:title>
  <dc:creator>Emir Turkes</dc:creator>
  <cp:keywords/>
  <dcterms:created xsi:type="dcterms:W3CDTF">2026-09-08T01:32:55Z</dcterms:created>
  <dcterms:modified xsi:type="dcterms:W3CDTF">2026-09-08T01:32:55Z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