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eTwinning Projesi: Sağlıklı Beden, Temiz Dünya</w:t>
      </w:r>
    </w:p>
    <w:p>
      <w:pPr>
        <w:pStyle w:val="Heading2"/>
      </w:pPr>
      <w:r>
        <w:t>1. Proje Tanıtım Dökümanı</w:t>
      </w:r>
    </w:p>
    <w:p>
      <w:r>
        <w:br/>
        <w:t>Proje Adı: Sağlıklı Beden, Temiz Dünya</w:t>
        <w:br/>
        <w:t>Amaç: Öğrencilerin hem beden eğitimi yoluyla sağlıklı yaşam becerileri kazanmaları hem de çevre bilinci geliştirmeleri.</w:t>
        <w:br/>
        <w:t>Hedef Kitle: 14–18 yaş lise öğrencileri</w:t>
        <w:br/>
        <w:t>Proje Dili: Türkçe &amp; İngilizce</w:t>
        <w:br/>
        <w:t>Süre: 4–6 ay</w:t>
        <w:br/>
        <w:t>Ortaklık: Farklı ülkelerden en az 2 okul</w:t>
        <w:br/>
      </w:r>
    </w:p>
    <w:p>
      <w:pPr>
        <w:pStyle w:val="Heading2"/>
      </w:pPr>
      <w:r>
        <w:t>2. Gerekçelendirme</w:t>
      </w:r>
    </w:p>
    <w:p>
      <w:r>
        <w:br/>
        <w:t>- Spor, gençlerin sosyal bağlarını güçlendirir.</w:t>
        <w:br/>
        <w:t>- Çevre bilinci, gelecek nesillerin sorumluluğudur.</w:t>
        <w:br/>
        <w:t>- eTwinning ile farklı ülkelerden öğrenciler, hem beden eğitiminin hem de çevrenin ortak değerler olduğunu öğrenir.</w:t>
        <w:br/>
      </w:r>
    </w:p>
    <w:p>
      <w:pPr>
        <w:pStyle w:val="Heading2"/>
      </w:pPr>
      <w:r>
        <w:t>3. Hedefler</w:t>
      </w:r>
    </w:p>
    <w:p>
      <w:r>
        <w:br/>
        <w:t>1. Öğrencilerin fiziksel aktiviteye katılımını artırmak</w:t>
        <w:br/>
        <w:t>2. Çevreye duyarlı spor etkinlikleri tasarlamak</w:t>
        <w:br/>
        <w:t>3. Dijital araçlarla (TwinSpace, Canva, Padlet vb.) işbirliği yapmak</w:t>
        <w:br/>
        <w:t>4. Kültürel paylaşım ve yabancı dil pratiği geliştirmek</w:t>
        <w:br/>
      </w:r>
    </w:p>
    <w:p>
      <w:pPr>
        <w:pStyle w:val="Heading2"/>
      </w:pPr>
      <w:r>
        <w:t>4. Etkinlik Planı (Aylık)</w:t>
      </w:r>
    </w:p>
    <w:p>
      <w:pPr>
        <w:pStyle w:val="Heading3"/>
      </w:pPr>
      <w:r>
        <w:t>1. Ay – Tanışma ve Farkındalık</w:t>
      </w:r>
    </w:p>
    <w:p>
      <w:r>
        <w:br/>
        <w:t>- Öğrenciler kendini tanıtıcı videolar hazırlar.</w:t>
        <w:br/>
        <w:t>- “Spor ve çevre neden önemli?” konulu online tartışma yapılır.</w:t>
        <w:br/>
      </w:r>
    </w:p>
    <w:p>
      <w:pPr>
        <w:pStyle w:val="Heading3"/>
      </w:pPr>
      <w:r>
        <w:t>2. Ay – Spor ve Sağlık</w:t>
      </w:r>
    </w:p>
    <w:p>
      <w:r>
        <w:br/>
        <w:t>- Ortak ülkeler “geleneksel spor oyunlarını” tanıtır.</w:t>
        <w:br/>
        <w:t>- Online spor günü düzenlenir (ör: adım sayma yarışması).</w:t>
        <w:br/>
      </w:r>
    </w:p>
    <w:p>
      <w:pPr>
        <w:pStyle w:val="Heading3"/>
      </w:pPr>
      <w:r>
        <w:t>3. Ay – Çevre Bilinci</w:t>
      </w:r>
    </w:p>
    <w:p>
      <w:r>
        <w:br/>
        <w:t>- “Geri dönüşüm ve spor” konulu afiş tasarımı (Canva).</w:t>
        <w:br/>
        <w:t>- Çevre dostu yürüyüş/temizlik etkinliği.</w:t>
        <w:br/>
      </w:r>
    </w:p>
    <w:p>
      <w:pPr>
        <w:pStyle w:val="Heading3"/>
      </w:pPr>
      <w:r>
        <w:t>4. Ay – Ortak Ürün</w:t>
      </w:r>
    </w:p>
    <w:p>
      <w:r>
        <w:br/>
        <w:t>- E-kitap hazırlanır: “Healthy Body, Clean World”</w:t>
        <w:br/>
        <w:t>- Videolar, afişler, şiirler ve öğrenci görüşleri yer alır.</w:t>
        <w:br/>
      </w:r>
    </w:p>
    <w:p>
      <w:pPr>
        <w:pStyle w:val="Heading3"/>
      </w:pPr>
      <w:r>
        <w:t>5. Ay – Değerlendirme</w:t>
      </w:r>
    </w:p>
    <w:p>
      <w:r>
        <w:br/>
        <w:t>- Öğrenciler anket doldurur.</w:t>
        <w:br/>
        <w:t>- Projenin etkisi ölçülür.</w:t>
        <w:br/>
        <w:t>- Katılım sertifikaları verilir.</w:t>
        <w:br/>
      </w:r>
    </w:p>
    <w:p>
      <w:pPr>
        <w:pStyle w:val="Heading2"/>
      </w:pPr>
      <w:r>
        <w:t>5. Yöntem</w:t>
      </w:r>
    </w:p>
    <w:p>
      <w:r>
        <w:br/>
        <w:t>- İşbirlikçi öğrenme</w:t>
        <w:br/>
        <w:t>- Web 2.0 araçları kullanımı</w:t>
        <w:br/>
        <w:t>- Aktif katılım ve proje tabanlı öğrenme</w:t>
        <w:br/>
      </w:r>
    </w:p>
    <w:p>
      <w:pPr>
        <w:pStyle w:val="Heading2"/>
      </w:pPr>
      <w:r>
        <w:t>6. Beklenen Sonuçlar</w:t>
      </w:r>
    </w:p>
    <w:p>
      <w:r>
        <w:br/>
        <w:t>- Öğrenciler çevreye daha duyarlı olur.</w:t>
        <w:br/>
        <w:t>- Spor alışkanlıkları artar.</w:t>
        <w:br/>
        <w:t>- Uluslararası işbirliği ve kültürel etkileşim sağlanır.</w:t>
        <w:br/>
        <w:t>- Ortak ürün (e-kitap, afiş, video, TwinSpace arşivi) oluşturulur.</w:t>
        <w:br/>
      </w:r>
    </w:p>
    <w:p>
      <w:pPr>
        <w:pStyle w:val="Heading2"/>
      </w:pPr>
      <w:r>
        <w:t>7. Değerlendirme Araçları</w:t>
      </w:r>
    </w:p>
    <w:p>
      <w:r>
        <w:br/>
        <w:t>- Öğrenci anketleri</w:t>
        <w:br/>
        <w:t>- Öğretmen gözlemleri</w:t>
        <w:br/>
        <w:t>- Ürünlerin kalitesi (afiş, video, e-kitap)</w:t>
        <w:br/>
        <w:t>- TwinSpace etkileşimi</w:t>
        <w:br/>
      </w:r>
    </w:p>
    <w:p>
      <w:pPr>
        <w:pStyle w:val="Heading2"/>
      </w:pPr>
      <w:r>
        <w:t>8. Kaynaklar</w:t>
      </w:r>
    </w:p>
    <w:p>
      <w:r>
        <w:br/>
        <w:t>- eTwinning portalı</w:t>
        <w:br/>
        <w:t>- Canva, Padlet, Genially</w:t>
        <w:br/>
        <w:t>- Spor bilimleri makaleleri</w:t>
        <w:br/>
        <w:t>- Çevre ve spor ile ilgili UNESCO, WHO kaynakları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