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IT管理规定</w:t>
      </w:r>
    </w:p>
    <w:p>
      <w:pPr>
        <w:pStyle w:val="Heading2"/>
      </w:pPr>
      <w:r>
        <w:t>1 总则</w:t>
      </w:r>
    </w:p>
    <w:p>
      <w:r>
        <w:t>1.1 本规定适用于公司所有部门的信息技术管理工作。</w:t>
      </w:r>
    </w:p>
    <w:p>
      <w:r>
        <w:t>1.2 信息技术部负责本规定的解释和修订。</w:t>
      </w:r>
    </w:p>
    <w:p>
      <w:pPr>
        <w:pStyle w:val="Heading2"/>
      </w:pPr>
      <w:r>
        <w:t>2 系统备份管理</w:t>
      </w:r>
    </w:p>
    <w:p>
      <w:r>
        <w:t>2.1 生产数据库每4小时执行一次增量备份，每日凌晨2:00执行全量备份。</w:t>
      </w:r>
    </w:p>
    <w:p>
      <w:r>
        <w:t>2.2 备份文件保留周期为90天，超期自动清理。</w:t>
      </w:r>
    </w:p>
    <w:p>
      <w:r>
        <w:t>2.3 备份成功率须达到99.5%以上，连续两次失败须触发P2告警。</w:t>
      </w:r>
    </w:p>
    <w:p>
      <w:pPr>
        <w:pStyle w:val="Heading2"/>
      </w:pPr>
      <w:r>
        <w:t>3 变更管理</w:t>
      </w:r>
    </w:p>
    <w:p>
      <w:r>
        <w:t>3.1 所有生产环境变更须提前3个工作日提交变更申请。</w:t>
      </w:r>
    </w:p>
    <w:p>
      <w:r>
        <w:t>3.2 变更审批流程：申请人→部门经理→运维经理审批后执行。</w:t>
      </w:r>
    </w:p>
    <w:p>
      <w:r>
        <w:t>3.3 紧急变更可事后补办审批手续，但须在24小时内完成。</w:t>
      </w:r>
    </w:p>
    <w:p>
      <w:pPr>
        <w:pStyle w:val="Heading2"/>
      </w:pPr>
      <w:r>
        <w:t>4 安全检查</w:t>
      </w:r>
    </w:p>
    <w:p>
      <w:r>
        <w:t>4.1 信息技术部每月对全部服务器进行一次安全漏洞扫描。</w:t>
      </w:r>
    </w:p>
    <w:p>
      <w:r>
        <w:t>4.2 安全扫描发现高危漏洞须在48小时内完成修复。</w:t>
      </w:r>
    </w:p>
    <w:p>
      <w:r>
        <w:t>4.3 每季度组织一次信息安全应急演练。</w:t>
      </w:r>
    </w:p>
    <w:p>
      <w:pPr>
        <w:pStyle w:val="Heading2"/>
      </w:pPr>
      <w:r>
        <w:t>5 人员管理</w:t>
      </w:r>
    </w:p>
    <w:p>
      <w:r>
        <w:t>5.1 新员工入职3天内须完成信息安全培训并通过考核。</w:t>
      </w:r>
    </w:p>
    <w:p>
      <w:r>
        <w:t>5.2 员工离职时须在当日完成所有系统账号注销。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