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信息安全管理规定</w:t>
      </w:r>
    </w:p>
    <w:p>
      <w:pPr>
        <w:pStyle w:val="Heading2"/>
      </w:pPr>
      <w:r>
        <w:t>1 总则</w:t>
      </w:r>
    </w:p>
    <w:p>
      <w:r>
        <w:t>1.1 本规定适用于公司所有涉及信息安全的管理工作。</w:t>
      </w:r>
    </w:p>
    <w:p>
      <w:r>
        <w:t>1.2 信息安全委员会负责本规定的监督执行。</w:t>
      </w:r>
    </w:p>
    <w:p>
      <w:pPr>
        <w:pStyle w:val="Heading2"/>
      </w:pPr>
      <w:r>
        <w:t>2 数据保护</w:t>
      </w:r>
    </w:p>
    <w:p>
      <w:r>
        <w:t>2.1 核心业务系统数据须进行异地备份，备份频率不低于每日一次。</w:t>
      </w:r>
    </w:p>
    <w:p>
      <w:r>
        <w:t>2.2 备份数据须加密存储，密钥由安全管理员保管。</w:t>
      </w:r>
    </w:p>
    <w:p>
      <w:pPr>
        <w:pStyle w:val="Heading2"/>
      </w:pPr>
      <w:r>
        <w:t>3 安全检查</w:t>
      </w:r>
    </w:p>
    <w:p>
      <w:r>
        <w:t>3.1 安全管理部门每月对关键系统进行一次安全评估。</w:t>
      </w:r>
    </w:p>
    <w:p>
      <w:r>
        <w:t>3.2 发现高危漏洞须在24小时内完成修复或采取临时防护措施。</w:t>
      </w:r>
    </w:p>
    <w:p>
      <w:pPr>
        <w:pStyle w:val="Heading2"/>
      </w:pPr>
      <w:r>
        <w:t>4 应急管理</w:t>
      </w:r>
    </w:p>
    <w:p>
      <w:r>
        <w:t>4.1 每季度组织一次信息安全应急演练，并形成演练报告。</w:t>
      </w:r>
    </w:p>
    <w:p>
      <w:r>
        <w:t>4.2 应急演练须覆盖所有核心系统，由信息安全委员会审核演练方案。</w:t>
      </w:r>
    </w:p>
    <w:p>
      <w:pPr>
        <w:pStyle w:val="Heading2"/>
      </w:pPr>
      <w:r>
        <w:t>5 培训与考核</w:t>
      </w:r>
    </w:p>
    <w:p>
      <w:r>
        <w:t>5.1 新员工入职5天内须完成信息安全培训。</w:t>
      </w:r>
    </w:p>
    <w:p>
      <w:r>
        <w:t>5.2 员工离职时须在当日完成所有系统账号注销。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