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color w:val="6B6B6B"/>
          <w:sz w:val="18"/>
        </w:rPr>
        <w:t>7 de maio de 2025</w:t>
      </w:r>
    </w:p>
    <w:p>
      <w:pPr>
        <w:spacing w:after="40"/>
      </w:pPr>
      <w:r>
        <w:rPr>
          <w:b/>
          <w:sz w:val="20"/>
        </w:rPr>
        <w:t>Albert da Silva</w:t>
      </w:r>
      <w:r>
        <w:rPr>
          <w:b w:val="0"/>
          <w:color w:val="6B6B6B"/>
          <w:sz w:val="18"/>
        </w:rPr>
        <w:br/>
        <w:t>Conta 792854 · Perfil moderado</w:t>
      </w:r>
    </w:p>
    <w:p>
      <w:pPr>
        <w:pBdr>
          <w:left w:val="single" w:sz="24" w:space="6" w:color="FFC709"/>
        </w:pBdr>
      </w:pPr>
      <w:r>
        <w:rPr>
          <w:b/>
          <w:color w:val="000000"/>
          <w:sz w:val="23"/>
        </w:rPr>
        <w:t>Resultado positivo no período e sugestões para diversificação equilibrada</w:t>
      </w:r>
    </w:p>
    <w:p>
      <w:pPr>
        <w:keepNext w:val="0"/>
        <w:pageBreakBefore w:val="0"/>
        <w:jc w:val="both"/>
      </w:pPr>
      <w:r>
        <w:rPr>
          <w:b w:val="0"/>
          <w:sz w:val="21"/>
        </w:rPr>
        <w:t>Prezado Albert,</w:t>
      </w:r>
    </w:p>
    <w:p>
      <w:pPr>
        <w:keepNext w:val="0"/>
        <w:pageBreakBefore w:val="0"/>
        <w:jc w:val="both"/>
      </w:pPr>
      <w:r>
        <w:rPr>
          <w:b w:val="0"/>
          <w:sz w:val="21"/>
        </w:rPr>
        <w:t>No período de 07/04/2025 a 07/05/2025, sua carteira de ações e fundos, que representa 87,0% do total investido, registrou retorno de +2,51%, equivalente a +R$ 6.650,04. Esse desempenho superou o CDI, que avançou +1,00% no mesmo intervalo, com uma diferença positiva de +1,51 p.p., mas ficou abaixo do Ibovespa, que subiu +6,22%. Entre os principais destaques positivos, HAPV3 teve alta de +76,44% (+R$ 2.660,84), LREN3 subiu +8,94% (+R$ 2.282,38) e o fundo Riza Lotus Plus contribuiu com +1,15% (+R$ 1.090,47). Por outro lado, o principal detrator foi MRFG3, com queda de 16,38% (-R$ 3.023,04). No contexto de longo prazo, desde a aplicação, os fundos de investimento acumulam +11,15% (+R$ 21.200,49), enquanto as ações apresentam -38,74% (-R$ 38.143,63) e a renda fixa +34,93% (+R$ 10.478,75), refletindo a importância da diversificação ao longo do tempo.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00000"/>
          </w:tcPr>
          <w:p>
            <w:pPr>
              <w:spacing w:after="0"/>
            </w:pPr>
            <w:r>
              <w:rPr>
                <w:b w:val="0"/>
                <w:color w:val="BFBFBF"/>
                <w:sz w:val="15"/>
              </w:rPr>
              <w:t>Patrimônio total</w:t>
            </w:r>
          </w:p>
          <w:p>
            <w:r>
              <w:rPr>
                <w:b/>
                <w:color w:val="FFC709"/>
                <w:sz w:val="24"/>
              </w:rPr>
              <w:t>R$ 386.858,82</w:t>
            </w:r>
          </w:p>
        </w:tc>
        <w:tc>
          <w:tcPr>
            <w:tcW w:type="dxa" w:w="2409"/>
            <w:shd w:val="clear" w:color="auto" w:fill="000000"/>
          </w:tcPr>
          <w:p>
            <w:pPr>
              <w:spacing w:after="0"/>
            </w:pPr>
            <w:r>
              <w:rPr>
                <w:b w:val="0"/>
                <w:color w:val="BFBFBF"/>
                <w:sz w:val="15"/>
              </w:rPr>
              <w:t>Retorno no período*</w:t>
            </w:r>
          </w:p>
          <w:p>
            <w:r>
              <w:rPr>
                <w:b/>
                <w:color w:val="FFC709"/>
                <w:sz w:val="24"/>
              </w:rPr>
              <w:t>+2,51%</w:t>
            </w:r>
          </w:p>
        </w:tc>
        <w:tc>
          <w:tcPr>
            <w:tcW w:type="dxa" w:w="2409"/>
            <w:shd w:val="clear" w:color="auto" w:fill="000000"/>
          </w:tcPr>
          <w:p>
            <w:pPr>
              <w:spacing w:after="0"/>
            </w:pPr>
            <w:r>
              <w:rPr>
                <w:b w:val="0"/>
                <w:color w:val="BFBFBF"/>
                <w:sz w:val="15"/>
              </w:rPr>
              <w:t>Resultado no período*</w:t>
            </w:r>
          </w:p>
          <w:p>
            <w:r>
              <w:rPr>
                <w:b/>
                <w:color w:val="FFC709"/>
                <w:sz w:val="24"/>
              </w:rPr>
              <w:t>+R$ 6.650,04</w:t>
            </w:r>
          </w:p>
        </w:tc>
        <w:tc>
          <w:tcPr>
            <w:tcW w:type="dxa" w:w="2409"/>
            <w:shd w:val="clear" w:color="auto" w:fill="000000"/>
          </w:tcPr>
          <w:p>
            <w:pPr>
              <w:spacing w:after="0"/>
            </w:pPr>
            <w:r>
              <w:rPr>
                <w:b w:val="0"/>
                <w:color w:val="BFBFBF"/>
                <w:sz w:val="15"/>
              </w:rPr>
              <w:t>CDI  |  Ibovespa</w:t>
            </w:r>
          </w:p>
          <w:p>
            <w:r>
              <w:rPr>
                <w:b/>
                <w:color w:val="FFC709"/>
                <w:sz w:val="24"/>
              </w:rPr>
              <w:t>+1,00%  |  +6,22%</w:t>
            </w:r>
          </w:p>
        </w:tc>
      </w:tr>
    </w:tbl>
    <w:p>
      <w:pPr>
        <w:spacing w:before="40"/>
      </w:pPr>
      <w:r>
        <w:rPr>
          <w:b w:val="0"/>
          <w:color w:val="6B6B6B"/>
          <w:sz w:val="14"/>
        </w:rPr>
        <w:t>*Período de 07/04/2025 a 07/05/2025, considerando ações e fundos, 87,0% do total investido.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14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lbert_2025-05-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b/>
          <w:color w:val="000000"/>
          <w:sz w:val="19"/>
        </w:rPr>
        <w:t>Sua alocação hoje e a faixa indicada para o perfil moderado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Classe</w:t>
            </w:r>
          </w:p>
        </w:tc>
        <w:tc>
          <w:tcPr>
            <w:tcW w:type="dxa" w:w="3213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Hoje (% do patrimônio)</w:t>
            </w:r>
          </w:p>
        </w:tc>
        <w:tc>
          <w:tcPr>
            <w:tcW w:type="dxa" w:w="3213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Faixa indicada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Renda fixa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7"/>
              </w:rPr>
              <w:t>43,7%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50% a 70%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Multimercado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7"/>
              </w:rPr>
              <w:t>3,0%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5% a 15%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Renda variável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23,5%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10% a 25%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Caixa e vencidos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/>
                <w:sz w:val="17"/>
              </w:rPr>
              <w:t>29,8%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7"/>
              </w:rPr>
              <w:t>0% a 5%</w:t>
            </w:r>
          </w:p>
        </w:tc>
      </w:tr>
    </w:tbl>
    <w:p>
      <w:pPr>
        <w:keepNext w:val="0"/>
        <w:pageBreakBefore/>
        <w:jc w:val="both"/>
      </w:pPr>
      <w:r>
        <w:rPr>
          <w:b w:val="0"/>
          <w:sz w:val="21"/>
        </w:rPr>
        <w:t>O cenário macroeconômico, segundo o relatório Brasil Macro Mensal: Pax brasileira ou calmaria antes de outra tempestade? (XP Macro Research, 06/02/2025), permanece equilibrado no curto prazo, mas com inflação elevada e juros altos, exigindo cautela. A XP projeta IPCA de 6,1% em 2025, pressionado por serviços, alimentos e câmbio, e Selic terminal de 15,50% neste ano, podendo parar antes se o câmbio estabilizar. Para 2026, as projeções indicam IPCA de 4,5% e Selic em 12,50%. O PIB deve crescer 2,0% em 2025 e 1,0% em 2026, sinalizando desaceleração da atividade econômica. No ambiente externo, a expectativa é de manutenção dos juros nos EUA em 2025, com volatilidade no câmbio e fundamentos frágeis para o real. Nesse contexto, a XP considera que ativos pós-fixados seguem atrativos para proteção e rendimento, títulos atrelados ao IPCA ganham importância diante da inflação acima da meta, e o cenário para ações é neutro, exigindo foco em empresas de qualidade e boa liquidez.</w:t>
      </w:r>
    </w:p>
    <w:p>
      <w:pPr>
        <w:keepNext w:val="0"/>
        <w:pageBreakBefore w:val="0"/>
        <w:jc w:val="both"/>
      </w:pPr>
      <w:r>
        <w:rPr>
          <w:b w:val="0"/>
          <w:sz w:val="21"/>
        </w:rPr>
        <w:t>Diante desse cenário, sugerimos discutir três movimentos para adequar sua carteira ao perfil moderado e ao ambiente atual. Primeiro, a aplicação em Tesouro Selic 2029 e Tesouro IPCA+ 2029 visa reduzir o excesso de caixa, aumentar a proteção contra a inflação e aproveitar o patamar elevado dos juros, alinhando-se ao seu perfil e ao cenário macroeconômico. Em seguida, a diversificação com o fundo Ibiuna Hedge ST Advisory FIC FIM busca ampliar fontes alternativas de retorno e reduzir a concentração em caixa, o que é especialmente relevante em um ambiente de incerteza econômica. Por fim, propomos a troca de MRFG3 e HAPV3 por ITUB4 e B3SA3, ajustando a exposição em ações para empresas consolidadas e pagadoras de dividendos, conforme a diretriz de qualidade e seu perfil. Os valores sugeridos para cada operação estão detalhados na tabela abaixo, sendo todas as movimentações sujeitas à sua confirmação.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515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Sugestão</w:t>
            </w:r>
          </w:p>
        </w:tc>
        <w:tc>
          <w:tcPr>
            <w:tcW w:type="dxa" w:w="1361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Movimento</w:t>
            </w:r>
          </w:p>
        </w:tc>
        <w:tc>
          <w:tcPr>
            <w:tcW w:type="dxa" w:w="2948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Ativo</w:t>
            </w:r>
          </w:p>
        </w:tc>
        <w:tc>
          <w:tcPr>
            <w:tcW w:type="dxa" w:w="1814"/>
            <w:shd w:val="clear" w:color="auto" w:fill="000000"/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  <w:t>Reinvestir caixa em renda fixa e inflação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Aplicar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Tesouro Selic 2029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R$ 40.000,00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Aplicar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Tesouro IPCA+ 2029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R$ 40.000,00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  <w:t>Diversificar com multimercado macro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Aplicar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Ibiuna Hedge ST Advisory FIC FIM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R$ 27.000,00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  <w:t>Troca de ações para perfil moderado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Vender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MRFG3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R$ 15.431,04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Vender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HAPV3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R$ 6.141,59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Comprar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ITUB4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R$ 10.000,00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7"/>
              </w:rPr>
              <w:t>Comprar</w:t>
            </w:r>
          </w:p>
        </w:tc>
        <w:tc>
          <w:tcPr>
            <w:tcW w:type="dxa" w:w="2948"/>
          </w:tcPr>
          <w:p>
            <w:pPr>
              <w:spacing w:after="0"/>
            </w:pPr>
            <w:r>
              <w:rPr>
                <w:b w:val="0"/>
                <w:sz w:val="17"/>
              </w:rPr>
              <w:t>B3SA3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rPr>
                <w:b w:val="0"/>
                <w:sz w:val="17"/>
              </w:rPr>
              <w:t>R$ 10.000,00</w:t>
            </w:r>
          </w:p>
        </w:tc>
      </w:tr>
    </w:tbl>
    <w:p>
      <w:pPr>
        <w:spacing w:before="40"/>
      </w:pPr>
      <w:r>
        <w:rPr>
          <w:b w:val="0"/>
          <w:color w:val="6B6B6B"/>
          <w:sz w:val="16"/>
        </w:rPr>
        <w:t>Observação: O CDB BANCO C6 CONSIGNADO S.A. - SET/2024 teve vencimento em 05/09/2024; após confirmarmos a liquidação, esses recursos fazem parte da sugestão de reaplicação.</w:t>
      </w:r>
    </w:p>
    <w:p>
      <w:pPr>
        <w:spacing w:after="0"/>
      </w:pPr>
    </w:p>
    <w:p>
      <w:pPr>
        <w:keepNext/>
        <w:pageBreakBefore w:val="0"/>
        <w:jc w:val="both"/>
      </w:pPr>
      <w:r>
        <w:rPr>
          <w:b w:val="0"/>
          <w:sz w:val="21"/>
        </w:rPr>
        <w:t>Estou à disposição para conversarmos sobre essas sugestões e avaliar juntos os próximos passos. Conte comigo para quaisquer esclarecimentos ou para agendarmos uma reunião.</w:t>
      </w:r>
    </w:p>
    <w:p>
      <w:pPr>
        <w:spacing w:before="80"/>
      </w:pPr>
      <w:r>
        <w:rPr>
          <w:b w:val="0"/>
          <w:sz w:val="20"/>
        </w:rPr>
        <w:t>Atenciosamente,</w:t>
        <w:br/>
      </w:r>
      <w:r>
        <w:rPr>
          <w:b/>
          <w:sz w:val="20"/>
        </w:rPr>
        <w:t>Antonio Bicudo</w:t>
      </w:r>
      <w:r>
        <w:rPr>
          <w:b w:val="0"/>
          <w:color w:val="6B6B6B"/>
          <w:sz w:val="18"/>
        </w:rPr>
        <w:br/>
        <w:t>Assessor de Investimentos XP · Código A7699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1134" w:bottom="73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b w:val="0"/>
        <w:color w:val="6B6B6B"/>
        <w:sz w:val="13"/>
      </w:rPr>
      <w:t>Este material tem caráter informativo e não constitui oferta ou solicitação de compra ou venda de ativos. As sugestões dependem da confirmação de adequação ao seu perfil (suitability) e da sua autorização prévia. Rentabilidade passada não é garantia de rentabilidade futura; valores brutos de impostos. Retorno do período calculado com preços de fechamento e cotas diárias publicadas pela CVM. Fontes: extrato XP de 07/05/2025, CVM, Banco Central do Brasil, Yahoo Finance e Brasil Macro Mensal: Pax brasileira ou calmaria antes de outra tempestade? (XP Macro Research, 06/02/2025).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19"/>
      <w:gridCol w:w="4819"/>
    </w:tblGrid>
    <w:tr>
      <w:trPr>
        <w:trHeight w:val="794" w:hRule="exact"/>
      </w:trPr>
      <w:tc>
        <w:tcPr>
          <w:tcW w:type="dxa" w:w="3402"/>
          <w:shd w:val="clear" w:color="auto" w:fill="000000"/>
          <w:tcBorders>
            <w:bottom w:val="single" w:sz="24" w:space="0" w:color="FFC709"/>
          </w:tcBorders>
          <w:vAlign w:val="center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356502" cy="32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xp_inc_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6502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  <w:shd w:val="clear" w:color="auto" w:fill="000000"/>
          <w:tcBorders>
            <w:bottom w:val="single" w:sz="24" w:space="0" w:color="FFC709"/>
          </w:tcBorders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color w:val="FFFFFF"/>
              <w:sz w:val="19"/>
            </w:rPr>
            <w:t>Relatório mensal de investimentos</w:t>
          </w:r>
          <w:r>
            <w:rPr>
              <w:b w:val="0"/>
              <w:color w:val="BFBFBF"/>
              <w:sz w:val="16"/>
            </w:rPr>
            <w:br/>
            <w:t>Assessoria de Investimentos</w:t>
          </w:r>
        </w:p>
      </w:tc>
    </w:tr>
  </w:tbl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