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2880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0130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3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2088" cy="3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pBdr>
          <w:bottom w:val="single" w:sz="8" w:space="1" w:color="7F7F7F"/>
        </w:pBdr>
      </w:pPr>
    </w:p>
    <w:p>
      <w:pPr>
        <w:spacing w:before="40" w:after="80"/>
        <w:shd w:val="clear" w:fill="D9D9D9"/>
      </w:pPr>
      <w:r>
        <w:rPr>
          <w:rFonts w:ascii="Calibri" w:hAnsi="Calibri"/>
          <w:b/>
          <w:i w:val="0"/>
          <w:sz w:val="28"/>
        </w:rPr>
        <w:t>ATIVIDADE 11</w:t>
      </w:r>
    </w:p>
    <w:p>
      <w:pPr>
        <w:spacing w:after="240"/>
      </w:pPr>
      <w:r>
        <w:rPr>
          <w:rFonts w:ascii="Calibri" w:hAnsi="Calibri"/>
          <w:b/>
          <w:i w:val="0"/>
          <w:sz w:val="24"/>
        </w:rPr>
        <w:t>Roteiro de Apresentação — Análise Estática e Refatoração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Aluno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Beto da Silva — RA 12525178737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1. Contexto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ProcessadorPagamento.java — código com bugs propositais pra prática de análise estática com Checkstyle, SpotBugs e Semgrep no VS Code.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2. Os 8 problemas encontrados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7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ID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Ferramenta</w:t>
            </w:r>
          </w:p>
        </w:tc>
        <w:tc>
          <w:tcPr>
            <w:tcW w:type="dxa" w:w="86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Linha</w:t>
            </w:r>
          </w:p>
        </w:tc>
        <w:tc>
          <w:tcPr>
            <w:tcW w:type="dxa" w:w="446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  <w:tc>
          <w:tcPr>
            <w:tcW w:type="dxa" w:w="158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Import wildcard java.util.* reduz clareza e controle de dependências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Classe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Método processar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validarSenha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Checkstyle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49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calcularDesconto sem documentação Javadoc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Estilo/Manutenibilidade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SpotBugs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42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Comparação de senha String com == verifica identidade, causando autenticação incorreta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Semgrep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fixa hardcoded em senhaCorreta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Semgrep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42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Comparação de String usando ==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sz w:val="21"/>
        </w:rPr>
        <w:t>O SpotBugs registrou o bug do == uma única vez; o Semgrep registrou a senha fixa e o == separadamente, para que cada correção fique rastreável.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3. Refatoração aplicada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Early Return / Extract Method — validações e cálculo de taxa extraídos em métodos próprios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Constantes nomeadas no lugar dos números mágicos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Javadoc adicionado na classe e nos métodos públicos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Imports explícitos no lugar do wildcard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Correção de segurança: validação de senha por PBKDF2-HMAC-SHA256 + salt aleatório em Base64, 600.000 iterações, 256 bits, comparação resistente a timing attack, seguindo a OWASP Password Storage Cheat Sheet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4. Resultado (depois da refatoração)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74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Métrica</w:t>
            </w:r>
          </w:p>
        </w:tc>
        <w:tc>
          <w:tcPr>
            <w:tcW w:type="dxa" w:w="1728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Antes</w:t>
            </w:r>
          </w:p>
        </w:tc>
        <w:tc>
          <w:tcPr>
            <w:tcW w:type="dxa" w:w="1728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Depois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Melhoria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de problemas (Checkstyle, 4 espaços)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de problemas (SpotBugs)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de problemas (Semgrep)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Complexidade ciclomática máxima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33% menos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Profundidade máxima de if aninhado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Números mágicos (Checkstyle dedicado)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100% menos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5. Validação funcional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230 verificações automatizadas comparando o comportamento do código refatorado com o original: 168 combinações de pagamento, 40 combinações de desconto, limites de cartão, quatro entradas de senha e cinco configurações inválidas. Todas aprovadas — a refatoração não alterou o comportamento esperado do sistema.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6. Limitações documentadas (transparência)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 senha de demonstração continua fixa no código (admin123) — mas a validação já está pronta pra receber hash e salt fornecidos externamente por um serviço de credenciais real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 exigência de cartão com 16 caracteres foi mantida até para PIX, só para preservar a comparação comportamento-a-comportamento com a suíte de 230 testes (registrado no Javadoc como limitação didática)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7. Ferramentas e versões usadas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Checkstyle 9.3 (mesmo jar da extensão VS Code), SpotBugs 4.10.4, Semgrep 1.179.0, com duas regras locais incluídas no projeto.</w:t>
      </w:r>
    </w:p>
    <w:sectPr w:rsidR="00FC693F" w:rsidRPr="0006063C" w:rsidSect="00034616"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</w:tabs>
      <w:jc w:val="center"/>
      <w:pBdr>
        <w:top w:val="single" w:sz="8" w:space="1" w:color="7F7F7F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86"/>
      <w:gridCol w:w="4986"/>
    </w:tblGrid>
    <w:tr>
      <w:tc>
        <w:tcPr>
          <w:tcW w:type="dxa" w:w="4986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sz w:val="18"/>
            </w:rPr>
            <w:t xml:space="preserve"> de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4986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95959"/>
              <w:sz w:val="20"/>
            </w:rPr>
            <w:t>Profa. Cássia Assis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