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bookmarkStart w:colFirst="0" w:colLast="0" w:name="_v6d3j0at8032" w:id="0"/>
      <w:bookmarkEnd w:id="0"/>
      <w:r w:rsidDel="00000000" w:rsidR="00000000" w:rsidRPr="00000000">
        <w:rPr>
          <w:color w:val="00000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1247140</wp:posOffset>
            </wp:positionH>
            <wp:positionV relativeFrom="margin">
              <wp:posOffset>-563777</wp:posOffset>
            </wp:positionV>
            <wp:extent cx="1388745" cy="1125855"/>
            <wp:effectExtent b="0" l="0" r="0" t="0"/>
            <wp:wrapSquare wrapText="bothSides" distB="0" distT="0" distL="114300" distR="114300"/>
            <wp:docPr descr="Desenho de pessoa com a boca aberta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Desenho de pessoa com a boca abert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1125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2725738</wp:posOffset>
                </wp:positionH>
                <wp:positionV relativeFrom="paragraph">
                  <wp:posOffset>-677860</wp:posOffset>
                </wp:positionV>
                <wp:extent cx="5605463" cy="17147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37788" y="3114317"/>
                          <a:ext cx="4416425" cy="1331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SECRETARIA DE ESTADO DA EDUCAÇÃO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17ª COORDENADORIA REGIONAL DE EDUCAÇÃO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2725738</wp:posOffset>
                </wp:positionH>
                <wp:positionV relativeFrom="paragraph">
                  <wp:posOffset>-677860</wp:posOffset>
                </wp:positionV>
                <wp:extent cx="5605463" cy="17147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5463" cy="1714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360" w:lineRule="auto"/>
        <w:jc w:val="center"/>
        <w:rPr>
          <w:rFonts w:ascii="Arial" w:cs="Arial" w:eastAsia="Arial" w:hAnsi="Arial"/>
          <w:b w:val="1"/>
          <w:bCs w:val="1"/>
          <w:sz w:val="48"/>
          <w:szCs w:val="48"/>
        </w:rPr>
      </w:pPr>
      <w:bookmarkStart w:colFirst="0" w:colLast="0" w:name="_10n88pa0q1ak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PLANO ANUAL DE ENSINO</w:t>
      </w:r>
    </w:p>
    <w:p w:rsidR="00000000" w:rsidDel="00000000" w:rsidP="00000000" w:rsidRDefault="00000000" w:rsidRPr="00000000" w14:paraId="00000008">
      <w:pPr>
        <w:pStyle w:val="Subtitle"/>
        <w:spacing w:line="276" w:lineRule="auto"/>
        <w:ind w:left="4320" w:firstLine="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usbt9kjphi0y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UNIDADE ESCOLAR: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Escola de Educação Básica Elfrida Cristino da Silva</w:t>
      </w:r>
    </w:p>
    <w:p w:rsidR="00000000" w:rsidDel="00000000" w:rsidP="00000000" w:rsidRDefault="00000000" w:rsidRPr="00000000" w14:paraId="00000009">
      <w:pPr>
        <w:pStyle w:val="Subtitle"/>
        <w:spacing w:line="276" w:lineRule="auto"/>
        <w:ind w:left="4320" w:firstLine="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m8mosm5ssay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ÁREA DE CONHECIMENTO: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Tecnologias da Informação e Comunicação</w:t>
      </w:r>
    </w:p>
    <w:p w:rsidR="00000000" w:rsidDel="00000000" w:rsidP="00000000" w:rsidRDefault="00000000" w:rsidRPr="00000000" w14:paraId="0000000A">
      <w:pPr>
        <w:pStyle w:val="Subtitle"/>
        <w:spacing w:line="276" w:lineRule="auto"/>
        <w:ind w:left="4320" w:firstLine="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1rdpbdb7j321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COMPONENTE CURRICULAR: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Desenvolvimento de Sistemas</w:t>
      </w:r>
    </w:p>
    <w:p w:rsidR="00000000" w:rsidDel="00000000" w:rsidP="00000000" w:rsidRDefault="00000000" w:rsidRPr="00000000" w14:paraId="0000000B">
      <w:pPr>
        <w:pStyle w:val="Subtitle"/>
        <w:spacing w:line="276" w:lineRule="auto"/>
        <w:ind w:left="4320" w:firstLine="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alrtao1mhh8s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PROFESSOR: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Euclides Palma Paim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ind w:left="6480" w:firstLine="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3zelfx4gtuy1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Série/Ano: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3º Ano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spacing w:line="360" w:lineRule="auto"/>
        <w:jc w:val="center"/>
        <w:rPr>
          <w:rFonts w:ascii="Arial" w:cs="Arial" w:eastAsia="Arial" w:hAnsi="Arial"/>
        </w:rPr>
      </w:pPr>
      <w:bookmarkStart w:colFirst="0" w:colLast="0" w:name="_crtphcrpnen6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Itajaí, Fevereiro/2026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</w:t>
      </w:r>
    </w:p>
    <w:tbl>
      <w:tblPr>
        <w:tblStyle w:val="Table1"/>
        <w:tblW w:w="153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86"/>
        <w:tblGridChange w:id="0">
          <w:tblGrid>
            <w:gridCol w:w="1538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COMPETÊNCIAS GERAIS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ensino de Desenvolvimento de Sistemas visa capacitar o estudante a criar e utilizar tecnologias digitais de forma crítica e ética, transformando a lógica de programação em uma ferramenta para solucionar problemas e expressar ideias.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 ênfase em linguagens computacionais e cultura digital, o objetivo é desenvolver a curiosidade, autonomia, cooperação e responsabilidade social, preparando o aluno para o mercado de trabalho e o protagonismo na vida.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COMPETÊNCIAS ESPECÍFICAS DA ÁREA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 </w:t>
              <w:br w:type="textWrapping"/>
              <w:t xml:space="preserve">(Taxonomia de Bloom)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200" w:before="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Reconhecer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arquitetura de sistemas, SOs e o papel de hardware/software no desenvolvimento de soluções digitais.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200" w:before="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raciocínio lógico ao traduzir problemas em algoritmos, fluxogramas e pseudocódigo, base para a programação.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200" w:before="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Aplicar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linguagens (programação, marcação, estilização) para construir interfaces funcionais e responsivas (Front-end) com lógica de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200" w:before="0" w:lineRule="auto"/>
              <w:ind w:left="720" w:hanging="36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fluxos, estruturas de controle e variáveis para depurar, otimizar desempenho e segurança do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 implementar bancos de dados relacionais (SQL) para gerenciar dados (CRUD) e garantir integridade.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Avaliar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criticamente sistemas e ferramentas tecnológicas (eficiência, ética, impacto socioeconômico), propondo melhorias baseadas em padrões de qualidade.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projetos de sistemas colaborativos (requisitos à implementação) usando metodologias ágeis e controle de versão.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3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0"/>
        <w:gridCol w:w="5235"/>
        <w:gridCol w:w="6825"/>
        <w:tblGridChange w:id="0">
          <w:tblGrid>
            <w:gridCol w:w="3330"/>
            <w:gridCol w:w="5235"/>
            <w:gridCol w:w="682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1º TRIMESTRE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CONCEITOS ESTRUTURANTES/CAMPOS DE ATUAÇÃO/CATEGORIAS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OBJETO DO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HABILIDADES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Versionamento de Sistemas e Controle de Fluxo Distribuído.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Controle de Versão Distribuído (Git); Fluxo de Trabalho Colaborativo; Gestão de Repositórios (GitHub).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Reconhecer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 importância do versionamento;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Aplicar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comandos Git para gerenciar histórico de código;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Criar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fluxos colaborativos de desenvolvimento.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3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5685"/>
        <w:gridCol w:w="6465"/>
        <w:tblGridChange w:id="0">
          <w:tblGrid>
            <w:gridCol w:w="3240"/>
            <w:gridCol w:w="5685"/>
            <w:gridCol w:w="646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2º TRIMESTRE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CONCEITOS ESTRUTURANTES/CAMPOS DE ATUAÇÃO/CATEGORIAS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OBJETO DO CONHECIMENTO/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CONTEÚDOS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HABILIDADES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Bancos de Dados e Linguagem SQL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Banco de Dados Relacional; SQL Avançado; Normalização e Integridade de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Analisar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esquemas de dados e aplicar normalização;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Implementar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consultas complexas em SQL;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Avaliar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 consistência e segurança dos dados armazenados.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3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5"/>
        <w:gridCol w:w="5730"/>
        <w:gridCol w:w="6465"/>
        <w:tblGridChange w:id="0">
          <w:tblGrid>
            <w:gridCol w:w="3195"/>
            <w:gridCol w:w="5730"/>
            <w:gridCol w:w="646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3º TRIMESTRE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CONCEITOS ESTRUTURANTES/CAMPOS DE ATUAÇÃO/CATEGORIAS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OBJETO DO CONHECIMENTO/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CONTEÚDOS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HABILIDADES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Programação Orientada a Objetos.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Paradigma de Programação Orientada a Objetos (POO); Encapsulamento, Herança e Polimorfismo.</w:t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Compreender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 transição de paradigmas;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Modelar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sistemas utilizando classes e objetos;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Desenvolver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soluções de software modulares e escaláveis.</w:t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41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insideH w:color="000000" w:space="0" w:sz="8" w:val="single"/>
        </w:tblBorders>
        <w:tblLayout w:type="fixed"/>
        <w:tblLook w:val="0000"/>
      </w:tblPr>
      <w:tblGrid>
        <w:gridCol w:w="7350"/>
        <w:gridCol w:w="8069"/>
        <w:tblGridChange w:id="0">
          <w:tblGrid>
            <w:gridCol w:w="7350"/>
            <w:gridCol w:w="8069"/>
          </w:tblGrid>
        </w:tblGridChange>
      </w:tblGrid>
      <w:tr>
        <w:trPr>
          <w:cantSplit w:val="0"/>
          <w:trHeight w:val="1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bookmarkStart w:colFirst="0" w:colLast="0" w:name="_1fob9te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CRITÉRIOS AVALIATIVOS: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desenvolvimento das habilidades será medido pela capacidade do aluno em traduzir problemas lógicos em código funcional e pela organização nos projetos práticos.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INSTRUMENTOS AVALIATIVOS: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Exercícios práticos semanais em laboratório.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Criação de um Portfólio Digital (Site pessoal acumulando os códigos do ano).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Projeto Integrador final focado em uma demanda da comunidade de Itajaí.</w:t>
            </w:r>
          </w:p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9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CAMINHOS METODOLÓGICOS (CARGA HORÁRIA PRESENCIAL):</w:t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Será adotada a Metodologia Ativa baseada em Desafios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Challenge Based Learning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), onde cada novo conceito de Git, SQL ou POO será aplicado em pequenos projetos práticos semanais. O uso do GitHub será obrigatório para a entrega das atividades, fomentando a cultura de portfólio digital para o mercado de Itajaí.</w:t>
            </w:r>
          </w:p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OBSERVAÇÕES GERAIS: 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planejamento para esta turma de 3º ano foca na consolidação de competências técnicas integradas. No primeiro trimestre, estabelece-se o padrão profissional de trabalho com Git. No segundo, aprofunda-se a prática de SQL que os alunos já iniciaram anteriormente, preparando a base de dados para que, no terceiro trimestre, possamos construir sistemas robustos utilizando o paradigma de Orientação a Objetos. As aulas manterão o equilíbrio entre a fundamentação teórica e a prática intensiva em laboratório."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Atividade em l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aboratório e avaliações serão adaptados para estudantes PcD, TEA ou Altas Habilidades, seguindo o PDI e orientação do Segundo Professor, priorizando métodos visuais e suporte individualizado.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Nas primeiras duas semanas, haverá sondagem de conhecimentos prévios (informática básica e raciocínio lógico); o conteúdo do primeiro trimestre poderá ser ajustado conforme o letramento digital da turma.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285.0" w:type="dxa"/>
        <w:jc w:val="left"/>
        <w:tblInd w:w="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85"/>
        <w:tblGridChange w:id="0">
          <w:tblGrid>
            <w:gridCol w:w="15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RECUPERAÇÃO PARALELA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widowControl w:val="0"/>
              <w:spacing w:line="235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35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Será garantida de forma contínua durante as aulas, utilizando instrumentos diversificados de avaliação antes do fechamento de cada trimestre, conforme a Portaria nº 874/2025 da SED/SC.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35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285.0" w:type="dxa"/>
        <w:jc w:val="left"/>
        <w:tblInd w:w="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85"/>
        <w:tblGridChange w:id="0">
          <w:tblGrid>
            <w:gridCol w:w="15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REFERÊNCIAS BIBLIOGRÁFICAS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ANDERSON, L. W.; KRATHWOHL, D. R.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Taxonomy for Learning, Teaching, and Assessing: A Revision of Bloom's Taxonomy of Educational Objectives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New York: Longman, 2001.</w:t>
            </w:r>
          </w:p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SANTA CATARINA. Secretaria de Estado da Educação.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Currículo Base do Ensino Médio do Território Catarinense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Florianópolis: SED, 2021.</w:t>
            </w:r>
          </w:p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WIRTH, Niklaus.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Algoritmos e Estruturas de Dados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Rio de Janeiro: LTC, 1999.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1906" w:w="16838" w:orient="landscape"/>
      <w:pgMar w:bottom="765" w:top="765" w:left="720" w:right="720" w:header="737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shd w:fill="ffffff" w:val="clear"/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