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972"/>
        <w:gridCol w:w="4292"/>
        <w:gridCol w:w="3810"/>
        <w:tblGridChange w:id="0">
          <w:tblGrid>
            <w:gridCol w:w="2972"/>
            <w:gridCol w:w="4292"/>
            <w:gridCol w:w="381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spacing w:line="240" w:lineRule="auto"/>
              <w:ind w:left="118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UNIDADE ESCOLAR: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PLANO DE AULA - ENSINO MÉDIO 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2a9v8onwie6k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PERÍODO DE VIGÊNCIA: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20/03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20/04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ÁREA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Tecnologia da Informação e Comunicação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NÚMERO DE AULAS: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ANO/SÉRIE: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3º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PROFESSOR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Euclides Palma Paim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Habilidades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Reconhecer a arquitetura de sistemas, sistemas operacionais e o papel do hardware no desenvolvimento de soluções digitais.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Objeto(s) de conhecimento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Arquitetura de Computadores: Hierarquia de memória e processamento.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Sistemas Operacionais: Gerenciamento de processos, memória e sistemas de arquivos.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Contexto de Desenvolvimento: Stack vs Heap, concorrência e threads.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Critérios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 Avaliação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Capacidade de identificar o impacto do hardware (RAM/CPU) na performance do software.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Compreensão da diferença entre processos e threads no ambiente de execução.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Análise crítica sobre o gerenciamento de memória em linguagens de alto nível.</w:t>
            </w:r>
          </w:p>
          <w:p w:rsidR="00000000" w:rsidDel="00000000" w:rsidP="00000000" w:rsidRDefault="00000000" w:rsidRPr="00000000" w14:paraId="0000002D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190"/>
        <w:gridCol w:w="8865"/>
        <w:tblGridChange w:id="0">
          <w:tblGrid>
            <w:gridCol w:w="2190"/>
            <w:gridCol w:w="8865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CAMINHO METODOLÓGICO                 </w:t>
            </w:r>
          </w:p>
        </w:tc>
      </w:tr>
      <w:tr>
        <w:trPr>
          <w:cantSplit w:val="0"/>
          <w:trHeight w:val="19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 1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1: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Arquitetura e Memória: Definição de RAM, volatilidade e organização de células/endereços. Hierarquia: Registradores, Cache, RAM e Armazenamento.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2: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Análise de Recursos: Uso do Gerenciador de Tarefas e monitores de sistema para identificar consumo de memória por diferentes aplicações.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IFA: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Otimização: Como o tamanho dos tipos de dados impacta a ocupação das células de memória RAM.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 2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Aulas 3 e 4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1: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Processamento e Execução: Arquitetura da CPU, núcleos (cores) e threads. Ciclo de busca e execução de instruções.</w:t>
            </w:r>
          </w:p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2: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Simulação de Concorrência: Demonstração de processos simultâneos e o conceito de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multitasking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 sistema operacional.</w:t>
            </w:r>
          </w:p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IFA: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Hardware e Dev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Por que o desenvolvedor precisa conhecer a CPU para otimizar algoritmos complexos?</w:t>
            </w:r>
          </w:p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 3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Aulas 5 e 6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1: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Sistemas Operacionais: O papel do Kernel, chamadas de sistema (System Calls) e gerenciamento de arquivos.</w:t>
            </w:r>
          </w:p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2: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Ambientes de Desenvolvimento: Diferenças de execução entre Windows, Linux e MacOS no contexto de servidores e containers.</w:t>
            </w:r>
          </w:p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IFA: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Terminal e Shell: Importância do domínio da linha de comando para interação direta com o SO.</w:t>
            </w:r>
          </w:p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 4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Aulas 7 e 8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1: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Gerenciamento de Memória em Dev: Conceitos de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Stack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(Pilha) 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Heap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(Monte). Onde os objetos "moram" na RAM.</w:t>
            </w:r>
          </w:p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2: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Profiling de Software: Identificação de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Memory Leaks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simples e como o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Garbage Collector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atua em diferentes linguagens.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IFA: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Discussão sobre os requisitos de hardware para o sistema final a ser desenvolvido no ano.</w:t>
            </w:r>
          </w:p>
        </w:tc>
      </w:tr>
    </w:tbl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205"/>
        <w:gridCol w:w="8847"/>
        <w:tblGridChange w:id="0">
          <w:tblGrid>
            <w:gridCol w:w="2205"/>
            <w:gridCol w:w="8847"/>
          </w:tblGrid>
        </w:tblGridChange>
      </w:tblGrid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Instrumentos de 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Observação participativa durante as dinâmicas desplugadas.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Questionário técnico sobre endereçamento de memória e ciclo de CPU.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Exercício de diagnóstico inicial (não pontuado para nota, mas para ajuste de nível).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Recuperação Paralela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Atendimento individualizado durante as aulas práticas para alunos que demonstrarem dificuldade na abstração de problemas, utilizando analogias com situações reais do cotidiano.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Quadro branco, computadores do laboratório, papel sulfite para fluxogramas e acesso a simuladores de lógica online.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Referências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Currículo Base do Território Catarinense (CBEMTC).</w:t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WING, Jeannette.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Computational Thinking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Material de apoio técnico da SED/SC.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2" w:line="2680" w:lineRule="auto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first"/>
      <w:pgSz w:h="16820" w:w="11906" w:orient="portrait"/>
      <w:pgMar w:bottom="888" w:top="495" w:left="446" w:right="580" w:header="566" w:footer="56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pPr w:leftFromText="141" w:rightFromText="141" w:topFromText="0" w:bottomFromText="200" w:vertAnchor="text" w:horzAnchor="text" w:tblpX="332.50000000000057" w:tblpY="310"/>
      <w:tblW w:w="10214.999999999998" w:type="dxa"/>
      <w:jc w:val="left"/>
      <w:tblBorders>
        <w:insideH w:color="000000" w:space="0" w:sz="6" w:val="single"/>
        <w:insideV w:color="000000" w:space="0" w:sz="6" w:val="single"/>
      </w:tblBorders>
      <w:tblLayout w:type="fixed"/>
      <w:tblLook w:val="0400"/>
    </w:tblPr>
    <w:tblGrid>
      <w:gridCol w:w="1542"/>
      <w:gridCol w:w="7029"/>
      <w:gridCol w:w="1644"/>
      <w:tblGridChange w:id="0">
        <w:tblGrid>
          <w:gridCol w:w="1542"/>
          <w:gridCol w:w="7029"/>
          <w:gridCol w:w="1644"/>
        </w:tblGrid>
      </w:tblGridChange>
    </w:tblGrid>
    <w:tr>
      <w:trPr>
        <w:cantSplit w:val="0"/>
        <w:trHeight w:val="1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4">
          <w:pPr>
            <w:ind w:hanging="2"/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842010" cy="81661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010" cy="8166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4" w:val="single"/>
          </w:tcBorders>
        </w:tcPr>
        <w:p w:rsidR="00000000" w:rsidDel="00000000" w:rsidP="00000000" w:rsidRDefault="00000000" w:rsidRPr="00000000" w14:paraId="00000075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ESTADO DE SANTA CATARINA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SECRETARIA DE ESTADO DA EDUCAÇÃO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17ª COORDENADORIA REGIONAL DE EDUCAÇÃO -ITAJAÍ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EEM ELFRIDA CRISTINO DA SILVA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Endereço: Rua Maria Iolanda Rocha, 66 - Cep: 88309-608 Bairro: São Vicente/ Itajaí Fone: (47) 3398-6128 / E-mail: eemelfridacristinodasilva17@sed.sc.gov.br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4" w:val="single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A">
          <w:pPr>
            <w:ind w:hanging="2"/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842010" cy="764540"/>
                <wp:effectExtent b="0" l="0" r="0" t="0"/>
                <wp:docPr descr="Uma imagem contendo Logotipo&#10;&#10;Descrição gerada automaticamente" id="2" name="image1.jpg"/>
                <a:graphic>
                  <a:graphicData uri="http://schemas.openxmlformats.org/drawingml/2006/picture">
                    <pic:pic>
                      <pic:nvPicPr>
                        <pic:cNvPr descr="Uma imagem contendo Logotipo&#10;&#10;Descrição gerada automaticamente" id="0" name="image1.jpg"/>
                        <pic:cNvPicPr preferRelativeResize="0"/>
                      </pic:nvPicPr>
                      <pic:blipFill>
                        <a:blip r:embed="rId2"/>
                        <a:srcRect b="20876" l="3143" r="3401" t="2733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010" cy="7645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4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