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ation"/>
        <w:ind w:hanging="851" w:left="851"/>
        <w:rPr/>
      </w:pPr>
      <w:r>
        <w:rPr/>
        <w:drawing>
          <wp:inline distT="0" distB="0" distL="0" distR="0">
            <wp:extent cx="4955540" cy="3019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955540" cy="3019425"/>
                    </a:xfrm>
                    <a:prstGeom prst="rect">
                      <a:avLst/>
                    </a:prstGeom>
                  </pic:spPr>
                </pic:pic>
              </a:graphicData>
            </a:graphic>
          </wp:inline>
        </w:drawing>
      </w:r>
    </w:p>
    <w:tbl>
      <w:tblPr>
        <w:tblStyle w:val="Grilledutableau"/>
        <w:tblpPr w:vertAnchor="text" w:horzAnchor="text" w:leftFromText="141" w:rightFromText="141" w:tblpX="0" w:tblpY="-137"/>
        <w:tblW w:w="94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198"/>
        <w:gridCol w:w="263"/>
      </w:tblGrid>
      <w:tr>
        <w:trPr>
          <w:trHeight w:val="1350" w:hRule="atLeast"/>
        </w:trPr>
        <w:tc>
          <w:tcPr>
            <w:tcW w:w="9198"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center"/>
              <w:rPr>
                <w:rFonts w:cs="Calibri" w:cstheme="minorHAnsi"/>
                <w:b/>
                <w:bCs/>
                <w:sz w:val="40"/>
                <w:szCs w:val="40"/>
              </w:rPr>
            </w:pPr>
            <w:r>
              <w:rPr>
                <w:rFonts w:eastAsia="Calibri" w:cs="Calibri" w:cstheme="minorHAnsi"/>
                <w:b/>
                <w:bCs/>
                <w:kern w:val="0"/>
                <w:sz w:val="40"/>
                <w:szCs w:val="40"/>
                <w:lang w:val="fr-CH" w:eastAsia="en-US" w:bidi="ar-SA"/>
              </w:rPr>
              <w:t>Projet de calcul de l’usufruit strictement personnel</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drawing>
                <wp:anchor behindDoc="0" distT="0" distB="0" distL="114300" distR="114300" simplePos="0" locked="0" layoutInCell="1" allowOverlap="1" relativeHeight="17">
                  <wp:simplePos x="0" y="0"/>
                  <wp:positionH relativeFrom="column">
                    <wp:posOffset>2540</wp:posOffset>
                  </wp:positionH>
                  <wp:positionV relativeFrom="paragraph">
                    <wp:posOffset>183515</wp:posOffset>
                  </wp:positionV>
                  <wp:extent cx="5704205" cy="3397250"/>
                  <wp:effectExtent l="0" t="0" r="0" b="0"/>
                  <wp:wrapTopAndBottom/>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704205" cy="3397250"/>
                          </a:xfrm>
                          <a:prstGeom prst="rect">
                            <a:avLst/>
                          </a:prstGeom>
                        </pic:spPr>
                      </pic:pic>
                    </a:graphicData>
                  </a:graphic>
                </wp:anchor>
              </w:drawing>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Le viager, principe :</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Un propriétaire met en vente son bien. Le prix de vente est divisé en trois parties :</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 bouquet (montant).</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d’une rente viagère.</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La constitution d’un usufruit*.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br/>
              <w:t>Estimation du bien par un expert immobilier agréé FINMA</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La rente viagère et l’usufruit s’éteignent par le décès du propriétaire et du conjoint mentionné dans l’acte de vente.</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Différence avec une vente sans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prix de vente est égal à la valeur vénale en vertu.</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encaissement de la valeur vénale totale.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le droit d’habiter, obligation de se reloger.</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de revenus récurrents provenant du bien immobilier (pas de rente).</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Vente en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Prix de vente : valeur vénale.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un bouquet (versement cash, env. 1/3 du prix de vente + une rente annuelle jusqu’au décès).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d’usufruit strictement personnel (pas le droit de louer le bien) jusqu’au décès ou à durée limitée.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d’usufruit non transmissible aux héritiers.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Solde disponible après remboursement des prêts hypothécaires et impôts, peut être versé sous forme de capital (bouquet) et/ou sous forme de rente.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Rente : revenu complémentaire garanti à vie par une compagnie d’assurance.</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Avantages pour le crédirentier :</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w:t>
            </w:r>
            <w:r>
              <w:rPr>
                <w:rFonts w:eastAsia="Calibri" w:cs="Open Sans" w:ascii="Open Sans" w:hAnsi="Open Sans"/>
                <w:b/>
                <w:bCs/>
                <w:kern w:val="0"/>
                <w:sz w:val="20"/>
                <w:szCs w:val="20"/>
                <w:lang w:val="fr-FR" w:eastAsia="en-US" w:bidi="ar-SA"/>
              </w:rPr>
              <w:t>bouquet</w:t>
            </w:r>
            <w:r>
              <w:rPr>
                <w:rFonts w:eastAsia="Calibri" w:cs="Open Sans" w:ascii="Open Sans" w:hAnsi="Open Sans"/>
                <w:kern w:val="0"/>
                <w:sz w:val="20"/>
                <w:szCs w:val="20"/>
                <w:lang w:val="fr-FR" w:eastAsia="en-US" w:bidi="ar-SA"/>
              </w:rPr>
              <w:t xml:space="preserve"> doit permettre le remboursement des prêts hypothécaires, améliorant son pouvoir d’achat. Le solde représente un capital ou rentes supplémentaires à disposition du vendeur.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La possibilité d’un revenu complémentaire versé sous forme de </w:t>
            </w:r>
            <w:r>
              <w:rPr>
                <w:rFonts w:eastAsia="Calibri" w:cs="Open Sans" w:ascii="Open Sans" w:hAnsi="Open Sans"/>
                <w:b/>
                <w:bCs/>
                <w:kern w:val="0"/>
                <w:sz w:val="20"/>
                <w:szCs w:val="20"/>
                <w:lang w:val="fr-FR" w:eastAsia="en-US" w:bidi="ar-SA"/>
              </w:rPr>
              <w:t xml:space="preserve">rente </w:t>
            </w:r>
            <w:r>
              <w:rPr>
                <w:rFonts w:eastAsia="Calibri" w:cs="Open Sans" w:ascii="Open Sans" w:hAnsi="Open Sans"/>
                <w:kern w:val="0"/>
                <w:sz w:val="20"/>
                <w:szCs w:val="20"/>
                <w:lang w:val="fr-FR" w:eastAsia="en-US" w:bidi="ar-SA"/>
              </w:rPr>
              <w:t>est garantie par une solution d’assurance indépendante (prime unique).</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b/>
                <w:bCs/>
                <w:kern w:val="0"/>
                <w:sz w:val="20"/>
                <w:szCs w:val="20"/>
                <w:lang w:val="fr-FR" w:eastAsia="en-US" w:bidi="ar-SA"/>
              </w:rPr>
              <w:t xml:space="preserve">L’usufruit </w:t>
            </w:r>
            <w:r>
              <w:rPr>
                <w:rFonts w:eastAsia="Calibri" w:cs="Open Sans" w:ascii="Open Sans" w:hAnsi="Open Sans"/>
                <w:b w:val="false"/>
                <w:bCs w:val="false"/>
                <w:kern w:val="0"/>
                <w:sz w:val="20"/>
                <w:szCs w:val="20"/>
                <w:lang w:val="fr-FR" w:eastAsia="en-US" w:bidi="ar-SA"/>
              </w:rPr>
              <w:t xml:space="preserve">offre </w:t>
            </w:r>
            <w:r>
              <w:rPr>
                <w:rFonts w:eastAsia="Calibri" w:cs="Open Sans" w:ascii="Open Sans" w:hAnsi="Open Sans"/>
                <w:kern w:val="0"/>
                <w:sz w:val="20"/>
                <w:szCs w:val="20"/>
                <w:lang w:val="fr-FR" w:eastAsia="en-US" w:bidi="ar-SA"/>
              </w:rPr>
              <w:t>la garantie de pouvoir vivre dans le logement aussi longtemps que la santé du dernier conjoint le permet (inscription au registre foncier).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Le fonds effectue un suivi annuel (voir répartition des charges point 7).</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Règlement de la </w:t>
            </w:r>
            <w:r>
              <w:rPr>
                <w:rFonts w:eastAsia="Calibri" w:cs="Open Sans" w:ascii="Open Sans" w:hAnsi="Open Sans"/>
                <w:b/>
                <w:bCs/>
                <w:kern w:val="0"/>
                <w:sz w:val="20"/>
                <w:szCs w:val="20"/>
                <w:lang w:val="fr-FR" w:eastAsia="en-US" w:bidi="ar-SA"/>
              </w:rPr>
              <w:t>succession</w:t>
            </w:r>
            <w:r>
              <w:rPr>
                <w:rFonts w:eastAsia="Calibri" w:cs="Open Sans" w:ascii="Open Sans" w:hAnsi="Open Sans"/>
                <w:kern w:val="0"/>
                <w:sz w:val="20"/>
                <w:szCs w:val="20"/>
                <w:lang w:val="fr-FR" w:eastAsia="en-US" w:bidi="ar-SA"/>
              </w:rPr>
              <w:t xml:space="preserve"> pour le bien immobilier.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Pouvoir faire une </w:t>
            </w:r>
            <w:r>
              <w:rPr>
                <w:rFonts w:eastAsia="Calibri" w:cs="Open Sans" w:ascii="Open Sans" w:hAnsi="Open Sans"/>
                <w:b/>
                <w:bCs/>
                <w:kern w:val="0"/>
                <w:sz w:val="20"/>
                <w:szCs w:val="20"/>
                <w:lang w:val="fr-FR" w:eastAsia="en-US" w:bidi="ar-SA"/>
              </w:rPr>
              <w:t>donation</w:t>
            </w:r>
            <w:r>
              <w:rPr>
                <w:rFonts w:eastAsia="Calibri" w:cs="Open Sans" w:ascii="Open Sans" w:hAnsi="Open Sans"/>
                <w:kern w:val="0"/>
                <w:sz w:val="20"/>
                <w:szCs w:val="20"/>
                <w:lang w:val="fr-FR" w:eastAsia="en-US" w:bidi="ar-SA"/>
              </w:rPr>
              <w:t xml:space="preserve"> de son vivant aux héritiers.</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L’usufruit est un droit conférant, notamment à son bénéficiaire, l’usage exclusif d’un bien, propriété d’une autre personne.</w:t>
            </w:r>
          </w:p>
          <w:p>
            <w:pPr>
              <w:pStyle w:val="Normal"/>
              <w:widowControl w:val="false"/>
              <w:suppressAutoHyphens w:val="true"/>
              <w:spacing w:lineRule="auto" w:line="240" w:before="0" w:after="0"/>
              <w:ind w:left="360"/>
              <w:jc w:val="left"/>
              <w:rPr>
                <w:rFonts w:ascii="Open Sans" w:hAnsi="Open Sans" w:cs="Open Sans"/>
                <w:sz w:val="20"/>
                <w:szCs w:val="20"/>
              </w:rPr>
            </w:pPr>
            <w:r>
              <w:rPr>
                <w:rFonts w:cs="Open Sans" w:ascii="Open Sans" w:hAnsi="Open Sans"/>
                <w:sz w:val="20"/>
                <w:szCs w:val="20"/>
              </w:rPr>
            </w:r>
          </w:p>
          <w:p>
            <w:pPr>
              <w:pStyle w:val="Rfrence"/>
              <w:widowControl w:val="false"/>
              <w:numPr>
                <w:ilvl w:val="0"/>
                <w:numId w:val="3"/>
              </w:numPr>
              <w:suppressAutoHyphens w:val="true"/>
              <w:ind w:hanging="360" w:left="720" w:right="-2"/>
              <w:jc w:val="left"/>
              <w:rPr>
                <w:rFonts w:ascii="Open Sans" w:hAnsi="Open Sans" w:cs="Open Sans"/>
                <w:b/>
                <w:bCs/>
              </w:rPr>
            </w:pPr>
            <w:r>
              <w:rPr>
                <w:rFonts w:cs="Open Sans" w:ascii="Open Sans" w:hAnsi="Open Sans"/>
                <w:b/>
                <w:bCs/>
                <w:kern w:val="0"/>
                <w:lang w:val="fr-CH" w:eastAsia="en-US" w:bidi="ar-SA"/>
              </w:rPr>
              <w:t>Préambule :</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764 CC - Obligations de l’usufruitier</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est tenu de conserver la substance de la chose et de faire lui-même les réparations et réfections ordinaires d’entretien.</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Si des travaux plus importants ou d’autres mesures sont indispensables à la conservation de la chose, l’usufruitier est tenu d’en aviser le propriétaire.</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769 CC - Destination de la chose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ne doit apporter à la destination de l’immeuble aucun changement qui puisse causer un préjudice notable au propriétaire.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Il ne peut, en particulier, ni transformer, ni essentiellement modi</w:t>
              <w:softHyphen/>
              <w:t>fier la chose soumise à l’usufruit.</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En cas de PPE :</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L’intégralité des charges PPE sont à payer par l’usufruitier.</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La contribution au fonds de rénovation - comprise dans le budget des charges PPE - est également payée par l’usufruitier.</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Les appels de fonds servant à payer des travaux importants de rénovations ou d’entretien sont à la charge du propriétaire.</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Dans le cas où les charges suivantes ne font partie des charges payées par la PPE, la répartition se fait comme suit :</w:t>
            </w:r>
          </w:p>
          <w:p>
            <w:pPr>
              <w:pStyle w:val="Normal"/>
              <w:widowControl w:val="false"/>
              <w:suppressAutoHyphens w:val="true"/>
              <w:spacing w:lineRule="auto" w:line="240" w:before="0" w:after="0"/>
              <w:ind w:left="851"/>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En cas de villa individuelle :</w:t>
            </w:r>
          </w:p>
          <w:p>
            <w:pPr>
              <w:pStyle w:val="Normal"/>
              <w:widowControl w:val="false"/>
              <w:suppressAutoHyphens w:val="true"/>
              <w:spacing w:lineRule="auto" w:line="240" w:before="0" w:after="0"/>
              <w:ind w:left="851"/>
              <w:jc w:val="left"/>
              <w:rPr>
                <w:rFonts w:ascii="Open Sans" w:hAnsi="Open Sans" w:cs="Open Sans"/>
                <w:sz w:val="20"/>
                <w:szCs w:val="20"/>
              </w:rPr>
            </w:pPr>
            <w:bookmarkStart w:id="0" w:name="_Hlk112924289"/>
            <w:bookmarkEnd w:id="0"/>
            <w:r>
              <w:rPr>
                <w:rFonts w:eastAsia="Calibri" w:cs="Open Sans" w:ascii="Open Sans" w:hAnsi="Open Sans"/>
                <w:kern w:val="0"/>
                <w:sz w:val="20"/>
                <w:szCs w:val="20"/>
                <w:lang w:val="fr-CH" w:eastAsia="en-US" w:bidi="ar-SA"/>
              </w:rPr>
              <w:t>Vu ce qui précède, la répartition des charges liées à l’immeuble se fait comme suit :</w:t>
            </w:r>
          </w:p>
          <w:p>
            <w:pPr>
              <w:pStyle w:val="Normal"/>
              <w:widowControl w:val="false"/>
              <w:suppressAutoHyphens w:val="true"/>
              <w:spacing w:lineRule="auto" w:line="240" w:before="0" w:after="0"/>
              <w:ind w:left="851"/>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eastAsia="Calibri" w:cs="Open Sans" w:ascii="Open Sans" w:hAnsi="Open Sans"/>
                <w:b/>
                <w:bCs/>
                <w:kern w:val="0"/>
                <w:sz w:val="20"/>
                <w:szCs w:val="20"/>
                <w:lang w:val="fr-CH" w:eastAsia="en-US" w:bidi="ar-SA"/>
              </w:rPr>
              <w:t>Assurances privées :</w:t>
            </w:r>
            <w:bookmarkEnd w:id="1"/>
            <w:bookmarkEnd w:id="2"/>
            <w:bookmarkEnd w:id="3"/>
            <w:bookmarkEnd w:id="4"/>
            <w:bookmarkEnd w:id="5"/>
            <w:bookmarkEnd w:id="6"/>
            <w:bookmarkEnd w:id="7"/>
            <w:bookmarkEnd w:id="8"/>
            <w:bookmarkEnd w:id="9"/>
          </w:p>
          <w:p>
            <w:pPr>
              <w:pStyle w:val="ListParagraph"/>
              <w:widowControl w:val="false"/>
              <w:suppressAutoHyphens w:val="true"/>
              <w:spacing w:lineRule="auto" w:line="240" w:before="0" w:after="0"/>
              <w:contextualSpacing/>
              <w:jc w:val="left"/>
              <w:rPr>
                <w:rFonts w:ascii="Open Sans" w:hAnsi="Open Sans" w:cs="Open Sans"/>
                <w:b/>
                <w:bCs/>
                <w:sz w:val="20"/>
                <w:szCs w:val="20"/>
              </w:rPr>
            </w:pPr>
            <w:r>
              <w:rPr>
                <w:rFonts w:cs="Open Sans" w:ascii="Open Sans" w:hAnsi="Open Sans"/>
                <w:b/>
                <w:bCs/>
                <w:sz w:val="20"/>
                <w:szCs w:val="20"/>
              </w:rPr>
            </w:r>
            <w:bookmarkStart w:id="10" w:name="_Hlk1129242891"/>
            <w:bookmarkStart w:id="11" w:name="_Hlk1129242891"/>
            <w:bookmarkEnd w:id="11"/>
          </w:p>
          <w:p>
            <w:pPr>
              <w:pStyle w:val="Heading2"/>
              <w:widowControl w:val="false"/>
              <w:numPr>
                <w:ilvl w:val="1"/>
                <w:numId w:val="3"/>
              </w:numPr>
              <w:suppressAutoHyphens w:val="true"/>
              <w:spacing w:before="0" w:after="200"/>
              <w:rPr/>
            </w:pPr>
            <w:r>
              <w:rPr>
                <w:rFonts w:cs="Open Sans" w:ascii="Open Sans" w:hAnsi="Open Sans"/>
                <w:kern w:val="0"/>
                <w:szCs w:val="20"/>
                <w:lang w:bidi="ar-SA"/>
              </w:rPr>
              <w:t>L'usufruitier est tenu d'assurer la chose, dans l'intérêt du propriétaire en souscrivant les assurances suivantes :</w:t>
            </w:r>
          </w:p>
          <w:p>
            <w:pPr>
              <w:pStyle w:val="Puces"/>
              <w:widowControl w:val="false"/>
              <w:numPr>
                <w:ilvl w:val="0"/>
                <w:numId w:val="4"/>
              </w:numPr>
              <w:suppressAutoHyphens w:val="true"/>
              <w:spacing w:before="0" w:after="200"/>
              <w:ind w:hanging="567" w:left="1418"/>
              <w:contextualSpacing/>
              <w:rPr/>
            </w:pPr>
            <w:r>
              <w:rPr>
                <w:rFonts w:cs="Open Sans" w:ascii="Open Sans" w:hAnsi="Open Sans"/>
                <w:kern w:val="0"/>
                <w:lang w:val="fr-CH" w:eastAsia="en-US" w:bidi="ar-SA"/>
              </w:rPr>
              <w:t>Assurance contre l’incendie et dommages naturels (ECA)</w:t>
            </w:r>
          </w:p>
          <w:p>
            <w:pPr>
              <w:pStyle w:val="Puces"/>
              <w:widowControl w:val="false"/>
              <w:numPr>
                <w:ilvl w:val="0"/>
                <w:numId w:val="4"/>
              </w:numPr>
              <w:suppressAutoHyphens w:val="true"/>
              <w:spacing w:before="0" w:after="200"/>
              <w:ind w:hanging="567" w:left="1418"/>
              <w:contextualSpacing/>
              <w:rPr/>
            </w:pPr>
            <w:r>
              <w:rPr>
                <w:rFonts w:cs="Open Sans" w:ascii="Open Sans" w:hAnsi="Open Sans"/>
                <w:kern w:val="0"/>
                <w:lang w:val="fr-CH" w:eastAsia="en-US" w:bidi="ar-SA"/>
              </w:rPr>
              <w:t>Assurance responsabilité civile privée (RC)</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Bris de glace</w:t>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Cs/>
              </w:rPr>
            </w:pPr>
            <w:r>
              <w:rPr>
                <w:rFonts w:cs="Open Sans" w:ascii="Open Sans" w:hAnsi="Open Sans"/>
                <w:b/>
                <w:bCs/>
                <w:kern w:val="0"/>
                <w:lang w:val="fr-CH" w:eastAsia="en-US" w:bidi="ar-SA"/>
              </w:rPr>
              <w:t>Obligations de l’usufruitier – conservation de la chose :</w:t>
            </w:r>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pPr>
              <w:pStyle w:val="Puces"/>
              <w:widowControl w:val="false"/>
              <w:numPr>
                <w:ilvl w:val="0"/>
                <w:numId w:val="29"/>
              </w:numPr>
              <w:suppressAutoHyphens w:val="true"/>
              <w:spacing w:before="0" w:after="200"/>
              <w:ind w:hanging="589" w:left="1440"/>
              <w:contextualSpacing/>
              <w:rPr>
                <w:rFonts w:ascii="Open Sans" w:hAnsi="Open Sans" w:cs="Open Sans"/>
              </w:rPr>
            </w:pPr>
            <w:r>
              <w:rPr>
                <w:rFonts w:cs="Open Sans" w:ascii="Open Sans" w:hAnsi="Open Sans"/>
                <w:kern w:val="0"/>
                <w:lang w:val="fr-CH" w:eastAsia="en-US" w:bidi="ar-SA"/>
              </w:rPr>
              <w:t>Maintenir l’état du bien en réparations courantes et nettoyage habituel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Poser et enlever les fenêtres doubles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vitres brisées ou endommagées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Entretenir les sols et les boiseries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prises endommagées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sangles usées aux volets à rouleaux et aux stores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Graisser les serrures, gonds, fiches de portes, fenêtres, volets, armatures de tente et autres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Entretenir les installations sanitaires, appareils ménagers, fiches et cordons électriques et autres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Déboucher les écoulements jusqu'à la conduite principale, nettoyer et déboucher les écoulements de balcons et terrasses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Faire ramoner régulièrement les cheminées de salon et leurs canaux de fumée (obligation légale)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Aérer régulièrement les locaux loués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Détartrer régulièrement les bouilleurs individuels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brise-jets, les flexibles et les fusibles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joints usés des robinets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 filtre de ventilation interchangeable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Confection et la pose de plaques d'adresses des sonnettes et boîtes aux lettres ;</w:t>
            </w:r>
          </w:p>
          <w:p>
            <w:pPr>
              <w:pStyle w:val="Puces"/>
              <w:widowControl w:val="false"/>
              <w:numPr>
                <w:ilvl w:val="0"/>
                <w:numId w:val="0"/>
              </w:numPr>
              <w:suppressAutoHyphens w:val="true"/>
              <w:spacing w:before="0" w:after="200"/>
              <w:ind w:hanging="567" w:left="1418"/>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Cs/>
              </w:rPr>
            </w:pPr>
            <w:r>
              <w:rPr>
                <w:rFonts w:cs="Open Sans" w:ascii="Open Sans" w:hAnsi="Open Sans"/>
                <w:b/>
                <w:bCs/>
                <w:kern w:val="0"/>
                <w:lang w:val="fr-CH" w:eastAsia="en-US" w:bidi="ar-SA"/>
              </w:rPr>
              <w:t>Taxe et autres charges :</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L'usufruitier a la possession, l'usage et la jouissance de la chose. Il en a aussi la gestion et observe, dans l'exercice de ses droits, les règles d'une bonne administration.</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En cas de PPE : L’usufruitier supporte les taxes et autres charges, incluses dans les charges PPE, à raison de la quote-part attribuée à son logement dans la copropriété (si applicable) :</w:t>
            </w:r>
          </w:p>
          <w:p>
            <w:pPr>
              <w:pStyle w:val="Heading2"/>
              <w:widowControl w:val="false"/>
              <w:numPr>
                <w:ilvl w:val="0"/>
                <w:numId w:val="0"/>
              </w:numPr>
              <w:suppressAutoHyphens w:val="true"/>
              <w:spacing w:before="0" w:after="200"/>
              <w:ind w:hanging="0" w:left="851"/>
              <w:rPr>
                <w:rFonts w:ascii="Open Sans" w:hAnsi="Open Sans" w:cs="Open Sans"/>
                <w:szCs w:val="20"/>
              </w:rPr>
            </w:pPr>
            <w:r>
              <w:rPr>
                <w:rFonts w:cs="Open Sans" w:ascii="Open Sans" w:hAnsi="Open Sans"/>
                <w:kern w:val="0"/>
                <w:szCs w:val="20"/>
                <w:lang w:bidi="ar-SA"/>
              </w:rPr>
              <w:t>En cas de villa individuelle : L’usufruitier supporte les taxes et autres charges (si applicable) :</w:t>
            </w:r>
          </w:p>
          <w:p>
            <w:pPr>
              <w:pStyle w:val="Puces"/>
              <w:widowControl w:val="false"/>
              <w:numPr>
                <w:ilvl w:val="0"/>
                <w:numId w:val="30"/>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épuration des eaux (entretien et utilisation) ;</w:t>
            </w:r>
          </w:p>
          <w:p>
            <w:pPr>
              <w:pStyle w:val="Puces"/>
              <w:widowControl w:val="false"/>
              <w:numPr>
                <w:ilvl w:val="0"/>
                <w:numId w:val="31"/>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annuelle d'utilisation du système d'évacuation eaux claires ;</w:t>
            </w:r>
          </w:p>
          <w:p>
            <w:pPr>
              <w:pStyle w:val="Puces"/>
              <w:widowControl w:val="false"/>
              <w:numPr>
                <w:ilvl w:val="0"/>
                <w:numId w:val="32"/>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égout ;</w:t>
            </w:r>
          </w:p>
          <w:p>
            <w:pPr>
              <w:pStyle w:val="Puces"/>
              <w:widowControl w:val="false"/>
              <w:numPr>
                <w:ilvl w:val="0"/>
                <w:numId w:val="33"/>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relative au tri, à l'évacuation et au traitement des déchets ;</w:t>
            </w:r>
          </w:p>
          <w:p>
            <w:pPr>
              <w:pStyle w:val="Puces"/>
              <w:widowControl w:val="false"/>
              <w:numPr>
                <w:ilvl w:val="0"/>
                <w:numId w:val="34"/>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Co2 ;</w:t>
            </w:r>
          </w:p>
          <w:p>
            <w:pPr>
              <w:pStyle w:val="Puces"/>
              <w:widowControl w:val="false"/>
              <w:numPr>
                <w:ilvl w:val="0"/>
                <w:numId w:val="35"/>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Consommation électrique ;</w:t>
            </w:r>
          </w:p>
          <w:p>
            <w:pPr>
              <w:pStyle w:val="Puces"/>
              <w:widowControl w:val="false"/>
              <w:numPr>
                <w:ilvl w:val="0"/>
                <w:numId w:val="36"/>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Maintenance et relevés à distance de tous les compteurs d'énergie ;</w:t>
            </w:r>
          </w:p>
          <w:p>
            <w:pPr>
              <w:pStyle w:val="Puces"/>
              <w:widowControl w:val="false"/>
              <w:numPr>
                <w:ilvl w:val="0"/>
                <w:numId w:val="37"/>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Contrat d'entretien et produits nécessaires au traitement de l'eau ;</w:t>
            </w:r>
          </w:p>
          <w:p>
            <w:pPr>
              <w:pStyle w:val="Puces"/>
              <w:widowControl w:val="false"/>
              <w:numPr>
                <w:ilvl w:val="0"/>
                <w:numId w:val="38"/>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Ventilation parking ;</w:t>
            </w:r>
          </w:p>
          <w:p>
            <w:pPr>
              <w:pStyle w:val="Puces"/>
              <w:widowControl w:val="false"/>
              <w:numPr>
                <w:ilvl w:val="0"/>
                <w:numId w:val="39"/>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Porte automatique garage ;</w:t>
            </w:r>
          </w:p>
          <w:p>
            <w:pPr>
              <w:pStyle w:val="Puces"/>
              <w:widowControl w:val="false"/>
              <w:numPr>
                <w:ilvl w:val="0"/>
                <w:numId w:val="40"/>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Le paiement d’éventuels auxiliaires (jardinier, agent de sécurité, etc.) ;</w:t>
            </w:r>
          </w:p>
          <w:p>
            <w:pPr>
              <w:pStyle w:val="Puces"/>
              <w:widowControl w:val="false"/>
              <w:numPr>
                <w:ilvl w:val="0"/>
                <w:numId w:val="41"/>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Les frais d’acquisition d’outils (tondeuse à gazon ou de mobilier) ;</w:t>
            </w:r>
          </w:p>
          <w:p>
            <w:pPr>
              <w:pStyle w:val="Puces"/>
              <w:widowControl w:val="false"/>
              <w:numPr>
                <w:ilvl w:val="0"/>
                <w:numId w:val="42"/>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Conciergerie ;</w:t>
            </w:r>
          </w:p>
          <w:p>
            <w:pPr>
              <w:pStyle w:val="Puces"/>
              <w:widowControl w:val="false"/>
              <w:numPr>
                <w:ilvl w:val="0"/>
                <w:numId w:val="43"/>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Abonnement pour les téléphones dans les ascenseurs ;</w:t>
            </w:r>
          </w:p>
          <w:p>
            <w:pPr>
              <w:pStyle w:val="Puces"/>
              <w:widowControl w:val="false"/>
              <w:numPr>
                <w:ilvl w:val="0"/>
                <w:numId w:val="44"/>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Abonnement ascenseurs ;</w:t>
            </w:r>
          </w:p>
          <w:p>
            <w:pPr>
              <w:pStyle w:val="Puces"/>
              <w:widowControl w:val="false"/>
              <w:numPr>
                <w:ilvl w:val="0"/>
                <w:numId w:val="45"/>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Révision et entretien des extincteurs ;</w:t>
            </w:r>
          </w:p>
          <w:p>
            <w:pPr>
              <w:pStyle w:val="Puces"/>
              <w:widowControl w:val="false"/>
              <w:numPr>
                <w:ilvl w:val="0"/>
                <w:numId w:val="46"/>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Éclairages de secours ;</w:t>
            </w:r>
          </w:p>
          <w:p>
            <w:pPr>
              <w:pStyle w:val="Puces"/>
              <w:widowControl w:val="false"/>
              <w:numPr>
                <w:ilvl w:val="0"/>
                <w:numId w:val="47"/>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Exutoire de fumées ;</w:t>
            </w:r>
          </w:p>
          <w:p>
            <w:pPr>
              <w:pStyle w:val="Puces"/>
              <w:widowControl w:val="false"/>
              <w:numPr>
                <w:ilvl w:val="0"/>
                <w:numId w:val="0"/>
              </w:numPr>
              <w:suppressAutoHyphens w:val="true"/>
              <w:spacing w:before="0" w:after="200"/>
              <w:ind w:hanging="567" w:left="1418"/>
              <w:contextualSpacing/>
              <w:rPr>
                <w:rFonts w:ascii="Open Sans" w:hAnsi="Open Sans" w:cs="Open Sans"/>
                <w:lang w:val="fr-FR"/>
              </w:rPr>
            </w:pPr>
            <w:r>
              <w:rPr>
                <w:rFonts w:cs="Open Sans" w:ascii="Open Sans" w:hAnsi="Open Sans"/>
                <w:lang w:val="fr-FR"/>
              </w:rPr>
            </w:r>
          </w:p>
          <w:p>
            <w:pPr>
              <w:pStyle w:val="Puces"/>
              <w:widowControl w:val="false"/>
              <w:numPr>
                <w:ilvl w:val="0"/>
                <w:numId w:val="3"/>
              </w:numPr>
              <w:suppressAutoHyphens w:val="true"/>
              <w:spacing w:before="0" w:after="200"/>
              <w:contextualSpacing/>
              <w:rPr>
                <w:rFonts w:ascii="Open Sans" w:hAnsi="Open Sans" w:cs="Open Sans"/>
                <w:b/>
                <w:bCs/>
                <w:lang w:val="fr-FR"/>
              </w:rPr>
            </w:pPr>
            <w:r>
              <w:rPr>
                <w:rFonts w:cs="Open Sans" w:ascii="Open Sans" w:hAnsi="Open Sans"/>
                <w:b/>
                <w:bCs/>
                <w:kern w:val="0"/>
                <w:lang w:val="fr-FR" w:eastAsia="en-US" w:bidi="ar-SA"/>
              </w:rPr>
              <w:t>Fiscalité</w:t>
            </w:r>
          </w:p>
          <w:p>
            <w:pPr>
              <w:pStyle w:val="Heading2"/>
              <w:widowControl w:val="false"/>
              <w:numPr>
                <w:ilvl w:val="1"/>
                <w:numId w:val="3"/>
              </w:numPr>
              <w:suppressAutoHyphens w:val="true"/>
              <w:spacing w:before="0" w:after="200"/>
              <w:ind w:hanging="851" w:left="851"/>
              <w:rPr/>
            </w:pPr>
            <w:r>
              <w:rPr>
                <w:rFonts w:cs="Open Sans" w:ascii="Open Sans" w:hAnsi="Open Sans"/>
                <w:kern w:val="0"/>
                <w:szCs w:val="20"/>
                <w:lang w:bidi="ar-SA"/>
              </w:rPr>
              <w:t>L’impôt foncier est à charge de l’usufruitier.</w:t>
            </w:r>
          </w:p>
          <w:p>
            <w:pPr>
              <w:pStyle w:val="Sparation"/>
              <w:widowControl w:val="false"/>
              <w:suppressAutoHyphens w:val="true"/>
              <w:spacing w:before="0" w:after="200"/>
              <w:ind w:hanging="0" w:left="851"/>
              <w:rPr/>
            </w:pPr>
            <w:r>
              <w:rPr>
                <w:rFonts w:cs="Open Sans" w:ascii="Open Sans" w:hAnsi="Open Sans"/>
                <w:color w:themeColor="accent6" w:val="70AD47"/>
                <w:kern w:val="0"/>
                <w:szCs w:val="20"/>
                <w:lang w:bidi="ar-SA"/>
              </w:rPr>
              <w:t>Impôts lors de la vente</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les gains immobiliers – IGI (exclusivement cantonal et communal)</w:t>
            </w:r>
          </w:p>
          <w:p>
            <w:pPr>
              <w:pStyle w:val="Puces"/>
              <w:widowControl w:val="false"/>
              <w:numPr>
                <w:ilvl w:val="0"/>
                <w:numId w:val="48"/>
              </w:numPr>
              <w:suppressAutoHyphens w:val="true"/>
              <w:spacing w:before="0" w:after="200"/>
              <w:ind w:hanging="589" w:left="1440"/>
              <w:contextualSpacing/>
              <w:rPr>
                <w:rFonts w:ascii="Open Sans" w:hAnsi="Open Sans" w:cs="Open Sans"/>
              </w:rPr>
            </w:pPr>
            <w:r>
              <w:rPr>
                <w:rFonts w:cs="Open Sans" w:ascii="Open Sans" w:hAnsi="Open Sans"/>
                <w:kern w:val="0"/>
                <w:lang w:val="fr-CH" w:eastAsia="en-US" w:bidi="ar-SA"/>
              </w:rPr>
              <w:t>Imposition à la date du transfert immobilier</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La différence entre le produit d'aliénation et le prix d'acquisition (ou l'estimation fiscale) y compris les impenses est soumis à l'IGI.</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Le produit d'aliénation se compose des éléments suivants :</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Le capital initial (bouquet)</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rente viagère capitalisée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valeur capitalisée de l'usufruit (viager occupé)</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Le Taux d’imposition dépend du domicile de l’immeuble.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Par exemple sur Vaud : 30% (jusqu'à 1 an) jusqu'à 7% (dès 24 ans) en fonction de la durée de possession</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Autre exemple sur Genève : de 50% à 0% (dès 26 ans) en fonction de la durée de possession.</w:t>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durant le viager</w:t>
            </w:r>
          </w:p>
          <w:p>
            <w:pPr>
              <w:pStyle w:val="Heading2"/>
              <w:widowControl w:val="false"/>
              <w:numPr>
                <w:ilvl w:val="1"/>
                <w:numId w:val="3"/>
              </w:numPr>
              <w:suppressAutoHyphens w:val="true"/>
              <w:spacing w:before="0" w:after="200"/>
              <w:ind w:hanging="851" w:left="851"/>
              <w:rPr/>
            </w:pPr>
            <w:r>
              <w:rPr>
                <w:rFonts w:cs="Open Sans" w:ascii="Open Sans" w:hAnsi="Open Sans"/>
                <w:kern w:val="0"/>
                <w:szCs w:val="20"/>
                <w:lang w:bidi="ar-SA"/>
              </w:rPr>
              <w:t>Impôt sur le revenu</w:t>
            </w:r>
          </w:p>
          <w:p>
            <w:pPr>
              <w:pStyle w:val="Puces"/>
              <w:widowControl w:val="false"/>
              <w:numPr>
                <w:ilvl w:val="0"/>
                <w:numId w:val="49"/>
              </w:numPr>
              <w:suppressAutoHyphens w:val="true"/>
              <w:spacing w:before="0" w:after="200"/>
              <w:ind w:hanging="589" w:left="1440"/>
              <w:contextualSpacing/>
              <w:rPr/>
            </w:pPr>
            <w:r>
              <w:rPr>
                <w:rFonts w:cs="Open Sans" w:ascii="Open Sans" w:hAnsi="Open Sans"/>
                <w:kern w:val="0"/>
                <w:lang w:val="fr-FR" w:eastAsia="fr-FR" w:bidi="ar-SA"/>
              </w:rPr>
              <w:t>Rente viagère : Imposition à raison de 40% (imposition de la part d'intérêt)</w:t>
            </w:r>
          </w:p>
          <w:p>
            <w:pPr>
              <w:pStyle w:val="Puces"/>
              <w:widowControl w:val="false"/>
              <w:numPr>
                <w:ilvl w:val="0"/>
                <w:numId w:val="50"/>
              </w:numPr>
              <w:suppressAutoHyphens w:val="true"/>
              <w:spacing w:before="0" w:after="200"/>
              <w:ind w:hanging="589" w:left="1440"/>
              <w:contextualSpacing/>
              <w:rPr/>
            </w:pPr>
            <w:r>
              <w:rPr>
                <w:rFonts w:cs="Open Sans" w:ascii="Open Sans" w:hAnsi="Open Sans"/>
                <w:kern w:val="0"/>
                <w:lang w:val="fr-FR" w:eastAsia="fr-FR" w:bidi="ar-SA"/>
              </w:rPr>
              <w:t>Usufruit : Imposition de la valeur locative / loyer encaissé par l'usufruitier le cas échéant</w:t>
            </w:r>
          </w:p>
          <w:p>
            <w:pPr>
              <w:pStyle w:val="Puces"/>
              <w:widowControl w:val="false"/>
              <w:numPr>
                <w:ilvl w:val="0"/>
                <w:numId w:val="51"/>
              </w:numPr>
              <w:suppressAutoHyphens w:val="true"/>
              <w:spacing w:before="0" w:after="200"/>
              <w:ind w:hanging="589" w:left="1440"/>
              <w:contextualSpacing/>
              <w:rPr/>
            </w:pPr>
            <w:r>
              <w:rPr>
                <w:rFonts w:cs="Open Sans" w:ascii="Open Sans" w:hAnsi="Open Sans"/>
                <w:kern w:val="0"/>
                <w:lang w:val="fr-FR" w:eastAsia="fr-FR" w:bidi="ar-SA"/>
              </w:rPr>
              <w:t>Intérêts hypothécaires &amp; frais d'entretien du bien immobilier déductibles (frais d'entretien ordinaires, impôts et taxes, primes d'assurances)</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la fortune</w:t>
            </w:r>
          </w:p>
          <w:p>
            <w:pPr>
              <w:pStyle w:val="Puces"/>
              <w:widowControl w:val="false"/>
              <w:numPr>
                <w:ilvl w:val="0"/>
                <w:numId w:val="52"/>
              </w:numPr>
              <w:suppressAutoHyphens w:val="true"/>
              <w:spacing w:before="0" w:after="0"/>
              <w:ind w:hanging="589" w:left="1440"/>
              <w:contextualSpacing/>
              <w:rPr>
                <w:rFonts w:ascii="Open Sans" w:hAnsi="Open Sans" w:cs="Open Sans"/>
                <w:lang w:val="fr-FR" w:eastAsia="fr-FR"/>
              </w:rPr>
            </w:pPr>
            <w:r>
              <w:rPr>
                <w:rFonts w:cs="Open Sans" w:ascii="Open Sans" w:hAnsi="Open Sans"/>
                <w:kern w:val="0"/>
                <w:lang w:val="fr-FR" w:eastAsia="fr-FR" w:bidi="ar-SA"/>
              </w:rPr>
              <w:t>Fortune mobilière (Etat des titres et des créances) : Solde au 31 décembre du bouquet (capital initial)</w:t>
            </w:r>
          </w:p>
          <w:p>
            <w:pPr>
              <w:pStyle w:val="Puces"/>
              <w:widowControl w:val="false"/>
              <w:numPr>
                <w:ilvl w:val="0"/>
                <w:numId w:val="0"/>
              </w:numPr>
              <w:suppressAutoHyphens w:val="true"/>
              <w:spacing w:before="0" w:after="0"/>
              <w:ind w:hanging="0" w:left="1418"/>
              <w:contextualSpacing/>
              <w:rPr/>
            </w:pPr>
            <w:r>
              <w:rPr/>
            </w:r>
          </w:p>
          <w:p>
            <w:pPr>
              <w:pStyle w:val="Puces"/>
              <w:widowControl w:val="false"/>
              <w:numPr>
                <w:ilvl w:val="0"/>
                <w:numId w:val="4"/>
              </w:numPr>
              <w:suppressAutoHyphens w:val="true"/>
              <w:spacing w:before="0" w:after="0"/>
              <w:ind w:hanging="567" w:left="1418"/>
              <w:contextualSpacing/>
              <w:rPr>
                <w:rFonts w:ascii="Open Sans" w:hAnsi="Open Sans" w:cs="Open Sans"/>
                <w:lang w:val="fr-FR" w:eastAsia="fr-FR"/>
              </w:rPr>
            </w:pPr>
            <w:r>
              <w:rPr>
                <w:rFonts w:cs="Open Sans" w:ascii="Open Sans" w:hAnsi="Open Sans"/>
                <w:kern w:val="0"/>
                <w:lang w:val="fr-FR" w:eastAsia="fr-FR" w:bidi="ar-SA"/>
              </w:rPr>
              <w:t>Usufruit : Estimation fiscale du bien est soumise à l'impôt sur la fortune. Les dettes hypothécaires y relatives sont déductibles.</w:t>
            </w:r>
          </w:p>
          <w:p>
            <w:pPr>
              <w:pStyle w:val="Puces"/>
              <w:widowControl w:val="false"/>
              <w:numPr>
                <w:ilvl w:val="0"/>
                <w:numId w:val="0"/>
              </w:numPr>
              <w:suppressAutoHyphens w:val="true"/>
              <w:spacing w:before="0" w:after="0"/>
              <w:ind w:hanging="567" w:left="1418"/>
              <w:contextualSpacing/>
              <w:rPr>
                <w:rFonts w:ascii="Open Sans" w:hAnsi="Open Sans" w:cs="Open Sans"/>
                <w:lang w:val="fr-FR" w:eastAsia="fr-FR"/>
              </w:rPr>
            </w:pPr>
            <w:r>
              <w:rPr>
                <w:rFonts w:cs="Open Sans" w:ascii="Open Sans" w:hAnsi="Open Sans"/>
                <w:lang w:val="fr-FR" w:eastAsia="fr-FR"/>
              </w:rPr>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en cas de décès de l’usufruitier (crédirentier)</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 revenu : fin de l’assujettissement à l’impôt</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la fortune : fin de l’assujettissement à l’impôt</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les successions : l’extinction d’usufruit n’est pas soumise à l’impôt sur les successions</w:t>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Succession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L’usufruit ne passe pas aux héritiers et s’éteint au décès de l’usufruitier ou de son conjoint.</w:t>
            </w:r>
          </w:p>
          <w:p>
            <w:pPr>
              <w:pStyle w:val="Normal"/>
              <w:widowControl w:val="false"/>
              <w:suppressAutoHyphens w:val="true"/>
              <w:spacing w:lineRule="auto" w:line="240" w:before="0" w:after="0"/>
              <w:jc w:val="left"/>
              <w:rPr>
                <w:rFonts w:ascii="Open Sans" w:hAnsi="Open Sans" w:eastAsia="Calibri" w:cs="Open Sans"/>
                <w:sz w:val="20"/>
                <w:szCs w:val="20"/>
              </w:rPr>
            </w:pPr>
            <w:r>
              <w:rPr>
                <w:rFonts w:eastAsia="Calibri" w:cs="Open Sans" w:ascii="Open Sans" w:hAnsi="Open Sans"/>
                <w:kern w:val="0"/>
                <w:sz w:val="20"/>
                <w:szCs w:val="20"/>
                <w:lang w:val="fr-CH" w:eastAsia="en-US" w:bidi="ar-SA"/>
              </w:rPr>
              <w:t>Le bien immobilier vendu n’entre pas dans la succession et les héritiers n’ont en principe pas de droit à cet égard. Ainsi, il est important de les en informer au préalable.</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For :</w:t>
            </w:r>
          </w:p>
          <w:p>
            <w:pPr>
              <w:pStyle w:val="ListParagraph"/>
              <w:widowControl w:val="false"/>
              <w:suppressAutoHyphens w:val="true"/>
              <w:spacing w:lineRule="auto" w:line="240" w:before="0" w:after="0"/>
              <w:contextualSpacing/>
              <w:jc w:val="left"/>
              <w:rPr>
                <w:rFonts w:ascii="Open Sans" w:hAnsi="Open Sans" w:cs="Open Sans"/>
                <w:b/>
                <w:bCs/>
                <w:sz w:val="20"/>
                <w:szCs w:val="20"/>
              </w:rPr>
            </w:pPr>
            <w:r>
              <w:rPr>
                <w:rFonts w:cs="Open Sans" w:ascii="Open Sans" w:hAnsi="Open Sans"/>
                <w:b/>
                <w:bCs/>
                <w:sz w:val="20"/>
                <w:szCs w:val="20"/>
              </w:rPr>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Le for juridique est à Lausanne.</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Toute modification des clauses ci-dessus doit faire l’objet d’un nouvel accord écrit accepté par les parties.</w:t>
            </w:r>
          </w:p>
          <w:p>
            <w:pPr>
              <w:pStyle w:val="Normal"/>
              <w:widowControl w:val="false"/>
              <w:suppressAutoHyphens w:val="true"/>
              <w:spacing w:lineRule="auto" w:line="240" w:before="0" w:after="0"/>
              <w:jc w:val="left"/>
              <w:rPr>
                <w:lang w:val="fr-FR" w:eastAsia="fr-FR"/>
              </w:rPr>
            </w:pPr>
            <w:r>
              <w:rPr>
                <w:lang w:val="fr-FR" w:eastAsia="fr-FR"/>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Utilisation des données récoltées</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both"/>
              <w:rPr>
                <w:rFonts w:ascii="Open Sans" w:hAnsi="Open Sans" w:eastAsia="Calibri" w:cs="Open Sans"/>
                <w:sz w:val="20"/>
                <w:szCs w:val="20"/>
              </w:rPr>
            </w:pPr>
            <w:r>
              <w:rPr>
                <w:rFonts w:eastAsia="Calibri" w:cs="Open Sans" w:ascii="Open Sans" w:hAnsi="Open Sans"/>
                <w:kern w:val="0"/>
                <w:sz w:val="20"/>
                <w:szCs w:val="20"/>
                <w:lang w:val="fr-CH" w:eastAsia="en-US" w:bidi="ar-SA"/>
              </w:rPr>
              <w:t>En sollicitant une simulation et/ou offre de la part de Viager Suisse &amp; Cie SCmPC ou de la part de sociétés collaborant avec Viager Suisse &amp; Cie SCmPC,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SCmPC, (ii) Viage SA, (iii) GefiSwiss SA, (iv) l’auditeur de Viager Suisse &amp; Cie SCmPC ainsi que (v) l’Autorité de surveillance des marchés financiers (FINMA).</w:t>
            </w:r>
          </w:p>
          <w:p>
            <w:pPr>
              <w:pStyle w:val="Normal"/>
              <w:widowControl w:val="false"/>
              <w:suppressAutoHyphens w:val="true"/>
              <w:spacing w:lineRule="auto" w:line="240" w:before="0" w:after="0"/>
              <w:jc w:val="both"/>
              <w:rPr>
                <w:rFonts w:ascii="Open Sans" w:hAnsi="Open Sans" w:eastAsia="Calibri" w:cs="Open Sans"/>
                <w:sz w:val="20"/>
                <w:szCs w:val="20"/>
              </w:rPr>
            </w:pPr>
            <w:r>
              <w:rPr>
                <w:rFonts w:eastAsia="Calibri"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both"/>
              <w:rPr>
                <w:rFonts w:ascii="Open Sans" w:hAnsi="Open Sans" w:cs="Open Sans"/>
                <w:b/>
                <w:bCs/>
                <w:sz w:val="20"/>
                <w:szCs w:val="20"/>
              </w:rPr>
            </w:pPr>
            <w:r>
              <w:rPr>
                <w:rFonts w:eastAsia="Calibri" w:cs="Open Sans" w:ascii="Open Sans" w:hAnsi="Open Sans"/>
                <w:b/>
                <w:bCs/>
                <w:kern w:val="0"/>
                <w:sz w:val="20"/>
                <w:szCs w:val="20"/>
                <w:lang w:val="fr-CH" w:eastAsia="en-US" w:bidi="ar-SA"/>
              </w:rPr>
              <w:t>Expertise finale du bien</w:t>
            </w:r>
          </w:p>
          <w:p>
            <w:pPr>
              <w:pStyle w:val="Normal"/>
              <w:widowControl w:val="false"/>
              <w:suppressAutoHyphens w:val="true"/>
              <w:spacing w:lineRule="auto" w:line="240" w:before="0" w:after="0"/>
              <w:jc w:val="both"/>
              <w:rPr>
                <w:rFonts w:ascii="Open Sans" w:hAnsi="Open Sans" w:cs="Open Sans"/>
                <w:sz w:val="20"/>
                <w:szCs w:val="20"/>
              </w:rPr>
            </w:pPr>
            <w:r>
              <w:rPr>
                <w:rFonts w:cs="Open Sans" w:ascii="Open Sans" w:hAnsi="Open Sans"/>
                <w:sz w:val="20"/>
                <w:szCs w:val="20"/>
              </w:rPr>
            </w:r>
          </w:p>
          <w:p>
            <w:pPr>
              <w:pStyle w:val="Normal"/>
              <w:widowControl/>
              <w:suppressAutoHyphens w:val="true"/>
              <w:spacing w:before="0" w:after="160"/>
              <w:jc w:val="both"/>
              <w:rPr>
                <w:rFonts w:ascii="Open Sans" w:hAnsi="Open Sans" w:cs="Open Sans"/>
                <w:sz w:val="20"/>
                <w:szCs w:val="20"/>
              </w:rPr>
            </w:pPr>
            <w:r>
              <w:rPr>
                <w:rFonts w:eastAsia="Calibri" w:cs="Open Sans" w:ascii="Open Sans" w:hAnsi="Open Sans"/>
                <w:kern w:val="0"/>
                <w:sz w:val="20"/>
                <w:szCs w:val="20"/>
                <w:lang w:val="fr-CH" w:eastAsia="en-US" w:bidi="ar-SA"/>
              </w:rPr>
              <w:t>Le client s’engage par la présente à payer les frais d’expertise de son bien immobilier, d’un montant compris entre CHF 1'500.- et CHF 2'000.- si toutefois il ne va pas au bout du processus de vente auprès du fonds Viager Swiss SCMPC.</w:t>
            </w:r>
          </w:p>
          <w:p>
            <w:pPr>
              <w:pStyle w:val="Normal"/>
              <w:widowControl w:val="false"/>
              <w:suppressAutoHyphens w:val="true"/>
              <w:spacing w:lineRule="auto" w:line="240" w:before="0" w:after="0"/>
              <w:jc w:val="center"/>
              <w:rPr>
                <w:rFonts w:ascii="Open Sans" w:hAnsi="Open Sans" w:cs="Open Sans"/>
                <w:sz w:val="20"/>
                <w:szCs w:val="20"/>
              </w:rPr>
            </w:pPr>
            <w:r>
              <w:rPr>
                <w:rFonts w:eastAsia="Calibri" w:cs="Open Sans" w:ascii="Open Sans" w:hAnsi="Open Sans"/>
                <w:kern w:val="0"/>
                <w:sz w:val="20"/>
                <w:szCs w:val="20"/>
                <w:lang w:val="fr-CH" w:eastAsia="en-US" w:bidi="ar-SA"/>
              </w:rPr>
              <w:t>----------------------------------------</w:t>
              <w:br/>
            </w:r>
          </w:p>
          <w:p>
            <w:pPr>
              <w:pStyle w:val="Normal"/>
              <w:widowControl w:val="false"/>
              <w:suppressAutoHyphens w:val="true"/>
              <w:spacing w:lineRule="auto" w:line="240" w:before="0" w:after="0"/>
              <w:jc w:val="left"/>
              <w:rPr>
                <w:rFonts w:ascii="Open Sans" w:hAnsi="Open Sans" w:cs="Open Sans"/>
              </w:rPr>
            </w:pPr>
            <w:r>
              <w:rPr>
                <w:rFonts w:eastAsia="Calibri" w:cs="Open Sans" w:ascii="Open Sans" w:hAnsi="Open Sans"/>
                <w:kern w:val="0"/>
                <w:sz w:val="20"/>
                <w:szCs w:val="20"/>
                <w:lang w:val="fr-CH" w:eastAsia="en-US" w:bidi="ar-SA"/>
              </w:rPr>
              <w:t>Mise en place d’un testament ou pacte successoral :   OUI / NON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Remarques :</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Fait à, le :Signature du/des client(s) :</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VIAGE SA</w:t>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rue des Pierres du Niton 17</w:t>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1207 Genève</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t>T+ 41 22 314 53 33</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r>
      <w:tr>
        <w:trPr>
          <w:trHeight w:val="144" w:hRule="atLeast"/>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rHeight w:val="165" w:hRule="atLeast"/>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right"/>
              <w:rPr>
                <w:rFonts w:cs="Calibri" w:cstheme="minorHAnsi"/>
              </w:rPr>
            </w:pPr>
            <w:r>
              <w:rPr>
                <w:rFonts w:eastAsia="Calibri" w:cs="Calibri" w:cstheme="minorHAnsi"/>
                <w:kern w:val="0"/>
                <w:sz w:val="22"/>
                <w:szCs w:val="22"/>
                <w:lang w:val="fr-CH" w:eastAsia="en-US" w:bidi="ar-SA"/>
              </w:rPr>
              <w:t>xx.xx.20xx</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rPr>
            </w:pPr>
            <w:r>
              <w:rPr>
                <w:rFonts w:cs="Calibri" w:cstheme="minorHAns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center"/>
              <w:rPr>
                <w:rFonts w:cs="Calibri" w:cstheme="minorHAnsi"/>
                <w:b/>
                <w:bCs/>
                <w:sz w:val="28"/>
                <w:szCs w:val="28"/>
              </w:rPr>
            </w:pPr>
            <w:r>
              <w:rPr>
                <w:rFonts w:eastAsia="Calibri" w:cs="Calibri" w:cstheme="minorHAnsi"/>
                <w:b/>
                <w:bCs/>
                <w:kern w:val="0"/>
                <w:sz w:val="28"/>
                <w:szCs w:val="28"/>
                <w:lang w:val="fr-CH" w:eastAsia="en-US" w:bidi="ar-SA"/>
              </w:rPr>
              <w:t>Exemple de calcul de l’usufruit strictement personnel</w:t>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jc w:val="both"/>
        <w:rPr>
          <w:rFonts w:cs="Calibri" w:cstheme="minorHAnsi"/>
        </w:rPr>
      </w:pPr>
      <w:r/>
      <w:r>
        <w:rPr>
          <w:rFonts w:cs="Calibri" w:cstheme="minorHAnsi"/>
        </w:rPr>
        <w:t>Madame, Monsieur,</w:t>
      </w:r>
    </w:p>
    <w:p>
      <w:pPr>
        <w:pStyle w:val="Normal"/>
        <w:jc w:val="both"/>
        <w:rPr>
          <w:rFonts w:cs="Calibri" w:cstheme="minorHAnsi"/>
        </w:rPr>
      </w:pPr>
      <w:r>
        <w:rPr>
          <w:rFonts w:cs="Calibri" w:cstheme="minorHAnsi"/>
        </w:rPr>
        <w:t xml:space="preserve">Veuillez trouver ci-dessous le calcul de l’usufruit strictement personnel pour votre bien immobilier. </w:t>
      </w:r>
    </w:p>
    <w:p>
      <w:pPr>
        <w:pStyle w:val="Normal"/>
        <w:ind w:firstLine="708"/>
        <w:jc w:val="both"/>
        <w:rPr>
          <w:rFonts w:cs="Calibri" w:cstheme="minorHAnsi"/>
        </w:rPr>
      </w:pPr>
      <w:r>
        <w:rPr>
          <w:rFonts w:cs="Calibri" w:cstheme="minorHAnsi"/>
        </w:rPr>
        <w:t>Date estimée de la transaction : xx.xx.20xx</w:t>
      </w:r>
    </w:p>
    <w:p>
      <w:pPr>
        <w:pStyle w:val="Normal"/>
        <w:ind w:firstLine="708"/>
        <w:jc w:val="both"/>
        <w:rPr>
          <w:rFonts w:cs="Calibri" w:cstheme="minorHAnsi"/>
        </w:rPr>
      </w:pPr>
      <w:r>
        <w:rPr>
          <w:rFonts w:cs="Calibri" w:cstheme="minorAscii"/>
        </w:rPr>
        <w:t>Partenaire 1: M  ……………………………………………………………… xx.xx.19xx</w:t>
      </w:r>
      <w:r>
        <w:rPr/>
        <w:tab/>
      </w:r>
    </w:p>
    <w:p>
      <w:pPr>
        <w:pStyle w:val="Normal"/>
        <w:ind w:firstLine="708"/>
        <w:jc w:val="both"/>
        <w:rPr>
          <w:rFonts w:cs="Calibri" w:cstheme="minorAscii"/>
        </w:rPr>
      </w:pPr>
      <w:r>
        <w:rPr>
          <w:rFonts w:cs="Calibri" w:cstheme="minorAscii"/>
        </w:rPr>
        <w:t>Partenaire 2: Mme…………………………………………………………… xx.xx.19xx</w:t>
      </w:r>
      <w:r>
        <w:rPr/>
        <w:tab/>
      </w:r>
    </w:p>
    <w:p>
      <w:pPr>
        <w:pStyle w:val="Normal"/>
        <w:ind w:firstLine="708"/>
        <w:jc w:val="both"/>
        <w:rPr>
          <w:rFonts w:cs="Calibri" w:cstheme="minorHAnsi"/>
        </w:rPr>
      </w:pPr>
      <w:r>
        <w:rPr>
          <w:rFonts w:cs="Calibri" w:cstheme="minorHAnsi"/>
        </w:rPr>
        <w:t>Adresse : …………………………………………………………………………………………….</w:t>
      </w:r>
    </w:p>
    <w:p>
      <w:pPr>
        <w:pStyle w:val="Normal"/>
        <w:ind w:firstLine="708"/>
        <w:jc w:val="both"/>
        <w:rPr>
          <w:rFonts w:cs="Calibri" w:cstheme="minorHAnsi"/>
        </w:rPr>
      </w:pPr>
      <w:r>
        <w:rPr>
          <w:rFonts w:cs="Calibri" w:cstheme="minorHAnsi"/>
        </w:rPr>
        <w:t>NPA/Ville : ………………………………………………………………………………………….</w:t>
      </w:r>
    </w:p>
    <w:p>
      <w:pPr>
        <w:pStyle w:val="Normal"/>
        <w:ind w:firstLine="708"/>
        <w:jc w:val="both"/>
        <w:rPr>
          <w:rFonts w:cs="Calibri" w:cstheme="minorHAnsi"/>
        </w:rPr>
      </w:pPr>
      <w:r>
        <w:rPr>
          <w:rFonts w:cs="Calibri" w:cstheme="minorHAnsi"/>
        </w:rPr>
        <w:t>Source de l’estimation : ……………………………………………………………………..</w:t>
      </w:r>
    </w:p>
    <w:p>
      <w:pPr>
        <w:pStyle w:val="Normal"/>
        <w:ind w:firstLine="708"/>
        <w:jc w:val="both"/>
        <w:rPr>
          <w:rFonts w:cs="Calibri" w:cstheme="minorHAnsi"/>
        </w:rPr>
      </w:pPr>
      <w:r>
        <w:rPr>
          <w:rFonts w:cs="Calibri" w:cstheme="minorHAnsi"/>
        </w:rPr>
        <w:t>Valeur estimée du bien :</w:t>
      </w:r>
    </w:p>
    <w:p>
      <w:pPr>
        <w:pStyle w:val="Normal"/>
        <w:ind w:firstLine="708"/>
        <w:jc w:val="both"/>
        <w:rPr>
          <w:rFonts w:cs="Calibri" w:cstheme="minorHAnsi"/>
        </w:rPr>
      </w:pPr>
      <w:r>
        <w:rPr>
          <w:rFonts w:cs="Calibri" w:cstheme="minorHAnsi"/>
        </w:rPr>
        <w:t>Usufruit strictement personnel :</w:t>
      </w:r>
    </w:p>
    <w:p>
      <w:pPr>
        <w:pStyle w:val="Normal"/>
        <w:ind w:firstLine="708"/>
        <w:jc w:val="both"/>
        <w:rPr>
          <w:rFonts w:cs="Calibri" w:cstheme="minorHAnsi"/>
        </w:rPr>
      </w:pPr>
      <w:r>
        <w:rPr>
          <w:rFonts w:cs="Calibri" w:cstheme="minorHAnsi"/>
        </w:rPr>
        <w:t>Bouquet :</w:t>
      </w:r>
    </w:p>
    <w:p>
      <w:pPr>
        <w:pStyle w:val="Normal"/>
        <w:ind w:firstLine="708"/>
        <w:jc w:val="both"/>
        <w:rPr>
          <w:rFonts w:cs="Calibri" w:cstheme="minorHAnsi"/>
        </w:rPr>
      </w:pPr>
      <w:r>
        <w:rPr>
          <w:rFonts w:cs="Calibri" w:cstheme="minorHAnsi"/>
        </w:rPr>
        <w:t>Frais de courtage 3% (HT)</w:t>
      </w:r>
    </w:p>
    <w:p>
      <w:pPr>
        <w:pStyle w:val="Normal"/>
        <w:ind w:firstLine="708"/>
        <w:jc w:val="both"/>
        <w:rPr>
          <w:rFonts w:cs="Calibri" w:cstheme="minorHAnsi"/>
        </w:rPr>
      </w:pPr>
      <w:r>
        <w:rPr>
          <w:rFonts w:cs="Calibri" w:cstheme="minorHAnsi"/>
        </w:rPr>
        <w:t xml:space="preserve">Une rente minimale sera mise en place selon l’exigence de la FINMA.  </w:t>
      </w:r>
    </w:p>
    <w:p>
      <w:pPr>
        <w:pStyle w:val="Normal"/>
        <w:ind w:firstLine="708"/>
        <w:jc w:val="both"/>
        <w:rPr>
          <w:rFonts w:cs="Calibri" w:cstheme="minorHAnsi"/>
        </w:rPr>
      </w:pPr>
      <w:r>
        <w:rPr>
          <w:rFonts w:cs="Calibri" w:cstheme="minorHAnsi"/>
        </w:rPr>
        <w:t>Frais de mutation à la charge de l’acheteur.</w:t>
      </w:r>
    </w:p>
    <w:p>
      <w:pPr>
        <w:pStyle w:val="Normal"/>
        <w:spacing w:before="0" w:after="0"/>
        <w:ind w:firstLine="708"/>
        <w:jc w:val="both"/>
        <w:rPr/>
      </w:pPr>
      <w:r>
        <w:rPr/>
      </w:r>
    </w:p>
    <w:p>
      <w:pPr>
        <w:pStyle w:val="Normal"/>
        <w:jc w:val="both"/>
        <w:rPr>
          <w:rFonts w:cs="Calibri" w:cstheme="minorHAnsi"/>
        </w:rPr>
      </w:pPr>
      <w:r>
        <w:rPr>
          <w:rFonts w:cs="Calibri" w:cstheme="minorHAnsi"/>
        </w:rPr>
        <w:t>Avec nos meilleures salutations,</w:t>
      </w:r>
    </w:p>
    <w:p>
      <w:pPr>
        <w:pStyle w:val="Normal"/>
        <w:rPr>
          <w:rFonts w:cs="Calibri" w:cstheme="minorHAnsi"/>
        </w:rPr>
      </w:pPr>
      <w:r>
        <w:rPr>
          <w:rFonts w:cs="Calibri" w:cstheme="minorHAnsi"/>
        </w:rPr>
        <w:t xml:space="preserve">Viage SA         </w:t>
        <w:tab/>
        <w:tab/>
        <w:tab/>
        <w:tab/>
        <w:tab/>
        <w:t>Fait à, le :</w:t>
      </w:r>
    </w:p>
    <w:p>
      <w:pPr>
        <w:pStyle w:val="Normal"/>
        <w:rPr>
          <w:rFonts w:cs="Calibri" w:cstheme="minorHAnsi"/>
        </w:rPr>
      </w:pPr>
      <w:r>
        <w:rPr>
          <w:rFonts w:cs="Calibri" w:cstheme="minorHAnsi"/>
        </w:rPr>
        <w:t>(avis sans signature)</w:t>
        <w:tab/>
        <w:tab/>
        <w:tab/>
        <w:tab/>
        <w:t>Signature du/des client(s) :</w:t>
      </w:r>
    </w:p>
    <w:p>
      <w:pPr>
        <w:pStyle w:val="Normal"/>
        <w:spacing w:before="0" w:after="103"/>
        <w:jc w:val="left"/>
        <w:rPr>
          <w:sz w:val="16"/>
          <w:szCs w:val="16"/>
        </w:rPr>
      </w:pPr>
      <w:r>
        <w:rPr>
          <w:sz w:val="16"/>
          <w:szCs w:val="16"/>
        </w:rPr>
      </w:r>
    </w:p>
    <w:p>
      <w:pPr>
        <w:pStyle w:val="Normal"/>
        <w:spacing w:lineRule="auto" w:line="240" w:before="0" w:after="0"/>
        <w:jc w:val="left"/>
        <w:rPr/>
      </w:pPr>
      <w:r>
        <w:rPr>
          <w:rFonts w:cs="Calibri" w:cstheme="minorHAnsi"/>
          <w:sz w:val="16"/>
          <w:szCs w:val="16"/>
        </w:rPr>
        <w:t>*Cette estimation n’est pas contractuelle. Elle est sous réserve d’une estimation officielle du bien et d’une acceptation du Conseil d’Administration de Viager Swiss SA associé indéfiniment responsable de Viager Swiss &amp; Cie SCmPC.</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134"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charset w:val="01"/>
    <w:family w:val="roman"/>
    <w:pitch w:val="variable"/>
  </w:font>
  <w:font w:name="Branding Pro">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9879568"/>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t xml:space="preserve">Viage SA I Rue des Pierres-du-Niton 17 I CH-1207 Genève I T +41 22 314 53 33 I </w:t>
    </w:r>
    <w:hyperlink r:id="rId1">
      <w:r>
        <w:rPr>
          <w:rStyle w:val="Hyperlink"/>
          <w:rFonts w:cs="Calibri" w:ascii="Branding Pro" w:hAnsi="Branding Pro"/>
          <w:color w:themeColor="background1" w:themeShade="80" w:val="808080"/>
          <w:sz w:val="18"/>
          <w:szCs w:val="18"/>
        </w:rPr>
        <w:t>info@viage.ch</w:t>
      </w:r>
    </w:hyperlink>
    <w:r>
      <w:rPr>
        <w:rFonts w:cs="Calibri" w:ascii="Branding Pro" w:hAnsi="Branding Pro"/>
        <w:color w:themeColor="background1" w:themeShade="80" w:val="808080"/>
        <w:sz w:val="18"/>
        <w:szCs w:val="18"/>
      </w:rPr>
      <w:t xml:space="preserve"> I www.viage.ch</w:t>
    </w:r>
  </w:p>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t xml:space="preserve">Viage SA I Rue des Pierres-du-Niton 17 I CH-1207 Genève I T +41 22 314 53 33 I </w:t>
    </w:r>
    <w:hyperlink r:id="rId1">
      <w:r>
        <w:rPr>
          <w:rStyle w:val="Hyperlink"/>
          <w:rFonts w:cs="Calibri" w:ascii="Branding Pro" w:hAnsi="Branding Pro"/>
          <w:color w:themeColor="background1" w:themeShade="80" w:val="808080"/>
          <w:sz w:val="18"/>
          <w:szCs w:val="18"/>
        </w:rPr>
        <w:t>info@viage.ch</w:t>
      </w:r>
    </w:hyperlink>
    <w:r>
      <w:rPr>
        <w:rFonts w:cs="Calibri" w:ascii="Branding Pro" w:hAnsi="Branding Pro"/>
        <w:color w:themeColor="background1" w:themeShade="80" w:val="808080"/>
        <w:sz w:val="18"/>
        <w:szCs w:val="18"/>
      </w:rPr>
      <w:t xml:space="preserve"> I www.viage.ch</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86560" cy="10287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rFonts w:ascii="Lato" w:hAnsi="Lato"/>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lvlOverride w:ilvl="0">
      <w:startOverride w:val="1"/>
    </w:lvlOverride>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num>
  <w:num w:numId="51">
    <w:abstractNumId w:val="4"/>
  </w:num>
  <w:num w:numId="52">
    <w:abstractNumId w:val="4"/>
    <w:lvlOverride w:ilvl="0">
      <w:startOverride w:val="1"/>
    </w:lvlOverride>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qFormat/>
    <w:rsid w:val="00e21230"/>
    <w:pPr>
      <w:keepNext w:val="true"/>
      <w:keepLines/>
      <w:numPr>
        <w:ilvl w:val="0"/>
        <w:numId w:val="1"/>
      </w:numPr>
      <w:tabs>
        <w:tab w:val="clear" w:pos="708"/>
        <w:tab w:val="left" w:pos="851" w:leader="none"/>
      </w:tabs>
      <w:spacing w:lineRule="auto" w:line="240" w:before="480" w:after="240"/>
      <w:ind w:hanging="851" w:left="851"/>
      <w:outlineLvl w:val="0"/>
    </w:pPr>
    <w:rPr>
      <w:rFonts w:ascii="Lato" w:hAnsi="Lato" w:eastAsia="Times New Roman" w:cs="Times New Roman"/>
      <w:bCs/>
      <w:caps/>
      <w:color w:val="006888"/>
      <w:kern w:val="2"/>
      <w:sz w:val="24"/>
      <w:szCs w:val="20"/>
      <w:lang w:val="fr-FR"/>
    </w:rPr>
  </w:style>
  <w:style w:type="paragraph" w:styleId="Heading2">
    <w:name w:val="Heading 2"/>
    <w:basedOn w:val="Normal"/>
    <w:next w:val="Normal"/>
    <w:link w:val="Titre2Car"/>
    <w:qFormat/>
    <w:rsid w:val="00e21230"/>
    <w:pPr>
      <w:numPr>
        <w:ilvl w:val="1"/>
        <w:numId w:val="1"/>
      </w:numPr>
      <w:tabs>
        <w:tab w:val="clear" w:pos="708"/>
        <w:tab w:val="left" w:pos="851" w:leader="none"/>
      </w:tabs>
      <w:spacing w:lineRule="auto" w:line="240" w:before="0" w:after="200"/>
      <w:ind w:hanging="851" w:left="851"/>
      <w:jc w:val="both"/>
      <w:outlineLvl w:val="1"/>
    </w:pPr>
    <w:rPr>
      <w:rFonts w:ascii="Lato" w:hAnsi="Lato" w:eastAsia="Times New Roman" w:cs="Arial"/>
      <w:bCs/>
      <w:sz w:val="20"/>
      <w:szCs w:val="24"/>
      <w:lang w:val="fr-FR" w:eastAsia="fr-FR"/>
    </w:rPr>
  </w:style>
  <w:style w:type="paragraph" w:styleId="Heading3">
    <w:name w:val="Heading 3"/>
    <w:basedOn w:val="Normal"/>
    <w:next w:val="Normal"/>
    <w:link w:val="Titre3Car"/>
    <w:qFormat/>
    <w:rsid w:val="00e21230"/>
    <w:pPr>
      <w:keepNext w:val="true"/>
      <w:numPr>
        <w:ilvl w:val="2"/>
        <w:numId w:val="1"/>
      </w:numPr>
      <w:spacing w:lineRule="auto" w:line="240" w:before="0" w:after="0"/>
      <w:jc w:val="both"/>
      <w:outlineLvl w:val="2"/>
    </w:pPr>
    <w:rPr>
      <w:rFonts w:ascii="Arial" w:hAnsi="Arial" w:eastAsia="Times New Roman" w:cs="Arial"/>
      <w:sz w:val="20"/>
      <w:szCs w:val="24"/>
      <w:u w:val="single"/>
      <w:lang w:val="fr-FR" w:eastAsia="fr-FR"/>
    </w:rPr>
  </w:style>
  <w:style w:type="paragraph" w:styleId="Heading4">
    <w:name w:val="Heading 4"/>
    <w:basedOn w:val="Normal"/>
    <w:next w:val="Normal"/>
    <w:link w:val="Titre4Car"/>
    <w:qFormat/>
    <w:rsid w:val="00e21230"/>
    <w:pPr>
      <w:keepNext w:val="true"/>
      <w:numPr>
        <w:ilvl w:val="3"/>
        <w:numId w:val="1"/>
      </w:numPr>
      <w:tabs>
        <w:tab w:val="clear" w:pos="708"/>
        <w:tab w:val="left" w:pos="5103" w:leader="none"/>
        <w:tab w:val="left" w:pos="5580" w:leader="none"/>
      </w:tabs>
      <w:spacing w:lineRule="auto" w:line="240" w:before="0" w:after="0"/>
      <w:jc w:val="both"/>
      <w:outlineLvl w:val="3"/>
    </w:pPr>
    <w:rPr>
      <w:rFonts w:ascii="Arial" w:hAnsi="Arial" w:eastAsia="Times New Roman" w:cs="Arial"/>
      <w:b/>
      <w:bCs/>
      <w:sz w:val="20"/>
      <w:szCs w:val="24"/>
      <w:lang w:val="fr-FR" w:eastAsia="fr-FR"/>
    </w:rPr>
  </w:style>
  <w:style w:type="paragraph" w:styleId="Heading5">
    <w:name w:val="Heading 5"/>
    <w:basedOn w:val="Normal"/>
    <w:next w:val="Normal"/>
    <w:link w:val="Titre5Car"/>
    <w:uiPriority w:val="9"/>
    <w:qFormat/>
    <w:rsid w:val="00e21230"/>
    <w:pPr>
      <w:numPr>
        <w:ilvl w:val="4"/>
        <w:numId w:val="1"/>
      </w:numPr>
      <w:spacing w:lineRule="auto" w:line="240" w:before="240" w:after="60"/>
      <w:jc w:val="both"/>
      <w:outlineLvl w:val="4"/>
    </w:pPr>
    <w:rPr>
      <w:rFonts w:ascii="Cambria" w:hAnsi="Cambria" w:eastAsia="Times New Roman" w:cs="Times New Roman"/>
      <w:b/>
      <w:bCs/>
      <w:i/>
      <w:iCs/>
      <w:sz w:val="26"/>
      <w:szCs w:val="26"/>
      <w:lang w:val="fr-FR" w:eastAsia="fr-FR"/>
    </w:rPr>
  </w:style>
  <w:style w:type="paragraph" w:styleId="Heading6">
    <w:name w:val="Heading 6"/>
    <w:basedOn w:val="Normal"/>
    <w:next w:val="Normal"/>
    <w:link w:val="Titre6Car"/>
    <w:uiPriority w:val="9"/>
    <w:semiHidden/>
    <w:unhideWhenUsed/>
    <w:qFormat/>
    <w:rsid w:val="00e21230"/>
    <w:pPr>
      <w:keepNext w:val="true"/>
      <w:keepLines/>
      <w:numPr>
        <w:ilvl w:val="5"/>
        <w:numId w:val="1"/>
      </w:numPr>
      <w:spacing w:lineRule="auto" w:line="240" w:before="200" w:after="0"/>
      <w:jc w:val="both"/>
      <w:outlineLvl w:val="5"/>
    </w:pPr>
    <w:rPr>
      <w:rFonts w:ascii="Cambria" w:hAnsi="Cambria" w:eastAsia="Times New Roman" w:cs="Times New Roman"/>
      <w:i/>
      <w:iCs/>
      <w:color w:val="243F60"/>
      <w:sz w:val="20"/>
      <w:szCs w:val="24"/>
      <w:lang w:val="fr-FR" w:eastAsia="fr-FR"/>
    </w:rPr>
  </w:style>
  <w:style w:type="paragraph" w:styleId="Heading7">
    <w:name w:val="Heading 7"/>
    <w:basedOn w:val="Normal"/>
    <w:next w:val="Normal"/>
    <w:link w:val="Titre7Car"/>
    <w:uiPriority w:val="9"/>
    <w:semiHidden/>
    <w:unhideWhenUsed/>
    <w:qFormat/>
    <w:rsid w:val="00e21230"/>
    <w:pPr>
      <w:keepNext w:val="true"/>
      <w:keepLines/>
      <w:numPr>
        <w:ilvl w:val="6"/>
        <w:numId w:val="1"/>
      </w:numPr>
      <w:spacing w:lineRule="auto" w:line="240" w:before="200" w:after="0"/>
      <w:jc w:val="both"/>
      <w:outlineLvl w:val="6"/>
    </w:pPr>
    <w:rPr>
      <w:rFonts w:ascii="Cambria" w:hAnsi="Cambria" w:eastAsia="Times New Roman" w:cs="Times New Roman"/>
      <w:i/>
      <w:iCs/>
      <w:color w:val="404040"/>
      <w:sz w:val="20"/>
      <w:szCs w:val="24"/>
      <w:lang w:val="fr-FR" w:eastAsia="fr-FR"/>
    </w:rPr>
  </w:style>
  <w:style w:type="paragraph" w:styleId="Heading8">
    <w:name w:val="Heading 8"/>
    <w:basedOn w:val="Normal"/>
    <w:next w:val="Normal"/>
    <w:link w:val="Titre8Car"/>
    <w:uiPriority w:val="9"/>
    <w:semiHidden/>
    <w:unhideWhenUsed/>
    <w:qFormat/>
    <w:rsid w:val="00e21230"/>
    <w:pPr>
      <w:keepNext w:val="true"/>
      <w:keepLines/>
      <w:numPr>
        <w:ilvl w:val="7"/>
        <w:numId w:val="1"/>
      </w:numPr>
      <w:spacing w:lineRule="auto" w:line="240" w:before="200" w:after="0"/>
      <w:jc w:val="both"/>
      <w:outlineLvl w:val="7"/>
    </w:pPr>
    <w:rPr>
      <w:rFonts w:ascii="Cambria" w:hAnsi="Cambria" w:eastAsia="Times New Roman" w:cs="Times New Roman"/>
      <w:color w:val="404040"/>
      <w:sz w:val="20"/>
      <w:szCs w:val="20"/>
      <w:lang w:val="fr-FR" w:eastAsia="fr-FR"/>
    </w:rPr>
  </w:style>
  <w:style w:type="paragraph" w:styleId="Heading9">
    <w:name w:val="Heading 9"/>
    <w:basedOn w:val="Normal"/>
    <w:next w:val="Normal"/>
    <w:link w:val="Titre9Car"/>
    <w:uiPriority w:val="9"/>
    <w:semiHidden/>
    <w:unhideWhenUsed/>
    <w:qFormat/>
    <w:rsid w:val="00e21230"/>
    <w:pPr>
      <w:keepNext w:val="true"/>
      <w:keepLines/>
      <w:numPr>
        <w:ilvl w:val="8"/>
        <w:numId w:val="1"/>
      </w:numPr>
      <w:spacing w:lineRule="auto" w:line="240" w:before="200" w:after="0"/>
      <w:jc w:val="both"/>
      <w:outlineLvl w:val="8"/>
    </w:pPr>
    <w:rPr>
      <w:rFonts w:ascii="Cambria" w:hAnsi="Cambria" w:eastAsia="Times New Roman" w:cs="Times New Roman"/>
      <w:i/>
      <w:iCs/>
      <w:color w:val="404040"/>
      <w:sz w:val="20"/>
      <w:szCs w:val="20"/>
      <w:lang w:val="fr-FR"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046575"/>
    <w:rPr/>
  </w:style>
  <w:style w:type="character" w:styleId="PieddepageCar" w:customStyle="1">
    <w:name w:val="Pied de page Car"/>
    <w:basedOn w:val="DefaultParagraphFont"/>
    <w:link w:val="Footer"/>
    <w:uiPriority w:val="99"/>
    <w:qFormat/>
    <w:rsid w:val="00046575"/>
    <w:rPr/>
  </w:style>
  <w:style w:type="character" w:styleId="Hyperlink">
    <w:name w:val="Hyperlink"/>
    <w:basedOn w:val="DefaultParagraphFont"/>
    <w:uiPriority w:val="99"/>
    <w:unhideWhenUsed/>
    <w:rsid w:val="000d7418"/>
    <w:rPr>
      <w:color w:themeColor="hyperlink" w:val="0563C1"/>
      <w:u w:val="single"/>
    </w:rPr>
  </w:style>
  <w:style w:type="character" w:styleId="Titre1Car" w:customStyle="1">
    <w:name w:val="Titre 1 Car"/>
    <w:basedOn w:val="DefaultParagraphFont"/>
    <w:link w:val="Heading1"/>
    <w:qFormat/>
    <w:rsid w:val="00e21230"/>
    <w:rPr>
      <w:rFonts w:ascii="Lato" w:hAnsi="Lato" w:eastAsia="Times New Roman" w:cs="Times New Roman"/>
      <w:bCs/>
      <w:caps/>
      <w:color w:val="006888"/>
      <w:kern w:val="2"/>
      <w:sz w:val="24"/>
      <w:szCs w:val="20"/>
      <w:lang w:val="fr-FR"/>
    </w:rPr>
  </w:style>
  <w:style w:type="character" w:styleId="Titre2Car" w:customStyle="1">
    <w:name w:val="Titre 2 Car"/>
    <w:basedOn w:val="DefaultParagraphFont"/>
    <w:link w:val="Heading2"/>
    <w:qFormat/>
    <w:rsid w:val="00e21230"/>
    <w:rPr>
      <w:rFonts w:ascii="Lato" w:hAnsi="Lato" w:eastAsia="Times New Roman" w:cs="Arial"/>
      <w:bCs/>
      <w:sz w:val="20"/>
      <w:szCs w:val="24"/>
      <w:lang w:val="fr-FR" w:eastAsia="fr-FR"/>
    </w:rPr>
  </w:style>
  <w:style w:type="character" w:styleId="Titre3Car" w:customStyle="1">
    <w:name w:val="Titre 3 Car"/>
    <w:basedOn w:val="DefaultParagraphFont"/>
    <w:link w:val="Heading3"/>
    <w:qFormat/>
    <w:rsid w:val="00e21230"/>
    <w:rPr>
      <w:rFonts w:ascii="Arial" w:hAnsi="Arial" w:eastAsia="Times New Roman" w:cs="Arial"/>
      <w:sz w:val="20"/>
      <w:szCs w:val="24"/>
      <w:u w:val="single"/>
      <w:lang w:val="fr-FR" w:eastAsia="fr-FR"/>
    </w:rPr>
  </w:style>
  <w:style w:type="character" w:styleId="Titre4Car" w:customStyle="1">
    <w:name w:val="Titre 4 Car"/>
    <w:basedOn w:val="DefaultParagraphFont"/>
    <w:link w:val="Heading4"/>
    <w:qFormat/>
    <w:rsid w:val="00e21230"/>
    <w:rPr>
      <w:rFonts w:ascii="Arial" w:hAnsi="Arial" w:eastAsia="Times New Roman" w:cs="Arial"/>
      <w:b/>
      <w:bCs/>
      <w:sz w:val="20"/>
      <w:szCs w:val="24"/>
      <w:lang w:val="fr-FR" w:eastAsia="fr-FR"/>
    </w:rPr>
  </w:style>
  <w:style w:type="character" w:styleId="Titre5Car" w:customStyle="1">
    <w:name w:val="Titre 5 Car"/>
    <w:basedOn w:val="DefaultParagraphFont"/>
    <w:link w:val="Heading5"/>
    <w:uiPriority w:val="9"/>
    <w:qFormat/>
    <w:rsid w:val="00e21230"/>
    <w:rPr>
      <w:rFonts w:ascii="Cambria" w:hAnsi="Cambria" w:eastAsia="Times New Roman" w:cs="Times New Roman"/>
      <w:b/>
      <w:bCs/>
      <w:i/>
      <w:iCs/>
      <w:sz w:val="26"/>
      <w:szCs w:val="26"/>
      <w:lang w:val="fr-FR" w:eastAsia="fr-FR"/>
    </w:rPr>
  </w:style>
  <w:style w:type="character" w:styleId="Titre6Car" w:customStyle="1">
    <w:name w:val="Titre 6 Car"/>
    <w:basedOn w:val="DefaultParagraphFont"/>
    <w:link w:val="Heading6"/>
    <w:uiPriority w:val="9"/>
    <w:semiHidden/>
    <w:qFormat/>
    <w:rsid w:val="00e21230"/>
    <w:rPr>
      <w:rFonts w:ascii="Cambria" w:hAnsi="Cambria" w:eastAsia="Times New Roman" w:cs="Times New Roman"/>
      <w:i/>
      <w:iCs/>
      <w:color w:val="243F60"/>
      <w:sz w:val="20"/>
      <w:szCs w:val="24"/>
      <w:lang w:val="fr-FR" w:eastAsia="fr-FR"/>
    </w:rPr>
  </w:style>
  <w:style w:type="character" w:styleId="Titre7Car" w:customStyle="1">
    <w:name w:val="Titre 7 Car"/>
    <w:basedOn w:val="DefaultParagraphFont"/>
    <w:link w:val="Heading7"/>
    <w:uiPriority w:val="9"/>
    <w:semiHidden/>
    <w:qFormat/>
    <w:rsid w:val="00e21230"/>
    <w:rPr>
      <w:rFonts w:ascii="Cambria" w:hAnsi="Cambria" w:eastAsia="Times New Roman" w:cs="Times New Roman"/>
      <w:i/>
      <w:iCs/>
      <w:color w:val="404040"/>
      <w:sz w:val="20"/>
      <w:szCs w:val="24"/>
      <w:lang w:val="fr-FR" w:eastAsia="fr-FR"/>
    </w:rPr>
  </w:style>
  <w:style w:type="character" w:styleId="Titre8Car" w:customStyle="1">
    <w:name w:val="Titre 8 Car"/>
    <w:basedOn w:val="DefaultParagraphFont"/>
    <w:link w:val="Heading8"/>
    <w:uiPriority w:val="9"/>
    <w:semiHidden/>
    <w:qFormat/>
    <w:rsid w:val="00e21230"/>
    <w:rPr>
      <w:rFonts w:ascii="Cambria" w:hAnsi="Cambria" w:eastAsia="Times New Roman" w:cs="Times New Roman"/>
      <w:color w:val="404040"/>
      <w:sz w:val="20"/>
      <w:szCs w:val="20"/>
      <w:lang w:val="fr-FR" w:eastAsia="fr-FR"/>
    </w:rPr>
  </w:style>
  <w:style w:type="character" w:styleId="Titre9Car" w:customStyle="1">
    <w:name w:val="Titre 9 Car"/>
    <w:basedOn w:val="DefaultParagraphFont"/>
    <w:link w:val="Heading9"/>
    <w:uiPriority w:val="9"/>
    <w:semiHidden/>
    <w:qFormat/>
    <w:rsid w:val="00e21230"/>
    <w:rPr>
      <w:rFonts w:ascii="Cambria" w:hAnsi="Cambria" w:eastAsia="Times New Roman" w:cs="Times New Roman"/>
      <w:i/>
      <w:iCs/>
      <w:color w:val="404040"/>
      <w:sz w:val="20"/>
      <w:szCs w:val="20"/>
      <w:lang w:val="fr-FR" w:eastAsia="fr-F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04657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575"/>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45643"/>
    <w:pPr>
      <w:spacing w:before="0" w:after="160"/>
      <w:ind w:left="720"/>
      <w:contextualSpacing/>
    </w:pPr>
    <w:rPr/>
  </w:style>
  <w:style w:type="paragraph" w:styleId="Rfrence" w:customStyle="1">
    <w:name w:val="Référence"/>
    <w:basedOn w:val="Normal"/>
    <w:qFormat/>
    <w:rsid w:val="00e21230"/>
    <w:pPr>
      <w:spacing w:lineRule="auto" w:line="276" w:before="120" w:after="240"/>
      <w:ind w:left="851" w:right="-2"/>
    </w:pPr>
    <w:rPr>
      <w:rFonts w:ascii="Lato" w:hAnsi="Lato" w:eastAsia="Calibri" w:cs="Times New Roman"/>
      <w:sz w:val="20"/>
      <w:szCs w:val="20"/>
    </w:rPr>
  </w:style>
  <w:style w:type="paragraph" w:styleId="Lois" w:customStyle="1">
    <w:name w:val="Lois"/>
    <w:basedOn w:val="Normal"/>
    <w:qFormat/>
    <w:rsid w:val="00e21230"/>
    <w:pPr>
      <w:tabs>
        <w:tab w:val="clear" w:pos="708"/>
        <w:tab w:val="left" w:pos="1418" w:leader="none"/>
      </w:tabs>
      <w:spacing w:lineRule="auto" w:line="276" w:before="0" w:after="240"/>
      <w:ind w:hanging="567" w:left="1418" w:right="-2"/>
      <w:jc w:val="both"/>
    </w:pPr>
    <w:rPr>
      <w:rFonts w:ascii="Lato" w:hAnsi="Lato" w:eastAsia="Calibri" w:cs="Times New Roman"/>
      <w:color w:themeColor="text1" w:val="000000"/>
      <w:sz w:val="20"/>
      <w:szCs w:val="20"/>
    </w:rPr>
  </w:style>
  <w:style w:type="paragraph" w:styleId="Puces" w:customStyle="1">
    <w:name w:val="Puces"/>
    <w:basedOn w:val="Normal"/>
    <w:qFormat/>
    <w:rsid w:val="00e21230"/>
    <w:pPr>
      <w:numPr>
        <w:ilvl w:val="0"/>
        <w:numId w:val="4"/>
      </w:numPr>
      <w:tabs>
        <w:tab w:val="clear" w:pos="708"/>
        <w:tab w:val="left" w:pos="1418" w:leader="none"/>
      </w:tabs>
      <w:spacing w:lineRule="auto" w:line="240" w:before="0" w:after="200"/>
      <w:ind w:hanging="567" w:left="1418"/>
      <w:contextualSpacing/>
      <w:jc w:val="both"/>
    </w:pPr>
    <w:rPr>
      <w:rFonts w:ascii="Lato" w:hAnsi="Lato" w:eastAsia="Calibri" w:cs="Times New Roman"/>
      <w:sz w:val="20"/>
      <w:szCs w:val="20"/>
    </w:rPr>
  </w:style>
  <w:style w:type="paragraph" w:styleId="Sparation" w:customStyle="1">
    <w:name w:val="Séparation"/>
    <w:basedOn w:val="Heading2"/>
    <w:qFormat/>
    <w:rsid w:val="00e21230"/>
    <w:pPr>
      <w:numPr>
        <w:ilvl w:val="0"/>
        <w:numId w:val="0"/>
      </w:numPr>
      <w:ind w:hanging="851" w:left="851"/>
    </w:pPr>
    <w:rPr>
      <w:i/>
      <w:iCs/>
      <w:color w:val="00688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info@viage.ch" TargetMode="External"/>
</Relationships>
</file>

<file path=word/_rels/footer3.xml.rels><?xml version="1.0" encoding="UTF-8"?>
<Relationships xmlns="http://schemas.openxmlformats.org/package/2006/relationships"><Relationship Id="rId1" Type="http://schemas.openxmlformats.org/officeDocument/2006/relationships/hyperlink" Target="mailto:info@viage.ch" TargetMode="Externa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367</TotalTime>
  <Application>LibreOffice/24.2.6.2$Linux_X86_64 LibreOffice_project/420$Build-2</Application>
  <AppVersion>15.0000</AppVersion>
  <Pages>8</Pages>
  <Words>1751</Words>
  <Characters>9152</Characters>
  <CharactersWithSpaces>10698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2024-09-11T14:12:00Z</dcterms:created>
  <dc:creator>Laurent Pittet</dc:creator>
  <dc:description/>
  <dc:language>en-US</dc:language>
  <cp:lastModifiedBy/>
  <cp:lastPrinted>2024-09-11T14:27:00Z</cp:lastPrinted>
  <dcterms:modified xsi:type="dcterms:W3CDTF">2024-09-17T18:03:20Z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