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8359" w14:textId="54E276C2" w:rsidR="009E7A23" w:rsidRPr="009E7A23" w:rsidRDefault="009E7A23">
      <w:pPr>
        <w:rPr>
          <w:u w:val="single"/>
        </w:rPr>
      </w:pPr>
      <w:r w:rsidRPr="009E7A23">
        <w:rPr>
          <w:u w:val="single"/>
        </w:rPr>
        <w:t>EUCP convection permitting simulations for Europe - experiment details</w:t>
      </w:r>
    </w:p>
    <w:p w14:paraId="7E6A69D6" w14:textId="18754183" w:rsidR="009E7A23" w:rsidRDefault="009E7A23"/>
    <w:p w14:paraId="655F0279" w14:textId="380FC741" w:rsidR="009E7A23" w:rsidRDefault="009E7A23">
      <w:r>
        <w:rPr>
          <w:rFonts w:ascii="Calibri" w:eastAsia="Calibri" w:hAnsi="Calibri" w:cs="Calibri"/>
          <w:noProof/>
          <w:sz w:val="22"/>
          <w:szCs w:val="22"/>
        </w:rPr>
        <w:drawing>
          <wp:inline distT="114300" distB="114300" distL="114300" distR="114300" wp14:anchorId="505BDDBB" wp14:editId="6F5635F5">
            <wp:extent cx="5731200" cy="6388100"/>
            <wp:effectExtent l="0" t="0" r="0" b="0"/>
            <wp:docPr id="32" name="image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8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59AE4" w14:textId="77777777" w:rsidR="009E7A23" w:rsidRDefault="009E7A23" w:rsidP="009E7A2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color w:val="1F497D"/>
          <w:sz w:val="22"/>
          <w:szCs w:val="22"/>
        </w:rPr>
      </w:pPr>
      <w:r>
        <w:rPr>
          <w:i/>
          <w:color w:val="1F497D"/>
          <w:sz w:val="18"/>
          <w:szCs w:val="18"/>
        </w:rPr>
        <w:t>Figure 1: Set of domains used for CPM simulations. In addition to the sub-continental domains covered by the modelling groups, the dashed box indicates the Reduced Europe domain (REU-3) used by ETH and UKMO.</w:t>
      </w:r>
    </w:p>
    <w:p w14:paraId="4C02BF47" w14:textId="2070DA57" w:rsidR="009E7A23" w:rsidRDefault="009E7A23"/>
    <w:p w14:paraId="24750364" w14:textId="26F42739" w:rsidR="009E7A23" w:rsidRDefault="009E7A23"/>
    <w:p w14:paraId="7F917C10" w14:textId="0B516129" w:rsidR="009E7A23" w:rsidRDefault="009E7A23"/>
    <w:p w14:paraId="4C09125F" w14:textId="77777777" w:rsidR="009E7A23" w:rsidRDefault="009E7A23"/>
    <w:p w14:paraId="38E5B6BA" w14:textId="1C31AC75" w:rsidR="009E7A23" w:rsidRPr="009E7A23" w:rsidRDefault="009E7A23">
      <w:pPr>
        <w:rPr>
          <w:b/>
          <w:bCs/>
          <w:i/>
          <w:iCs/>
          <w:sz w:val="20"/>
          <w:szCs w:val="20"/>
          <w:u w:val="single"/>
        </w:rPr>
      </w:pPr>
      <w:r w:rsidRPr="009E7A23">
        <w:rPr>
          <w:b/>
          <w:bCs/>
          <w:i/>
          <w:iCs/>
          <w:sz w:val="20"/>
          <w:szCs w:val="20"/>
          <w:u w:val="single"/>
        </w:rPr>
        <w:lastRenderedPageBreak/>
        <w:t>Table 1: Experiment Time periods</w:t>
      </w:r>
    </w:p>
    <w:tbl>
      <w:tblPr>
        <w:tblW w:w="8670" w:type="dxa"/>
        <w:tblCellSpacing w:w="15" w:type="dxa"/>
        <w:tblLook w:val="04A0" w:firstRow="1" w:lastRow="0" w:firstColumn="1" w:lastColumn="0" w:noHBand="0" w:noVBand="1"/>
      </w:tblPr>
      <w:tblGrid>
        <w:gridCol w:w="6148"/>
        <w:gridCol w:w="2522"/>
      </w:tblGrid>
      <w:tr w:rsidR="00AE664B" w:rsidRPr="009E7A23" w14:paraId="03153CF6" w14:textId="77777777" w:rsidTr="00AE664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966BF8" w14:textId="77777777" w:rsidR="00AE664B" w:rsidRPr="009E7A23" w:rsidRDefault="00AE664B" w:rsidP="009E7A23">
            <w:pPr>
              <w:spacing w:line="240" w:lineRule="auto"/>
              <w:rPr>
                <w:rFonts w:ascii="Calibri" w:eastAsia="Times New Roman" w:hAnsi="Calibri" w:cs="Calibri"/>
                <w:color w:val="auto"/>
                <w:sz w:val="20"/>
                <w:szCs w:val="20"/>
              </w:rPr>
            </w:pPr>
            <w:r w:rsidRPr="009E7A23">
              <w:rPr>
                <w:rFonts w:eastAsia="Times New Roman"/>
                <w:b/>
                <w:bCs/>
                <w:sz w:val="20"/>
                <w:szCs w:val="20"/>
              </w:rPr>
              <w:t>SIMULATION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B8D021" w14:textId="77777777" w:rsidR="00AE664B" w:rsidRPr="009E7A23" w:rsidRDefault="00AE664B" w:rsidP="009E7A23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9E7A23">
              <w:rPr>
                <w:rFonts w:eastAsia="Times New Roman"/>
                <w:b/>
                <w:bCs/>
                <w:sz w:val="20"/>
                <w:szCs w:val="20"/>
              </w:rPr>
              <w:t>PERIOD**</w:t>
            </w:r>
          </w:p>
        </w:tc>
      </w:tr>
      <w:tr w:rsidR="00AE664B" w:rsidRPr="009E7A23" w14:paraId="6640AA34" w14:textId="77777777" w:rsidTr="00AE664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D05AF8" w14:textId="77777777" w:rsidR="00AE664B" w:rsidRPr="009E7A23" w:rsidRDefault="00AE664B" w:rsidP="009E7A23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9E7A23">
              <w:rPr>
                <w:rFonts w:eastAsia="Times New Roman"/>
                <w:sz w:val="20"/>
                <w:szCs w:val="20"/>
              </w:rPr>
              <w:t>Evaluation run (ERA-Interim)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3EBF61" w14:textId="77777777" w:rsidR="00AE664B" w:rsidRPr="009E7A23" w:rsidRDefault="00AE664B" w:rsidP="009E7A23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9E7A23">
              <w:rPr>
                <w:rFonts w:eastAsia="Times New Roman"/>
                <w:sz w:val="20"/>
                <w:szCs w:val="20"/>
              </w:rPr>
              <w:t>1/1/2000 - 31/12/2009</w:t>
            </w:r>
          </w:p>
        </w:tc>
      </w:tr>
      <w:tr w:rsidR="00AE664B" w:rsidRPr="009E7A23" w14:paraId="57C82E8F" w14:textId="77777777" w:rsidTr="00AE664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CE6F0C" w14:textId="77777777" w:rsidR="00AE664B" w:rsidRPr="009E7A23" w:rsidRDefault="00AE664B" w:rsidP="009E7A23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9E7A23">
              <w:rPr>
                <w:rFonts w:eastAsia="Times New Roman"/>
                <w:sz w:val="20"/>
                <w:szCs w:val="20"/>
              </w:rPr>
              <w:t>Historical run (GCM)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86F740" w14:textId="77777777" w:rsidR="00AE664B" w:rsidRPr="009E7A23" w:rsidRDefault="00AE664B" w:rsidP="009E7A23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9E7A23">
              <w:rPr>
                <w:rFonts w:eastAsia="Times New Roman"/>
                <w:sz w:val="20"/>
                <w:szCs w:val="20"/>
              </w:rPr>
              <w:t>1/1/1996 - 31/12/2005</w:t>
            </w:r>
          </w:p>
        </w:tc>
      </w:tr>
      <w:tr w:rsidR="00AE664B" w:rsidRPr="009E7A23" w14:paraId="475366BE" w14:textId="77777777" w:rsidTr="00AE664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AF1BC3" w14:textId="77777777" w:rsidR="00AE664B" w:rsidRPr="009E7A23" w:rsidRDefault="00AE664B" w:rsidP="009E7A23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9E7A23">
              <w:rPr>
                <w:rFonts w:eastAsia="Times New Roman"/>
                <w:sz w:val="20"/>
                <w:szCs w:val="20"/>
              </w:rPr>
              <w:t>Near future run (GCM, RCP8.5)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C8CC54" w14:textId="77777777" w:rsidR="00AE664B" w:rsidRPr="009E7A23" w:rsidRDefault="00AE664B" w:rsidP="009E7A23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  <w:r w:rsidRPr="009E7A23">
              <w:rPr>
                <w:rFonts w:eastAsia="Times New Roman"/>
                <w:sz w:val="20"/>
                <w:szCs w:val="20"/>
              </w:rPr>
              <w:t>1/1/2041 - 31/12/2050</w:t>
            </w:r>
          </w:p>
        </w:tc>
      </w:tr>
      <w:tr w:rsidR="00AE664B" w:rsidRPr="00FB6294" w14:paraId="7BD1CB96" w14:textId="77777777" w:rsidTr="00AE664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951A6" w14:textId="77777777" w:rsidR="00AE664B" w:rsidRPr="00FB6294" w:rsidRDefault="00AE664B" w:rsidP="009E7A23">
            <w:pPr>
              <w:spacing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FB6294">
              <w:rPr>
                <w:rFonts w:eastAsia="Times New Roman"/>
                <w:i/>
                <w:iCs/>
                <w:sz w:val="20"/>
                <w:szCs w:val="20"/>
              </w:rPr>
              <w:t>Optional: End of century future climate (GCM, RCP8.5)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E4A36" w14:textId="77777777" w:rsidR="00AE664B" w:rsidRPr="00FB6294" w:rsidRDefault="00AE664B" w:rsidP="009E7A23">
            <w:pPr>
              <w:spacing w:line="240" w:lineRule="auto"/>
              <w:rPr>
                <w:rFonts w:eastAsia="Times New Roman"/>
                <w:i/>
                <w:iCs/>
                <w:sz w:val="20"/>
                <w:szCs w:val="20"/>
              </w:rPr>
            </w:pPr>
            <w:r w:rsidRPr="00FB6294">
              <w:rPr>
                <w:rFonts w:eastAsia="Times New Roman"/>
                <w:i/>
                <w:iCs/>
                <w:sz w:val="20"/>
                <w:szCs w:val="20"/>
              </w:rPr>
              <w:t>1/1/2090 - 31/12/2099</w:t>
            </w:r>
          </w:p>
        </w:tc>
      </w:tr>
    </w:tbl>
    <w:p w14:paraId="26B0495A" w14:textId="3C546B16" w:rsidR="00122B40" w:rsidRDefault="002D4960" w:rsidP="00AE664B"/>
    <w:p w14:paraId="27A56416" w14:textId="3A1F9949" w:rsidR="009E7A23" w:rsidRPr="009E7A23" w:rsidRDefault="009E7A23" w:rsidP="009E7A23">
      <w:pPr>
        <w:rPr>
          <w:b/>
          <w:bCs/>
          <w:color w:val="auto"/>
          <w:sz w:val="20"/>
          <w:szCs w:val="20"/>
          <w:u w:val="single"/>
        </w:rPr>
      </w:pPr>
      <w:r w:rsidRPr="009E7A23">
        <w:rPr>
          <w:b/>
          <w:bCs/>
          <w:i/>
          <w:color w:val="auto"/>
          <w:sz w:val="20"/>
          <w:szCs w:val="20"/>
          <w:u w:val="single"/>
        </w:rPr>
        <w:t xml:space="preserve">Table 2: </w:t>
      </w:r>
      <w:r w:rsidRPr="009E7A23">
        <w:rPr>
          <w:b/>
          <w:bCs/>
          <w:i/>
          <w:color w:val="auto"/>
          <w:sz w:val="20"/>
          <w:szCs w:val="20"/>
          <w:u w:val="single"/>
        </w:rPr>
        <w:t>Modelling systems used by the participating groups.</w:t>
      </w:r>
    </w:p>
    <w:tbl>
      <w:tblPr>
        <w:tblW w:w="90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1395"/>
        <w:gridCol w:w="660"/>
        <w:gridCol w:w="1395"/>
        <w:gridCol w:w="1545"/>
        <w:gridCol w:w="1920"/>
        <w:gridCol w:w="1080"/>
      </w:tblGrid>
      <w:tr w:rsidR="009E7A23" w14:paraId="38CB2CC0" w14:textId="77777777" w:rsidTr="005C045B">
        <w:trPr>
          <w:jc w:val="center"/>
        </w:trPr>
        <w:tc>
          <w:tcPr>
            <w:tcW w:w="1050" w:type="dxa"/>
          </w:tcPr>
          <w:p w14:paraId="0E906BE2" w14:textId="77777777" w:rsidR="009E7A23" w:rsidRDefault="009E7A23" w:rsidP="005C045B">
            <w:pPr>
              <w:spacing w:before="20" w:after="20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GROUP</w:t>
            </w:r>
          </w:p>
        </w:tc>
        <w:tc>
          <w:tcPr>
            <w:tcW w:w="1395" w:type="dxa"/>
          </w:tcPr>
          <w:p w14:paraId="558763FD" w14:textId="77777777" w:rsidR="009E7A23" w:rsidRDefault="009E7A23" w:rsidP="005C045B">
            <w:pPr>
              <w:spacing w:before="20" w:after="20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CPM</w:t>
            </w:r>
          </w:p>
        </w:tc>
        <w:tc>
          <w:tcPr>
            <w:tcW w:w="660" w:type="dxa"/>
          </w:tcPr>
          <w:p w14:paraId="4613C52A" w14:textId="77777777" w:rsidR="009E7A23" w:rsidRDefault="009E7A23" w:rsidP="005C045B">
            <w:pPr>
              <w:spacing w:before="20" w:after="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dx (km)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B771" w14:textId="77777777" w:rsidR="009E7A23" w:rsidRDefault="009E7A23" w:rsidP="005C045B">
            <w:pPr>
              <w:spacing w:before="20" w:after="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RCM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6C6D" w14:textId="77777777" w:rsidR="009E7A23" w:rsidRDefault="009E7A23" w:rsidP="005C045B">
            <w:pPr>
              <w:spacing w:before="20" w:after="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RCM </w:t>
            </w:r>
            <w:proofErr w:type="spellStart"/>
            <w:r>
              <w:rPr>
                <w:b/>
                <w:sz w:val="21"/>
                <w:szCs w:val="21"/>
              </w:rPr>
              <w:t>domain</w:t>
            </w:r>
            <w:r>
              <w:rPr>
                <w:b/>
                <w:sz w:val="21"/>
                <w:szCs w:val="21"/>
                <w:vertAlign w:val="superscript"/>
              </w:rPr>
              <w:t>a</w:t>
            </w:r>
            <w:proofErr w:type="spellEnd"/>
            <w:r>
              <w:rPr>
                <w:b/>
                <w:sz w:val="21"/>
                <w:szCs w:val="21"/>
              </w:rPr>
              <w:t xml:space="preserve"> / dx (km)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6D89" w14:textId="77777777" w:rsidR="009E7A23" w:rsidRDefault="009E7A23" w:rsidP="005C045B">
            <w:pPr>
              <w:spacing w:before="20" w:after="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GCM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7F5BE" w14:textId="77777777" w:rsidR="009E7A23" w:rsidRDefault="009E7A23" w:rsidP="005C045B">
            <w:pPr>
              <w:spacing w:before="20" w:after="20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CMIPx</w:t>
            </w:r>
            <w:proofErr w:type="spellEnd"/>
          </w:p>
        </w:tc>
      </w:tr>
      <w:tr w:rsidR="009E7A23" w14:paraId="721567F1" w14:textId="77777777" w:rsidTr="005C045B">
        <w:trPr>
          <w:trHeight w:val="160"/>
          <w:jc w:val="center"/>
        </w:trPr>
        <w:tc>
          <w:tcPr>
            <w:tcW w:w="1050" w:type="dxa"/>
          </w:tcPr>
          <w:p w14:paraId="65809A77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CMCC</w:t>
            </w:r>
          </w:p>
        </w:tc>
        <w:tc>
          <w:tcPr>
            <w:tcW w:w="1395" w:type="dxa"/>
          </w:tcPr>
          <w:p w14:paraId="11B2A378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CCLM</w:t>
            </w:r>
          </w:p>
        </w:tc>
        <w:tc>
          <w:tcPr>
            <w:tcW w:w="660" w:type="dxa"/>
          </w:tcPr>
          <w:p w14:paraId="0D35FD13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8A81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CCLM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771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EC/12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2F834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EC-Earth r12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8A7AE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CMIP5</w:t>
            </w:r>
          </w:p>
        </w:tc>
      </w:tr>
      <w:tr w:rsidR="009E7A23" w14:paraId="14E3BD1E" w14:textId="77777777" w:rsidTr="005C045B">
        <w:trPr>
          <w:trHeight w:val="160"/>
          <w:jc w:val="center"/>
        </w:trPr>
        <w:tc>
          <w:tcPr>
            <w:tcW w:w="1050" w:type="dxa"/>
          </w:tcPr>
          <w:p w14:paraId="3A418F6C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CNRM</w:t>
            </w:r>
          </w:p>
        </w:tc>
        <w:tc>
          <w:tcPr>
            <w:tcW w:w="1395" w:type="dxa"/>
          </w:tcPr>
          <w:p w14:paraId="0027FA48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AROME41t1</w:t>
            </w:r>
          </w:p>
        </w:tc>
        <w:tc>
          <w:tcPr>
            <w:tcW w:w="660" w:type="dxa"/>
          </w:tcPr>
          <w:p w14:paraId="18B939AE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6916C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ALADIN63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58978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  <w:vertAlign w:val="superscript"/>
              </w:rPr>
            </w:pPr>
            <w:r>
              <w:rPr>
                <w:color w:val="000000"/>
                <w:sz w:val="21"/>
                <w:szCs w:val="21"/>
              </w:rPr>
              <w:t>EC/12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BD8F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CNRM-CERFACS-CNRM-CM5 r1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D178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CMIP5</w:t>
            </w:r>
          </w:p>
        </w:tc>
      </w:tr>
      <w:tr w:rsidR="009E7A23" w14:paraId="15F57E67" w14:textId="77777777" w:rsidTr="005C045B">
        <w:trPr>
          <w:trHeight w:val="220"/>
          <w:jc w:val="center"/>
        </w:trPr>
        <w:tc>
          <w:tcPr>
            <w:tcW w:w="1050" w:type="dxa"/>
          </w:tcPr>
          <w:p w14:paraId="7FDAD72D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DMI/ SMHI</w:t>
            </w:r>
          </w:p>
        </w:tc>
        <w:tc>
          <w:tcPr>
            <w:tcW w:w="1395" w:type="dxa"/>
          </w:tcPr>
          <w:p w14:paraId="097DCACB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HCLIM38- AROME</w:t>
            </w:r>
          </w:p>
        </w:tc>
        <w:tc>
          <w:tcPr>
            <w:tcW w:w="660" w:type="dxa"/>
          </w:tcPr>
          <w:p w14:paraId="39D98186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B8DC" w14:textId="77777777" w:rsidR="009E7A23" w:rsidRDefault="009E7A23" w:rsidP="005C045B">
            <w:pPr>
              <w:spacing w:before="20" w:after="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HCLIM38- ALADIN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2BF31" w14:textId="77777777" w:rsidR="009E7A23" w:rsidRDefault="009E7A23" w:rsidP="005C045B">
            <w:pPr>
              <w:spacing w:before="20" w:after="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Europe/12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D8A87" w14:textId="77777777" w:rsidR="009E7A23" w:rsidRDefault="009E7A23" w:rsidP="005C045B">
            <w:pPr>
              <w:spacing w:before="20" w:after="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EC-Earth r12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1AB6" w14:textId="77777777" w:rsidR="009E7A23" w:rsidRDefault="009E7A23" w:rsidP="005C045B">
            <w:pPr>
              <w:spacing w:before="20" w:after="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CMIP5</w:t>
            </w:r>
          </w:p>
        </w:tc>
      </w:tr>
      <w:tr w:rsidR="009E7A23" w14:paraId="0318FE5A" w14:textId="77777777" w:rsidTr="005C045B">
        <w:trPr>
          <w:trHeight w:val="160"/>
          <w:jc w:val="center"/>
        </w:trPr>
        <w:tc>
          <w:tcPr>
            <w:tcW w:w="1050" w:type="dxa"/>
          </w:tcPr>
          <w:p w14:paraId="05FEF76F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KNMI</w:t>
            </w:r>
          </w:p>
        </w:tc>
        <w:tc>
          <w:tcPr>
            <w:tcW w:w="1395" w:type="dxa"/>
          </w:tcPr>
          <w:p w14:paraId="216711C7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HCLIM38- AROME</w:t>
            </w:r>
          </w:p>
        </w:tc>
        <w:tc>
          <w:tcPr>
            <w:tcW w:w="660" w:type="dxa"/>
          </w:tcPr>
          <w:p w14:paraId="0A21B878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2.5</w:t>
            </w:r>
          </w:p>
        </w:tc>
        <w:tc>
          <w:tcPr>
            <w:tcW w:w="1395" w:type="dxa"/>
          </w:tcPr>
          <w:p w14:paraId="4AAE7769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RACMO</w:t>
            </w:r>
          </w:p>
        </w:tc>
        <w:tc>
          <w:tcPr>
            <w:tcW w:w="1545" w:type="dxa"/>
          </w:tcPr>
          <w:p w14:paraId="2227CA3E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Europe/12</w:t>
            </w:r>
          </w:p>
        </w:tc>
        <w:tc>
          <w:tcPr>
            <w:tcW w:w="1920" w:type="dxa"/>
          </w:tcPr>
          <w:p w14:paraId="6B8670DB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EC-Earth</w:t>
            </w:r>
          </w:p>
        </w:tc>
        <w:tc>
          <w:tcPr>
            <w:tcW w:w="1080" w:type="dxa"/>
          </w:tcPr>
          <w:p w14:paraId="1FA47493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</w:t>
            </w:r>
          </w:p>
        </w:tc>
      </w:tr>
      <w:tr w:rsidR="009E7A23" w14:paraId="57E01197" w14:textId="77777777" w:rsidTr="005C045B">
        <w:trPr>
          <w:trHeight w:val="140"/>
          <w:jc w:val="center"/>
        </w:trPr>
        <w:tc>
          <w:tcPr>
            <w:tcW w:w="1050" w:type="dxa"/>
          </w:tcPr>
          <w:p w14:paraId="70E27917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ETHZ</w:t>
            </w:r>
          </w:p>
        </w:tc>
        <w:tc>
          <w:tcPr>
            <w:tcW w:w="1395" w:type="dxa"/>
          </w:tcPr>
          <w:p w14:paraId="3B4C629E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CCLM-GPU</w:t>
            </w:r>
          </w:p>
        </w:tc>
        <w:tc>
          <w:tcPr>
            <w:tcW w:w="660" w:type="dxa"/>
          </w:tcPr>
          <w:p w14:paraId="7C700A28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1395" w:type="dxa"/>
          </w:tcPr>
          <w:p w14:paraId="71429AA9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CCLM</w:t>
            </w:r>
          </w:p>
        </w:tc>
        <w:tc>
          <w:tcPr>
            <w:tcW w:w="1545" w:type="dxa"/>
          </w:tcPr>
          <w:p w14:paraId="23344899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Europe/12</w:t>
            </w:r>
          </w:p>
        </w:tc>
        <w:tc>
          <w:tcPr>
            <w:tcW w:w="1920" w:type="dxa"/>
          </w:tcPr>
          <w:p w14:paraId="27D1CB28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MPI-ESM-LR r1</w:t>
            </w:r>
          </w:p>
        </w:tc>
        <w:tc>
          <w:tcPr>
            <w:tcW w:w="1080" w:type="dxa"/>
          </w:tcPr>
          <w:p w14:paraId="366B9280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CMIP5</w:t>
            </w:r>
          </w:p>
        </w:tc>
      </w:tr>
      <w:tr w:rsidR="009E7A23" w14:paraId="37109B08" w14:textId="77777777" w:rsidTr="005C045B">
        <w:trPr>
          <w:trHeight w:val="160"/>
          <w:jc w:val="center"/>
        </w:trPr>
        <w:tc>
          <w:tcPr>
            <w:tcW w:w="1050" w:type="dxa"/>
          </w:tcPr>
          <w:p w14:paraId="4A0FA692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GERICS</w:t>
            </w:r>
          </w:p>
        </w:tc>
        <w:tc>
          <w:tcPr>
            <w:tcW w:w="1395" w:type="dxa"/>
          </w:tcPr>
          <w:p w14:paraId="55760B46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REMO</w:t>
            </w:r>
          </w:p>
        </w:tc>
        <w:tc>
          <w:tcPr>
            <w:tcW w:w="660" w:type="dxa"/>
          </w:tcPr>
          <w:p w14:paraId="2C9B6D46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395" w:type="dxa"/>
          </w:tcPr>
          <w:p w14:paraId="61BBDF09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REMO</w:t>
            </w:r>
          </w:p>
        </w:tc>
        <w:tc>
          <w:tcPr>
            <w:tcW w:w="1545" w:type="dxa"/>
          </w:tcPr>
          <w:p w14:paraId="7F68367B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Europe/12</w:t>
            </w:r>
          </w:p>
        </w:tc>
        <w:tc>
          <w:tcPr>
            <w:tcW w:w="1920" w:type="dxa"/>
          </w:tcPr>
          <w:p w14:paraId="5BFF0132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MPI-ESM-LR r3</w:t>
            </w:r>
          </w:p>
        </w:tc>
        <w:tc>
          <w:tcPr>
            <w:tcW w:w="1080" w:type="dxa"/>
          </w:tcPr>
          <w:p w14:paraId="60DDC663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CMIP5</w:t>
            </w:r>
          </w:p>
        </w:tc>
      </w:tr>
      <w:tr w:rsidR="009E7A23" w14:paraId="5DD49C75" w14:textId="77777777" w:rsidTr="005C045B">
        <w:trPr>
          <w:trHeight w:val="160"/>
          <w:jc w:val="center"/>
        </w:trPr>
        <w:tc>
          <w:tcPr>
            <w:tcW w:w="1050" w:type="dxa"/>
          </w:tcPr>
          <w:p w14:paraId="13185E4C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ICTP</w:t>
            </w:r>
          </w:p>
        </w:tc>
        <w:tc>
          <w:tcPr>
            <w:tcW w:w="1395" w:type="dxa"/>
          </w:tcPr>
          <w:p w14:paraId="28E63BAA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RegCM4</w:t>
            </w:r>
          </w:p>
        </w:tc>
        <w:tc>
          <w:tcPr>
            <w:tcW w:w="660" w:type="dxa"/>
          </w:tcPr>
          <w:p w14:paraId="238BA920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395" w:type="dxa"/>
          </w:tcPr>
          <w:p w14:paraId="3FE3E53A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RegCM4</w:t>
            </w:r>
          </w:p>
        </w:tc>
        <w:tc>
          <w:tcPr>
            <w:tcW w:w="1545" w:type="dxa"/>
          </w:tcPr>
          <w:p w14:paraId="24DDA92E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Europe/12</w:t>
            </w:r>
          </w:p>
        </w:tc>
        <w:tc>
          <w:tcPr>
            <w:tcW w:w="1920" w:type="dxa"/>
          </w:tcPr>
          <w:p w14:paraId="66B00BA5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HadGEM2-ES r1</w:t>
            </w:r>
          </w:p>
        </w:tc>
        <w:tc>
          <w:tcPr>
            <w:tcW w:w="1080" w:type="dxa"/>
          </w:tcPr>
          <w:p w14:paraId="0ABBB327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CMIP5</w:t>
            </w:r>
          </w:p>
        </w:tc>
      </w:tr>
      <w:tr w:rsidR="009E7A23" w14:paraId="351FEA19" w14:textId="77777777" w:rsidTr="005C045B">
        <w:trPr>
          <w:trHeight w:val="160"/>
          <w:jc w:val="center"/>
        </w:trPr>
        <w:tc>
          <w:tcPr>
            <w:tcW w:w="1050" w:type="dxa"/>
          </w:tcPr>
          <w:p w14:paraId="408324AC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IPSL</w:t>
            </w:r>
          </w:p>
        </w:tc>
        <w:tc>
          <w:tcPr>
            <w:tcW w:w="1395" w:type="dxa"/>
          </w:tcPr>
          <w:p w14:paraId="0222B11B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WRF, </w:t>
            </w:r>
            <w:proofErr w:type="spellStart"/>
            <w:r>
              <w:rPr>
                <w:sz w:val="21"/>
                <w:szCs w:val="21"/>
              </w:rPr>
              <w:t>RegIPSL</w:t>
            </w:r>
            <w:proofErr w:type="spellEnd"/>
          </w:p>
        </w:tc>
        <w:tc>
          <w:tcPr>
            <w:tcW w:w="660" w:type="dxa"/>
          </w:tcPr>
          <w:p w14:paraId="07F10B64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395" w:type="dxa"/>
          </w:tcPr>
          <w:p w14:paraId="454E9FBF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WRF, </w:t>
            </w:r>
            <w:proofErr w:type="spellStart"/>
            <w:r>
              <w:rPr>
                <w:color w:val="000000"/>
                <w:sz w:val="21"/>
                <w:szCs w:val="21"/>
              </w:rPr>
              <w:t>RegIPSL</w:t>
            </w:r>
            <w:proofErr w:type="spellEnd"/>
          </w:p>
        </w:tc>
        <w:tc>
          <w:tcPr>
            <w:tcW w:w="1545" w:type="dxa"/>
          </w:tcPr>
          <w:p w14:paraId="7453377E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  <w:vertAlign w:val="superscript"/>
              </w:rPr>
            </w:pPr>
            <w:r>
              <w:rPr>
                <w:color w:val="000000"/>
                <w:sz w:val="21"/>
                <w:szCs w:val="21"/>
              </w:rPr>
              <w:t>EC/15</w:t>
            </w:r>
            <w:r>
              <w:rPr>
                <w:color w:val="000000"/>
                <w:sz w:val="21"/>
                <w:szCs w:val="21"/>
                <w:vertAlign w:val="superscript"/>
              </w:rPr>
              <w:t>b</w:t>
            </w:r>
            <w:r>
              <w:rPr>
                <w:color w:val="000000"/>
                <w:sz w:val="21"/>
                <w:szCs w:val="21"/>
              </w:rPr>
              <w:t>, MC/18</w:t>
            </w:r>
            <w:r>
              <w:rPr>
                <w:color w:val="000000"/>
                <w:sz w:val="21"/>
                <w:szCs w:val="21"/>
                <w:vertAlign w:val="superscript"/>
              </w:rPr>
              <w:t>c</w:t>
            </w:r>
          </w:p>
        </w:tc>
        <w:tc>
          <w:tcPr>
            <w:tcW w:w="1920" w:type="dxa"/>
          </w:tcPr>
          <w:p w14:paraId="3784DAE1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IPSL-CM5-MR</w:t>
            </w:r>
            <w:r>
              <w:rPr>
                <w:color w:val="000000"/>
                <w:sz w:val="21"/>
                <w:szCs w:val="21"/>
                <w:vertAlign w:val="superscript"/>
              </w:rPr>
              <w:t>b</w:t>
            </w:r>
            <w:r>
              <w:rPr>
                <w:color w:val="000000"/>
                <w:sz w:val="21"/>
                <w:szCs w:val="21"/>
              </w:rPr>
              <w:t>, IPSL-CM6</w:t>
            </w:r>
            <w:r>
              <w:rPr>
                <w:color w:val="000000"/>
                <w:sz w:val="21"/>
                <w:szCs w:val="21"/>
                <w:vertAlign w:val="superscript"/>
              </w:rPr>
              <w:t>c</w:t>
            </w:r>
          </w:p>
        </w:tc>
        <w:tc>
          <w:tcPr>
            <w:tcW w:w="1080" w:type="dxa"/>
          </w:tcPr>
          <w:p w14:paraId="7ECDB82F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  <w:vertAlign w:val="superscript"/>
              </w:rPr>
            </w:pPr>
            <w:r>
              <w:rPr>
                <w:color w:val="000000"/>
                <w:sz w:val="21"/>
                <w:szCs w:val="21"/>
              </w:rPr>
              <w:t>CMIP5</w:t>
            </w:r>
            <w:r>
              <w:rPr>
                <w:color w:val="000000"/>
                <w:sz w:val="21"/>
                <w:szCs w:val="21"/>
                <w:vertAlign w:val="superscript"/>
              </w:rPr>
              <w:t>b</w:t>
            </w:r>
            <w:r>
              <w:rPr>
                <w:color w:val="000000"/>
                <w:sz w:val="21"/>
                <w:szCs w:val="21"/>
              </w:rPr>
              <w:t>, CMIP6</w:t>
            </w:r>
            <w:r>
              <w:rPr>
                <w:color w:val="000000"/>
                <w:sz w:val="21"/>
                <w:szCs w:val="21"/>
                <w:vertAlign w:val="superscript"/>
              </w:rPr>
              <w:t>c</w:t>
            </w:r>
          </w:p>
        </w:tc>
      </w:tr>
      <w:tr w:rsidR="009E7A23" w14:paraId="1AB0A587" w14:textId="77777777" w:rsidTr="005C045B">
        <w:trPr>
          <w:jc w:val="center"/>
        </w:trPr>
        <w:tc>
          <w:tcPr>
            <w:tcW w:w="1050" w:type="dxa"/>
          </w:tcPr>
          <w:p w14:paraId="246480D9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UKMO</w:t>
            </w:r>
          </w:p>
        </w:tc>
        <w:tc>
          <w:tcPr>
            <w:tcW w:w="1395" w:type="dxa"/>
          </w:tcPr>
          <w:p w14:paraId="3EAFCE69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UM</w:t>
            </w:r>
          </w:p>
        </w:tc>
        <w:tc>
          <w:tcPr>
            <w:tcW w:w="660" w:type="dxa"/>
          </w:tcPr>
          <w:p w14:paraId="798E7A37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2.2</w:t>
            </w:r>
          </w:p>
        </w:tc>
        <w:tc>
          <w:tcPr>
            <w:tcW w:w="1395" w:type="dxa"/>
          </w:tcPr>
          <w:p w14:paraId="69F39BA5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HadGEM3-GC3.1-N512 (</w:t>
            </w:r>
            <w:proofErr w:type="spellStart"/>
            <w:r>
              <w:rPr>
                <w:color w:val="000000"/>
                <w:sz w:val="21"/>
                <w:szCs w:val="21"/>
              </w:rPr>
              <w:t>HiresMIP</w:t>
            </w:r>
            <w:proofErr w:type="spellEnd"/>
            <w:r>
              <w:rPr>
                <w:color w:val="000000"/>
                <w:sz w:val="21"/>
                <w:szCs w:val="21"/>
              </w:rPr>
              <w:t>)</w:t>
            </w:r>
          </w:p>
        </w:tc>
        <w:tc>
          <w:tcPr>
            <w:tcW w:w="1545" w:type="dxa"/>
          </w:tcPr>
          <w:p w14:paraId="41A6F8F6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Global/25</w:t>
            </w:r>
            <w:r>
              <w:rPr>
                <w:color w:val="000000"/>
                <w:sz w:val="21"/>
                <w:szCs w:val="21"/>
                <w:vertAlign w:val="superscript"/>
              </w:rPr>
              <w:t>d</w:t>
            </w:r>
          </w:p>
        </w:tc>
        <w:tc>
          <w:tcPr>
            <w:tcW w:w="1920" w:type="dxa"/>
          </w:tcPr>
          <w:p w14:paraId="3DA9BE0C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HadGEM2-ES r1</w:t>
            </w:r>
          </w:p>
        </w:tc>
        <w:tc>
          <w:tcPr>
            <w:tcW w:w="1080" w:type="dxa"/>
          </w:tcPr>
          <w:p w14:paraId="33ECB38B" w14:textId="77777777" w:rsidR="009E7A23" w:rsidRDefault="009E7A23" w:rsidP="005C045B">
            <w:pPr>
              <w:spacing w:before="20" w:after="20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AMIP- CMIP5 SST</w:t>
            </w:r>
          </w:p>
        </w:tc>
      </w:tr>
    </w:tbl>
    <w:p w14:paraId="7B89F742" w14:textId="6D97AC95" w:rsidR="009E7A23" w:rsidRDefault="009E7A23" w:rsidP="009E7A23"/>
    <w:p w14:paraId="6EC4AF0F" w14:textId="0A7CD80D" w:rsidR="009E7A23" w:rsidRDefault="009E7A23" w:rsidP="009E7A23"/>
    <w:p w14:paraId="7279191A" w14:textId="2AC4E4FF" w:rsidR="009E7A23" w:rsidRDefault="009E7A23" w:rsidP="009E7A23"/>
    <w:p w14:paraId="5E91C980" w14:textId="19EC1C8D" w:rsidR="009E7A23" w:rsidRDefault="009E7A23" w:rsidP="009E7A23"/>
    <w:p w14:paraId="12101A07" w14:textId="0EC338FE" w:rsidR="009E7A23" w:rsidRDefault="009E7A23" w:rsidP="009E7A23"/>
    <w:p w14:paraId="726E0F75" w14:textId="77777777" w:rsidR="009E7A23" w:rsidRDefault="009E7A23" w:rsidP="009E7A23"/>
    <w:p w14:paraId="7CF2ED8E" w14:textId="77777777" w:rsidR="009E7A23" w:rsidRDefault="009E7A23" w:rsidP="009E7A23"/>
    <w:p w14:paraId="14121334" w14:textId="77777777" w:rsidR="009E7A23" w:rsidRDefault="009E7A23" w:rsidP="009E7A23"/>
    <w:p w14:paraId="79C74B10" w14:textId="77777777" w:rsidR="009E7A23" w:rsidRDefault="009E7A23" w:rsidP="009E7A23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29E22A6" w14:textId="160F5743" w:rsidR="009E7A23" w:rsidRPr="009E7A23" w:rsidRDefault="009E7A23" w:rsidP="009E7A23">
      <w:pPr>
        <w:keepNext/>
        <w:spacing w:line="240" w:lineRule="auto"/>
        <w:rPr>
          <w:b/>
          <w:bCs/>
          <w:i/>
          <w:color w:val="auto"/>
          <w:sz w:val="20"/>
          <w:szCs w:val="20"/>
          <w:u w:val="single"/>
        </w:rPr>
      </w:pPr>
      <w:r w:rsidRPr="009E7A23">
        <w:rPr>
          <w:b/>
          <w:bCs/>
          <w:i/>
          <w:color w:val="auto"/>
          <w:sz w:val="20"/>
          <w:szCs w:val="20"/>
          <w:u w:val="single"/>
        </w:rPr>
        <w:t xml:space="preserve">Table </w:t>
      </w:r>
      <w:r w:rsidR="00FB6294">
        <w:rPr>
          <w:b/>
          <w:bCs/>
          <w:i/>
          <w:color w:val="auto"/>
          <w:sz w:val="20"/>
          <w:szCs w:val="20"/>
          <w:u w:val="single"/>
        </w:rPr>
        <w:t>3</w:t>
      </w:r>
      <w:r w:rsidRPr="009E7A23">
        <w:rPr>
          <w:b/>
          <w:bCs/>
          <w:i/>
          <w:color w:val="auto"/>
          <w:sz w:val="20"/>
          <w:szCs w:val="20"/>
          <w:u w:val="single"/>
        </w:rPr>
        <w:t>: Distribution of modelling groups over the eight European simulation and analysis domains. No. MEMBERS indicates the sizes of CPM ensembles per domain.</w:t>
      </w:r>
    </w:p>
    <w:tbl>
      <w:tblPr>
        <w:tblW w:w="89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2115"/>
        <w:gridCol w:w="3525"/>
        <w:gridCol w:w="1815"/>
      </w:tblGrid>
      <w:tr w:rsidR="009E7A23" w14:paraId="3588228F" w14:textId="77777777" w:rsidTr="005C045B">
        <w:trPr>
          <w:jc w:val="center"/>
        </w:trPr>
        <w:tc>
          <w:tcPr>
            <w:tcW w:w="1485" w:type="dxa"/>
          </w:tcPr>
          <w:p w14:paraId="47A419FD" w14:textId="77777777" w:rsidR="009E7A23" w:rsidRDefault="009E7A23" w:rsidP="005C045B">
            <w:pPr>
              <w:spacing w:before="20" w:after="20"/>
              <w:jc w:val="both"/>
              <w:rPr>
                <w:b/>
                <w:sz w:val="21"/>
                <w:szCs w:val="21"/>
                <w:vertAlign w:val="superscript"/>
              </w:rPr>
            </w:pPr>
            <w:proofErr w:type="spellStart"/>
            <w:r>
              <w:rPr>
                <w:b/>
                <w:sz w:val="21"/>
                <w:szCs w:val="21"/>
              </w:rPr>
              <w:t>DOMAIN</w:t>
            </w:r>
            <w:r>
              <w:rPr>
                <w:b/>
                <w:sz w:val="21"/>
                <w:szCs w:val="21"/>
                <w:vertAlign w:val="superscript"/>
              </w:rPr>
              <w:t>a</w:t>
            </w:r>
            <w:proofErr w:type="spellEnd"/>
          </w:p>
        </w:tc>
        <w:tc>
          <w:tcPr>
            <w:tcW w:w="2115" w:type="dxa"/>
          </w:tcPr>
          <w:p w14:paraId="7D85D706" w14:textId="77777777" w:rsidR="009E7A23" w:rsidRDefault="009E7A23" w:rsidP="005C045B">
            <w:pPr>
              <w:spacing w:before="20" w:after="20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FULL NAME</w:t>
            </w:r>
          </w:p>
        </w:tc>
        <w:tc>
          <w:tcPr>
            <w:tcW w:w="3525" w:type="dxa"/>
          </w:tcPr>
          <w:p w14:paraId="1296F266" w14:textId="77777777" w:rsidR="009E7A23" w:rsidRDefault="009E7A23" w:rsidP="005C045B">
            <w:pPr>
              <w:spacing w:before="20" w:after="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GROUPS</w:t>
            </w:r>
          </w:p>
        </w:tc>
        <w:tc>
          <w:tcPr>
            <w:tcW w:w="1815" w:type="dxa"/>
          </w:tcPr>
          <w:p w14:paraId="43DDF837" w14:textId="77777777" w:rsidR="009E7A23" w:rsidRDefault="009E7A23" w:rsidP="005C045B">
            <w:pPr>
              <w:spacing w:before="20" w:after="2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No. MEMBERS</w:t>
            </w:r>
          </w:p>
        </w:tc>
      </w:tr>
      <w:tr w:rsidR="009E7A23" w14:paraId="33990FDA" w14:textId="77777777" w:rsidTr="005C045B">
        <w:trPr>
          <w:trHeight w:val="160"/>
          <w:jc w:val="center"/>
        </w:trPr>
        <w:tc>
          <w:tcPr>
            <w:tcW w:w="1485" w:type="dxa"/>
          </w:tcPr>
          <w:p w14:paraId="42A293DA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ALP-3</w:t>
            </w:r>
          </w:p>
        </w:tc>
        <w:tc>
          <w:tcPr>
            <w:tcW w:w="2115" w:type="dxa"/>
          </w:tcPr>
          <w:p w14:paraId="720EEC1B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Pan-Alpine</w:t>
            </w:r>
          </w:p>
        </w:tc>
        <w:tc>
          <w:tcPr>
            <w:tcW w:w="3525" w:type="dxa"/>
          </w:tcPr>
          <w:p w14:paraId="4184C6D0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</w:t>
            </w:r>
          </w:p>
        </w:tc>
        <w:tc>
          <w:tcPr>
            <w:tcW w:w="1815" w:type="dxa"/>
          </w:tcPr>
          <w:p w14:paraId="1DCBEEE9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</w:tr>
      <w:tr w:rsidR="009E7A23" w14:paraId="7A2A53E7" w14:textId="77777777" w:rsidTr="005C045B">
        <w:trPr>
          <w:trHeight w:val="160"/>
          <w:jc w:val="center"/>
        </w:trPr>
        <w:tc>
          <w:tcPr>
            <w:tcW w:w="1485" w:type="dxa"/>
          </w:tcPr>
          <w:p w14:paraId="1201E24F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NWE-3</w:t>
            </w:r>
          </w:p>
        </w:tc>
        <w:tc>
          <w:tcPr>
            <w:tcW w:w="2115" w:type="dxa"/>
          </w:tcPr>
          <w:p w14:paraId="6D53A872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North-West Europe</w:t>
            </w:r>
          </w:p>
        </w:tc>
        <w:tc>
          <w:tcPr>
            <w:tcW w:w="3525" w:type="dxa"/>
          </w:tcPr>
          <w:p w14:paraId="3D71FCA6" w14:textId="23B4D08C" w:rsidR="009E7A23" w:rsidRPr="002D4960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CNRM, </w:t>
            </w:r>
            <w:proofErr w:type="spellStart"/>
            <w:r>
              <w:rPr>
                <w:sz w:val="21"/>
                <w:szCs w:val="21"/>
              </w:rPr>
              <w:t>KNMI</w:t>
            </w:r>
            <w:r>
              <w:rPr>
                <w:sz w:val="21"/>
                <w:szCs w:val="21"/>
                <w:vertAlign w:val="superscript"/>
              </w:rPr>
              <w:t>b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 w:rsidR="002D4960">
              <w:rPr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sz w:val="21"/>
                <w:szCs w:val="21"/>
              </w:rPr>
              <w:t>ETH</w:t>
            </w:r>
            <w:r>
              <w:rPr>
                <w:sz w:val="21"/>
                <w:szCs w:val="21"/>
                <w:vertAlign w:val="superscript"/>
              </w:rPr>
              <w:t>c,d</w:t>
            </w:r>
            <w:proofErr w:type="spellEnd"/>
            <w:proofErr w:type="gramEnd"/>
            <w:r>
              <w:rPr>
                <w:sz w:val="21"/>
                <w:szCs w:val="21"/>
              </w:rPr>
              <w:t xml:space="preserve">, </w:t>
            </w:r>
            <w:proofErr w:type="spellStart"/>
            <w:r>
              <w:rPr>
                <w:sz w:val="21"/>
                <w:szCs w:val="21"/>
              </w:rPr>
              <w:t>UKMO</w:t>
            </w:r>
            <w:r>
              <w:rPr>
                <w:sz w:val="21"/>
                <w:szCs w:val="21"/>
                <w:vertAlign w:val="superscript"/>
              </w:rPr>
              <w:t>c</w:t>
            </w:r>
            <w:proofErr w:type="spellEnd"/>
            <w:r w:rsidR="002D4960">
              <w:rPr>
                <w:sz w:val="21"/>
                <w:szCs w:val="21"/>
                <w:vertAlign w:val="superscript"/>
              </w:rPr>
              <w:softHyphen/>
            </w:r>
            <w:r w:rsidR="002D4960">
              <w:rPr>
                <w:sz w:val="21"/>
                <w:szCs w:val="21"/>
                <w:vertAlign w:val="superscript"/>
              </w:rPr>
              <w:softHyphen/>
            </w:r>
            <w:r w:rsidR="002D4960">
              <w:rPr>
                <w:sz w:val="21"/>
                <w:szCs w:val="21"/>
                <w:vertAlign w:val="superscript"/>
              </w:rPr>
              <w:softHyphen/>
            </w:r>
            <w:r w:rsidR="002D4960">
              <w:rPr>
                <w:sz w:val="21"/>
                <w:szCs w:val="21"/>
              </w:rPr>
              <w:t>)</w:t>
            </w:r>
          </w:p>
        </w:tc>
        <w:tc>
          <w:tcPr>
            <w:tcW w:w="1815" w:type="dxa"/>
          </w:tcPr>
          <w:p w14:paraId="58F6410C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9E7A23" w14:paraId="33E0378F" w14:textId="77777777" w:rsidTr="005C045B">
        <w:trPr>
          <w:trHeight w:val="160"/>
          <w:jc w:val="center"/>
        </w:trPr>
        <w:tc>
          <w:tcPr>
            <w:tcW w:w="1485" w:type="dxa"/>
          </w:tcPr>
          <w:p w14:paraId="44E1D05C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SWE-3</w:t>
            </w:r>
          </w:p>
        </w:tc>
        <w:tc>
          <w:tcPr>
            <w:tcW w:w="2115" w:type="dxa"/>
          </w:tcPr>
          <w:p w14:paraId="2603349D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South-West Europe</w:t>
            </w:r>
          </w:p>
        </w:tc>
        <w:tc>
          <w:tcPr>
            <w:tcW w:w="3525" w:type="dxa"/>
          </w:tcPr>
          <w:p w14:paraId="640620AF" w14:textId="521ABE6F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CMCC, IPSL</w:t>
            </w:r>
            <w:r w:rsidR="002D4960">
              <w:rPr>
                <w:sz w:val="21"/>
                <w:szCs w:val="21"/>
              </w:rPr>
              <w:t xml:space="preserve"> (</w:t>
            </w:r>
            <w:r>
              <w:rPr>
                <w:sz w:val="21"/>
                <w:szCs w:val="21"/>
              </w:rPr>
              <w:t>ETH, UKMO</w:t>
            </w:r>
            <w:r w:rsidR="002D4960">
              <w:rPr>
                <w:sz w:val="21"/>
                <w:szCs w:val="21"/>
              </w:rPr>
              <w:t>)</w:t>
            </w:r>
          </w:p>
        </w:tc>
        <w:tc>
          <w:tcPr>
            <w:tcW w:w="1815" w:type="dxa"/>
          </w:tcPr>
          <w:p w14:paraId="5A20B583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9E7A23" w14:paraId="2F21B1EC" w14:textId="77777777" w:rsidTr="005C045B">
        <w:trPr>
          <w:trHeight w:val="220"/>
          <w:jc w:val="center"/>
        </w:trPr>
        <w:tc>
          <w:tcPr>
            <w:tcW w:w="1485" w:type="dxa"/>
          </w:tcPr>
          <w:p w14:paraId="3BC0420A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SEE-3</w:t>
            </w:r>
          </w:p>
        </w:tc>
        <w:tc>
          <w:tcPr>
            <w:tcW w:w="2115" w:type="dxa"/>
          </w:tcPr>
          <w:p w14:paraId="59B25259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South-East Europe</w:t>
            </w:r>
          </w:p>
        </w:tc>
        <w:tc>
          <w:tcPr>
            <w:tcW w:w="3525" w:type="dxa"/>
          </w:tcPr>
          <w:p w14:paraId="290DFC92" w14:textId="5B837F8C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ICTP </w:t>
            </w:r>
            <w:r w:rsidR="002D4960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ETH, UKMO</w:t>
            </w:r>
            <w:r w:rsidR="002D4960">
              <w:rPr>
                <w:sz w:val="21"/>
                <w:szCs w:val="21"/>
              </w:rPr>
              <w:t>)</w:t>
            </w:r>
          </w:p>
        </w:tc>
        <w:tc>
          <w:tcPr>
            <w:tcW w:w="1815" w:type="dxa"/>
          </w:tcPr>
          <w:p w14:paraId="189F3785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9E7A23" w14:paraId="0C3EE48F" w14:textId="77777777" w:rsidTr="005C045B">
        <w:trPr>
          <w:trHeight w:val="160"/>
          <w:jc w:val="center"/>
        </w:trPr>
        <w:tc>
          <w:tcPr>
            <w:tcW w:w="1485" w:type="dxa"/>
          </w:tcPr>
          <w:p w14:paraId="3AB384F3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CEU-3</w:t>
            </w:r>
          </w:p>
        </w:tc>
        <w:tc>
          <w:tcPr>
            <w:tcW w:w="2115" w:type="dxa"/>
          </w:tcPr>
          <w:p w14:paraId="14002C6E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Central Europe</w:t>
            </w:r>
          </w:p>
        </w:tc>
        <w:tc>
          <w:tcPr>
            <w:tcW w:w="3525" w:type="dxa"/>
          </w:tcPr>
          <w:p w14:paraId="65B53CBE" w14:textId="5D408A14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GERICS</w:t>
            </w:r>
            <w:r w:rsidR="002D4960">
              <w:rPr>
                <w:sz w:val="21"/>
                <w:szCs w:val="21"/>
              </w:rPr>
              <w:t xml:space="preserve"> (</w:t>
            </w:r>
            <w:r>
              <w:rPr>
                <w:sz w:val="21"/>
                <w:szCs w:val="21"/>
              </w:rPr>
              <w:t>ETH, UKMO</w:t>
            </w:r>
            <w:r w:rsidR="002D4960">
              <w:rPr>
                <w:sz w:val="21"/>
                <w:szCs w:val="21"/>
              </w:rPr>
              <w:t>)</w:t>
            </w:r>
          </w:p>
        </w:tc>
        <w:tc>
          <w:tcPr>
            <w:tcW w:w="1815" w:type="dxa"/>
          </w:tcPr>
          <w:p w14:paraId="74E83B7B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</w:tr>
      <w:tr w:rsidR="009E7A23" w14:paraId="7D5956D4" w14:textId="77777777" w:rsidTr="005C045B">
        <w:trPr>
          <w:trHeight w:val="140"/>
          <w:jc w:val="center"/>
        </w:trPr>
        <w:tc>
          <w:tcPr>
            <w:tcW w:w="1485" w:type="dxa"/>
          </w:tcPr>
          <w:p w14:paraId="63D2F3A0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CEE-3</w:t>
            </w:r>
          </w:p>
        </w:tc>
        <w:tc>
          <w:tcPr>
            <w:tcW w:w="2115" w:type="dxa"/>
          </w:tcPr>
          <w:p w14:paraId="2ED92B60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Central East Europe</w:t>
            </w:r>
          </w:p>
        </w:tc>
        <w:tc>
          <w:tcPr>
            <w:tcW w:w="3525" w:type="dxa"/>
          </w:tcPr>
          <w:p w14:paraId="5C61CB14" w14:textId="1F285869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ICTP, SMHI </w:t>
            </w:r>
            <w:r w:rsidR="002D4960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ETH, UKMO</w:t>
            </w:r>
            <w:r w:rsidR="002D4960">
              <w:rPr>
                <w:sz w:val="21"/>
                <w:szCs w:val="21"/>
              </w:rPr>
              <w:t>)</w:t>
            </w:r>
          </w:p>
        </w:tc>
        <w:tc>
          <w:tcPr>
            <w:tcW w:w="1815" w:type="dxa"/>
          </w:tcPr>
          <w:p w14:paraId="2EB8A9DD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</w:tr>
      <w:tr w:rsidR="009E7A23" w14:paraId="3A4557E5" w14:textId="77777777" w:rsidTr="005C045B">
        <w:trPr>
          <w:trHeight w:val="160"/>
          <w:jc w:val="center"/>
        </w:trPr>
        <w:tc>
          <w:tcPr>
            <w:tcW w:w="1485" w:type="dxa"/>
          </w:tcPr>
          <w:p w14:paraId="6764F128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NEU-3</w:t>
            </w:r>
          </w:p>
        </w:tc>
        <w:tc>
          <w:tcPr>
            <w:tcW w:w="2115" w:type="dxa"/>
          </w:tcPr>
          <w:p w14:paraId="26848C56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North Europe</w:t>
            </w:r>
          </w:p>
        </w:tc>
        <w:tc>
          <w:tcPr>
            <w:tcW w:w="3525" w:type="dxa"/>
          </w:tcPr>
          <w:p w14:paraId="46087BEF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GERICS, SMHI/DMI</w:t>
            </w:r>
          </w:p>
        </w:tc>
        <w:tc>
          <w:tcPr>
            <w:tcW w:w="1815" w:type="dxa"/>
          </w:tcPr>
          <w:p w14:paraId="4E875E9C" w14:textId="77777777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  <w:tr w:rsidR="009E7A23" w14:paraId="1890740B" w14:textId="77777777" w:rsidTr="005C045B">
        <w:trPr>
          <w:trHeight w:val="160"/>
          <w:jc w:val="center"/>
        </w:trPr>
        <w:tc>
          <w:tcPr>
            <w:tcW w:w="1485" w:type="dxa"/>
          </w:tcPr>
          <w:p w14:paraId="1149C223" w14:textId="62F98A79" w:rsidR="009E7A23" w:rsidRDefault="002D4960" w:rsidP="005C045B">
            <w:pPr>
              <w:spacing w:before="20" w:after="20"/>
              <w:jc w:val="both"/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>REU</w:t>
            </w:r>
            <w:r w:rsidR="009E7A23">
              <w:rPr>
                <w:sz w:val="21"/>
                <w:szCs w:val="21"/>
              </w:rPr>
              <w:t>-3</w:t>
            </w:r>
            <w:r w:rsidR="009E7A23">
              <w:rPr>
                <w:sz w:val="21"/>
                <w:szCs w:val="21"/>
                <w:vertAlign w:val="superscript"/>
              </w:rPr>
              <w:t>e</w:t>
            </w:r>
          </w:p>
        </w:tc>
        <w:tc>
          <w:tcPr>
            <w:tcW w:w="2115" w:type="dxa"/>
          </w:tcPr>
          <w:p w14:paraId="55A9794D" w14:textId="1407FCC6" w:rsidR="009E7A23" w:rsidRDefault="002D4960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Europe</w:t>
            </w:r>
          </w:p>
        </w:tc>
        <w:tc>
          <w:tcPr>
            <w:tcW w:w="3525" w:type="dxa"/>
          </w:tcPr>
          <w:p w14:paraId="619F6ED7" w14:textId="1178FBBE" w:rsidR="009E7A23" w:rsidRDefault="009E7A23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ETH, UKMO</w:t>
            </w:r>
          </w:p>
        </w:tc>
        <w:tc>
          <w:tcPr>
            <w:tcW w:w="1815" w:type="dxa"/>
          </w:tcPr>
          <w:p w14:paraId="3C6C0F37" w14:textId="661F55B1" w:rsidR="009E7A23" w:rsidRDefault="002D4960" w:rsidP="005C045B">
            <w:pPr>
              <w:spacing w:before="20" w:after="2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</w:tr>
    </w:tbl>
    <w:p w14:paraId="78C09346" w14:textId="7203E45C" w:rsidR="009E7A23" w:rsidRDefault="009E7A23" w:rsidP="002D4960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  <w:vertAlign w:val="superscript"/>
        </w:rPr>
        <w:t>a</w:t>
      </w:r>
      <w:r>
        <w:rPr>
          <w:rFonts w:ascii="Calibri" w:eastAsia="Calibri" w:hAnsi="Calibri" w:cs="Calibri"/>
          <w:sz w:val="20"/>
          <w:szCs w:val="20"/>
        </w:rPr>
        <w:t>Domain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names consist of the geographical location indicator and the maximum allowed horizontal grid spacing. Note that some groups used smaller grid spacing, shown in Table 1.</w:t>
      </w: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r>
        <w:rPr>
          <w:rFonts w:ascii="Calibri" w:eastAsia="Calibri" w:hAnsi="Calibri" w:cs="Calibri"/>
          <w:sz w:val="20"/>
          <w:szCs w:val="20"/>
          <w:vertAlign w:val="superscript"/>
        </w:rPr>
        <w:t>b</w:t>
      </w:r>
      <w:r>
        <w:rPr>
          <w:rFonts w:ascii="Calibri" w:eastAsia="Calibri" w:hAnsi="Calibri" w:cs="Calibri"/>
          <w:sz w:val="20"/>
          <w:szCs w:val="20"/>
        </w:rPr>
        <w:t>KNMI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used the Pseudo-Global Warming (PGW) approach for NWE-3, where the future change is added on the ERA-Interim reanalysis fields.</w:t>
      </w: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r>
        <w:rPr>
          <w:rFonts w:ascii="Calibri" w:eastAsia="Calibri" w:hAnsi="Calibri" w:cs="Calibri"/>
          <w:sz w:val="20"/>
          <w:szCs w:val="20"/>
          <w:vertAlign w:val="superscript"/>
        </w:rPr>
        <w:t>c</w:t>
      </w:r>
      <w:r>
        <w:rPr>
          <w:rFonts w:ascii="Calibri" w:eastAsia="Calibri" w:hAnsi="Calibri" w:cs="Calibri"/>
          <w:sz w:val="20"/>
          <w:szCs w:val="20"/>
        </w:rPr>
        <w:t>ETH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UKMO used the REU-3 simulation domain (</w:t>
      </w:r>
      <w:proofErr w:type="spellStart"/>
      <w:r>
        <w:rPr>
          <w:rFonts w:ascii="Calibri" w:eastAsia="Calibri" w:hAnsi="Calibri" w:cs="Calibri"/>
          <w:sz w:val="20"/>
          <w:szCs w:val="20"/>
        </w:rPr>
        <w:t>cf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Fig. 1), which includes large parts of the other seven analysis domains. For some analysis domains REU-3 covers only their parts. To address this issue and to maximise the number of members in each domain’s ensemble, for SEE-3 and CEE-3 reduced analysis domains are used (marked with “R”) which overlap with REU-3, while for NEU-3 an additional domain S-NEU-3 is created.</w:t>
      </w:r>
      <w:r>
        <w:rPr>
          <w:rFonts w:ascii="Calibri" w:eastAsia="Calibri" w:hAnsi="Calibri" w:cs="Calibri"/>
          <w:sz w:val="20"/>
          <w:szCs w:val="20"/>
        </w:rPr>
        <w:br/>
      </w:r>
      <w:proofErr w:type="spellStart"/>
      <w:r>
        <w:rPr>
          <w:rFonts w:ascii="Calibri" w:eastAsia="Calibri" w:hAnsi="Calibri" w:cs="Calibri"/>
          <w:sz w:val="20"/>
          <w:szCs w:val="20"/>
          <w:vertAlign w:val="superscript"/>
        </w:rPr>
        <w:t>d</w:t>
      </w:r>
      <w:r>
        <w:rPr>
          <w:rFonts w:ascii="Calibri" w:eastAsia="Calibri" w:hAnsi="Calibri" w:cs="Calibri"/>
          <w:sz w:val="20"/>
          <w:szCs w:val="20"/>
        </w:rPr>
        <w:t>ETH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applied the PGW approach for REU-3, which is used for all the analysis domains except ALP-3. They used a traditional downscaling for a separate ALP-3 simulation.</w:t>
      </w:r>
      <w:r>
        <w:rPr>
          <w:rFonts w:ascii="Calibri" w:eastAsia="Calibri" w:hAnsi="Calibri" w:cs="Calibri"/>
          <w:sz w:val="20"/>
          <w:szCs w:val="20"/>
        </w:rPr>
        <w:br/>
      </w:r>
    </w:p>
    <w:p w14:paraId="0D9CFBD8" w14:textId="77777777" w:rsidR="009E7A23" w:rsidRPr="00AE664B" w:rsidRDefault="009E7A23" w:rsidP="00AE664B"/>
    <w:sectPr w:rsidR="009E7A23" w:rsidRPr="00AE664B" w:rsidSect="0009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C6"/>
    <w:rsid w:val="00090F7C"/>
    <w:rsid w:val="00151BB1"/>
    <w:rsid w:val="00181959"/>
    <w:rsid w:val="002D4960"/>
    <w:rsid w:val="00417090"/>
    <w:rsid w:val="00665173"/>
    <w:rsid w:val="008A64C6"/>
    <w:rsid w:val="009E7A23"/>
    <w:rsid w:val="00AE664B"/>
    <w:rsid w:val="00B42C46"/>
    <w:rsid w:val="00FB6294"/>
    <w:rsid w:val="00F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B7A5"/>
  <w15:chartTrackingRefBased/>
  <w15:docId w15:val="{3A2A6344-C517-4B32-B300-6C8D4FBC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C6"/>
    <w:pPr>
      <w:spacing w:after="200" w:line="276" w:lineRule="auto"/>
    </w:pPr>
    <w:rPr>
      <w:rFonts w:ascii="Arial" w:eastAsia="Arial" w:hAnsi="Arial" w:cs="Arial"/>
      <w:color w:val="00000A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et Office Document" ma:contentTypeID="0x01010008EC4BDFB4C3D542892399C37F0B505F002CA2F2385B83554DABDA08CB2566DBE6" ma:contentTypeVersion="3" ma:contentTypeDescription="" ma:contentTypeScope="" ma:versionID="081aed5d53b1cc6d64c5c3ae734c7a1d">
  <xsd:schema xmlns:xsd="http://www.w3.org/2001/XMLSchema" xmlns:xs="http://www.w3.org/2001/XMLSchema" xmlns:p="http://schemas.microsoft.com/office/2006/metadata/properties" xmlns:ns2="95a6d21c-7db0-4b7e-981f-b4f22b02b9d8" targetNamespace="http://schemas.microsoft.com/office/2006/metadata/properties" ma:root="true" ma:fieldsID="6b6fabdde2c2c28fd0b58fa41abd6ae3" ns2:_="">
    <xsd:import namespace="95a6d21c-7db0-4b7e-981f-b4f22b02b9d8"/>
    <xsd:element name="properties">
      <xsd:complexType>
        <xsd:sequence>
          <xsd:element name="documentManagement">
            <xsd:complexType>
              <xsd:all>
                <xsd:element ref="ns2:TNA" minOccurs="0"/>
                <xsd:element ref="ns2:Review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6d21c-7db0-4b7e-981f-b4f22b02b9d8" elementFormDefault="qualified">
    <xsd:import namespace="http://schemas.microsoft.com/office/2006/documentManagement/types"/>
    <xsd:import namespace="http://schemas.microsoft.com/office/infopath/2007/PartnerControls"/>
    <xsd:element name="TNA" ma:index="1" nillable="true" ma:displayName="TNA" ma:default="Not of potential interest" ma:format="Dropdown" ma:internalName="TNA">
      <xsd:simpleType>
        <xsd:restriction base="dms:Choice">
          <xsd:enumeration value="Not of potential interest"/>
          <xsd:enumeration value="Potential TNA Record"/>
          <xsd:enumeration value="Flagged for TNA"/>
          <xsd:enumeration value="List to TNA"/>
          <xsd:enumeration value="Not listed to TNA"/>
          <xsd:enumeration value="Transferred to TNA"/>
          <xsd:enumeration value="Published by TNA"/>
        </xsd:restriction>
      </xsd:simpleType>
    </xsd:element>
    <xsd:element name="ReviewDate" ma:index="2" nillable="true" ma:displayName="Review Date" ma:format="DateOnly" ma:internalName="Review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b1bb55a9-a1b5-4196-b12d-1833970ed366" ContentTypeId="0x01010008EC4BDFB4C3D542892399C37F0B505F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NA xmlns="95a6d21c-7db0-4b7e-981f-b4f22b02b9d8">Not of potential interest</TNA>
    <ReviewDate xmlns="95a6d21c-7db0-4b7e-981f-b4f22b02b9d8" xsi:nil="true"/>
  </documentManagement>
</p:properties>
</file>

<file path=customXml/itemProps1.xml><?xml version="1.0" encoding="utf-8"?>
<ds:datastoreItem xmlns:ds="http://schemas.openxmlformats.org/officeDocument/2006/customXml" ds:itemID="{AD8315C3-F2AE-40A9-8CE8-77B6B0F67BE8}"/>
</file>

<file path=customXml/itemProps2.xml><?xml version="1.0" encoding="utf-8"?>
<ds:datastoreItem xmlns:ds="http://schemas.openxmlformats.org/officeDocument/2006/customXml" ds:itemID="{19D7BEA7-0381-4AD5-9108-B1041CB1AA1D}"/>
</file>

<file path=customXml/itemProps3.xml><?xml version="1.0" encoding="utf-8"?>
<ds:datastoreItem xmlns:ds="http://schemas.openxmlformats.org/officeDocument/2006/customXml" ds:itemID="{3C6F7FFD-68B7-4159-A6DE-E94C203B2920}"/>
</file>

<file path=customXml/itemProps4.xml><?xml version="1.0" encoding="utf-8"?>
<ds:datastoreItem xmlns:ds="http://schemas.openxmlformats.org/officeDocument/2006/customXml" ds:itemID="{D407E864-EFE4-4B75-A6AF-6B6B99BC50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McSweeney, Carol</dc:creator>
  <cp:keywords/>
  <dc:description/>
  <cp:lastModifiedBy>McSweeney, Carol</cp:lastModifiedBy>
  <cp:revision>7</cp:revision>
  <dcterms:created xsi:type="dcterms:W3CDTF">2022-05-18T15:38:00Z</dcterms:created>
  <dcterms:modified xsi:type="dcterms:W3CDTF">2022-05-18T16:37:00Z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0x01010008EC4BDFB4C3D542892399C37F0B505F002CA2F2385B83554DABDA08CB2566DBE6</vt:lpwstr>
  </property>
</Properties>
</file>