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38.png" ContentType="image/png"/>
  <Override PartName="/word/media/rId24.jpg" ContentType="image/jpeg"/>
  <Override PartName="/word/media/rId42.png" ContentType="image/png"/>
  <Override PartName="/word/media/rId59.png" ContentType="image/png"/>
  <Override PartName="/word/media/rId247.png" ContentType="image/png"/>
  <Override PartName="/word/media/rId47.png" ContentType="image/png"/>
  <Override PartName="/word/media/rId280.png" ContentType="image/png"/>
  <Override PartName="/word/media/rId258.png" ContentType="image/png"/>
  <Override PartName="/word/media/rId264.png" ContentType="image/png"/>
  <Override PartName="/word/media/rId255.png" ContentType="image/png"/>
  <Override PartName="/word/media/rId261.png" ContentType="image/png"/>
  <Override PartName="/word/media/rId285.png" ContentType="image/png"/>
  <Override PartName="/word/media/rId30.png" ContentType="image/png"/>
  <Override PartName="/word/media/rId251.png" ContentType="image/png"/>
  <Override PartName="/word/media/rId80.png" ContentType="image/png"/>
  <Override PartName="/word/media/rId64.png" ContentType="image/png"/>
  <Override PartName="/word/media/rId68.png" ContentType="image/png"/>
  <Override PartName="/word/media/rId72.png" ContentType="image/png"/>
  <Override PartName="/word/media/rId93.png" ContentType="image/png"/>
  <Override PartName="/word/media/rId89.png" ContentType="image/png"/>
  <Override PartName="/word/media/rId105.png" ContentType="image/png"/>
  <Override PartName="/word/media/rId101.png" ContentType="image/png"/>
  <Override PartName="/word/media/rId123.png" ContentType="image/png"/>
  <Override PartName="/word/media/rId109.png" ContentType="image/png"/>
  <Override PartName="/word/media/rId118.png" ContentType="image/png"/>
  <Override PartName="/word/media/rId114.png" ContentType="image/png"/>
  <Override PartName="/word/media/rId98.png" ContentType="image/png"/>
  <Override PartName="/word/media/rId134.png" ContentType="image/png"/>
  <Override PartName="/word/media/rId130.png" ContentType="image/png"/>
  <Override PartName="/word/media/rId152.png" ContentType="image/png"/>
  <Override PartName="/word/media/rId148.png" ContentType="image/png"/>
  <Override PartName="/word/media/rId142.png" ContentType="image/png"/>
  <Override PartName="/word/media/rId160.png" ContentType="image/png"/>
  <Override PartName="/word/media/rId138.png" ContentType="image/png"/>
  <Override PartName="/word/media/rId156.png" ContentType="image/png"/>
  <Override PartName="/word/media/rId176.png" ContentType="image/png"/>
  <Override PartName="/word/media/rId194.png" ContentType="image/png"/>
  <Override PartName="/word/media/rId167.png" ContentType="image/png"/>
  <Override PartName="/word/media/rId186.png" ContentType="image/png"/>
  <Override PartName="/word/media/rId181.png" ContentType="image/png"/>
  <Override PartName="/word/media/rId171.png" ContentType="image/png"/>
  <Override PartName="/word/media/rId236.png" ContentType="image/png"/>
  <Override PartName="/word/media/rId240.png" ContentType="image/png"/>
  <Override PartName="/word/media/rId206.png" ContentType="image/png"/>
  <Override PartName="/word/media/rId210.png" ContentType="image/png"/>
  <Override PartName="/word/media/rId201.png" ContentType="image/png"/>
  <Override PartName="/word/media/rId216.png" ContentType="image/png"/>
  <Override PartName="/word/media/rId225.png" ContentType="image/png"/>
  <Override PartName="/word/media/rId221.png" ContentType="image/png"/>
  <Override PartName="/word/media/rId231.png" ContentType="image/png"/>
  <Override PartName="/word/media/rId276.png" ContentType="image/png"/>
  <Override PartName="/word/media/rId267.png" ContentType="image/png"/>
  <Override PartName="/word/media/rId271.png" ContentType="image/png"/>
  <Override PartName="/word/media/rId19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2025-06-06</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br/>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7" w:name="foreword"/>
    <w:p>
      <w:pPr>
        <w:pStyle w:val="Heading1"/>
      </w:pPr>
      <w:r>
        <w:t xml:space="preserve">Foreword</w:t>
      </w:r>
    </w:p>
    <w:p>
      <w:pPr>
        <w:pStyle w:val="FirstParagraph"/>
      </w:pPr>
      <w:r>
        <w:drawing>
          <wp:inline>
            <wp:extent cx="5334000" cy="2864310"/>
            <wp:effectExtent b="0" l="0" r="0" t="0"/>
            <wp:docPr descr="" title="" id="22" name="Picture"/>
            <a:graphic>
              <a:graphicData uri="http://schemas.openxmlformats.org/drawingml/2006/picture">
                <pic:pic>
                  <pic:nvPicPr>
                    <pic:cNvPr descr="figures/foreword-combined.png" id="23" name="Picture"/>
                    <pic:cNvPicPr>
                      <a:picLocks noChangeArrowheads="1" noChangeAspect="1"/>
                    </pic:cNvPicPr>
                  </pic:nvPicPr>
                  <pic:blipFill>
                    <a:blip r:embed="rId21"/>
                    <a:stretch>
                      <a:fillRect/>
                    </a:stretch>
                  </pic:blipFill>
                  <pic:spPr bwMode="auto">
                    <a:xfrm>
                      <a:off x="0" y="0"/>
                      <a:ext cx="5334000" cy="2864310"/>
                    </a:xfrm>
                    <a:prstGeom prst="rect">
                      <a:avLst/>
                    </a:prstGeom>
                    <a:noFill/>
                    <a:ln w="9525">
                      <a:noFill/>
                      <a:headEnd/>
                      <a:tailEnd/>
                    </a:ln>
                  </pic:spPr>
                </pic:pic>
              </a:graphicData>
            </a:graphic>
          </wp:inline>
        </w:drawing>
      </w:r>
    </w:p>
    <w:p>
      <w:pPr>
        <w:pStyle w:val="BodyText"/>
      </w:pPr>
      <w:r>
        <w:drawing>
          <wp:inline>
            <wp:extent cx="2933700" cy="2942058"/>
            <wp:effectExtent b="0" l="0" r="0" t="0"/>
            <wp:docPr descr="" title="" id="25" name="Picture"/>
            <a:graphic>
              <a:graphicData uri="http://schemas.openxmlformats.org/drawingml/2006/picture">
                <pic:pic>
                  <pic:nvPicPr>
                    <pic:cNvPr descr="./figures/DGCEA-PRC.jpg" id="26" name="Picture"/>
                    <pic:cNvPicPr>
                      <a:picLocks noChangeArrowheads="1" noChangeAspect="1"/>
                    </pic:cNvPicPr>
                  </pic:nvPicPr>
                  <pic:blipFill>
                    <a:blip r:embed="rId24"/>
                    <a:stretch>
                      <a:fillRect/>
                    </a:stretch>
                  </pic:blipFill>
                  <pic:spPr bwMode="auto">
                    <a:xfrm>
                      <a:off x="0" y="0"/>
                      <a:ext cx="2933700" cy="2942058"/>
                    </a:xfrm>
                    <a:prstGeom prst="rect">
                      <a:avLst/>
                    </a:prstGeom>
                    <a:noFill/>
                    <a:ln w="9525">
                      <a:noFill/>
                      <a:headEnd/>
                      <a:tailEnd/>
                    </a:ln>
                  </pic:spPr>
                </pic:pic>
              </a:graphicData>
            </a:graphic>
          </wp:inline>
        </w:drawing>
      </w:r>
    </w:p>
    <w:bookmarkEnd w:id="27"/>
    <w:bookmarkStart w:id="34"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via the web-portals of both organisations:</w:t>
      </w:r>
    </w:p>
    <w:p>
      <w:pPr>
        <w:numPr>
          <w:ilvl w:val="0"/>
          <w:numId w:val="1001"/>
        </w:numPr>
        <w:pStyle w:val="Compact"/>
      </w:pPr>
      <w:hyperlink r:id="rId28">
        <w:r>
          <w:rPr>
            <w:rStyle w:val="Hyperlink"/>
          </w:rPr>
          <w:t xml:space="preserve">https://ansperformance.eu/global/brazil</w:t>
        </w:r>
      </w:hyperlink>
      <w:r>
        <w:t xml:space="preserve"> </w:t>
      </w:r>
      <w:r>
        <w:t xml:space="preserve">or</w:t>
      </w:r>
    </w:p>
    <w:p>
      <w:pPr>
        <w:numPr>
          <w:ilvl w:val="0"/>
          <w:numId w:val="1001"/>
        </w:numPr>
        <w:pStyle w:val="Compact"/>
      </w:pPr>
      <w:hyperlink r:id="rId29">
        <w:r>
          <w:rPr>
            <w:rStyle w:val="Hyperlink"/>
          </w:rPr>
          <w:t xml:space="preserve">https://performance.decea.mil.br/</w:t>
        </w:r>
      </w:hyperlink>
      <w:r>
        <w:t xml:space="preserve">.</w:t>
      </w:r>
    </w:p>
    <w:p>
      <w:pPr>
        <w:pStyle w:val="FirstParagraph"/>
      </w:pPr>
      <w:r>
        <w:t xml:space="preserve">This edition expands on the previous comparisons of the Brazilian and European air navigation systems by focussing on the observed performance post COVID, extending the time frame, and incorporating additional analyses.</w:t>
      </w:r>
      <w:r>
        <w:t xml:space="preserve"> </w:t>
      </w:r>
      <w:r>
        <w:t xml:space="preserve">For example, a more detailed characterisation of the Brazilian and European network is included.</w:t>
      </w:r>
      <w:r>
        <w:t xml:space="preserve"> </w:t>
      </w:r>
      <w:r>
        <w:t xml:space="preserve">With the recent deployment of point-merge, operations at Sao Paulo Guarulhos and Lisbon are studied and an initial characterisation is provided.</w:t>
      </w:r>
      <w:r>
        <w:t xml:space="preserve"> </w:t>
      </w:r>
      <w:r>
        <w:t xml:space="preserve">On the center level, this edition also looks into comparing Curitiba and Lisbon ACC.</w:t>
      </w:r>
      <w:r>
        <w:t xml:space="preserve"> </w:t>
      </w:r>
      <w:r>
        <w:t xml:space="preserve">These focussed topics allow to address discussions about performance benefits and may help to highlight the differences between the operations in both regions.</w:t>
      </w:r>
    </w:p>
    <w:p>
      <w:pPr>
        <w:pStyle w:val="BodyText"/>
      </w:pPr>
      <w:r>
        <w:t xml:space="preserve">The report focuses on a subset of the eleven Key Performance Areas identified by the ICAO Global Air Navigation Plan,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3" w:name="fig-scope-KPAs-KPIs"/>
          <w:p>
            <w:pPr>
              <w:pStyle w:val="Compact"/>
              <w:jc w:val="center"/>
            </w:pPr>
            <w:r>
              <w:drawing>
                <wp:inline>
                  <wp:extent cx="3200400" cy="1685893"/>
                  <wp:effectExtent b="0" l="0" r="0" t="0"/>
                  <wp:docPr descr="" title="" id="31" name="Picture"/>
                  <a:graphic>
                    <a:graphicData uri="http://schemas.openxmlformats.org/drawingml/2006/picture">
                      <pic:pic>
                        <pic:nvPicPr>
                          <pic:cNvPr descr="./figures/scope-KPA-and-KPI.png" id="32" name="Picture"/>
                          <pic:cNvPicPr>
                            <a:picLocks noChangeArrowheads="1" noChangeAspect="1"/>
                          </pic:cNvPicPr>
                        </pic:nvPicPr>
                        <pic:blipFill>
                          <a:blip r:embed="rId30"/>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3"/>
        </w:tc>
      </w:tr>
    </w:tbl>
    <w:p>
      <w:pPr>
        <w:pStyle w:val="BodyText"/>
      </w:pPr>
      <w:r>
        <w:t xml:space="preserve">The comparison shows similarities and differences in the air navigation service provision and observed performance in both regions.</w:t>
      </w:r>
      <w:r>
        <w:t xml:space="preserve"> </w:t>
      </w:r>
      <w:r>
        <w:t xml:space="preserve">Major take-aways of this report include:</w:t>
      </w:r>
    </w:p>
    <w:p>
      <w:pPr>
        <w:numPr>
          <w:ilvl w:val="0"/>
          <w:numId w:val="1002"/>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2"/>
        </w:numPr>
        <w:pStyle w:val="Compact"/>
      </w:pPr>
      <w:r>
        <w:t xml:space="preserve">While the observed performance levels in both regions differ, similarities and understood differences support more targeted discussions on operational concepts. With Europe closing in on pre-pandemic traffic levels and Brazil now consistently observing demand above the pre-pandemic level, this edition also forms the reference for future iterations.</w:t>
      </w:r>
    </w:p>
    <w:p>
      <w:pPr>
        <w:numPr>
          <w:ilvl w:val="0"/>
          <w:numId w:val="1002"/>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previous years. Conversely, the documented challenges of European airports in coping with the recovering traffic demand and the record high of network constraints in 2023 and 2024 impact the robustness of the schedule.</w:t>
      </w:r>
    </w:p>
    <w:p>
      <w:pPr>
        <w:numPr>
          <w:ilvl w:val="0"/>
          <w:numId w:val="1002"/>
        </w:numPr>
        <w:pStyle w:val="Compact"/>
      </w:pPr>
      <w:r>
        <w:t xml:space="preserve">Overall, Europe showed a higher level of throughput as the higher traffic numbers and constraints require a higher level of pressure on the infrastructure. Nonetheless, the contraints of reaching pre-pandemic traffic levels will require attention in terms of increasing efficiency and reducing capacity constraints with future growth.</w:t>
      </w:r>
      <w:r>
        <w:t xml:space="preserve"> </w:t>
      </w:r>
      <w:r>
        <w:t xml:space="preserve">Brazil may benefit from increasing their stance and maintaining current performance levels with the anticipated growth of traffic.</w:t>
      </w:r>
    </w:p>
    <w:p>
      <w:pPr>
        <w:numPr>
          <w:ilvl w:val="0"/>
          <w:numId w:val="1002"/>
        </w:numPr>
        <w:pStyle w:val="Compact"/>
      </w:pPr>
      <w:r>
        <w:t xml:space="preserve">This report took a first stab at characterising the regional networks for future topic-centric amendments. This will allow to drive future topic studies and provide essential context.</w:t>
      </w:r>
      <w:r>
        <w:t xml:space="preserve"> </w:t>
      </w:r>
      <w:r>
        <w:t xml:space="preserve">As an initial topic-related study, a closer look was taken at two point merge implementations in Brazil and Europe that show different performance outcomes. This is complemented by providing a first look at the operational context of two centres, i.e., Curitiba and Lisbon. This edition helped to frame the work and identify a set of future research questions.</w:t>
      </w:r>
    </w:p>
    <w:p>
      <w:pPr>
        <w:pStyle w:val="FirstParagraph"/>
      </w:pPr>
      <w:r>
        <w:t xml:space="preserve">This report will be updated throughout the coming years under the umbrella of the DECEA-EUROCONTROL memorandum of cooperation.</w:t>
      </w:r>
      <w:r>
        <w:t xml:space="preserve"> </w:t>
      </w:r>
      <w:r>
        <w:t xml:space="preserve">It is also planned to establish a web-based rolling monitoring updated on a regular basis.</w:t>
      </w:r>
    </w:p>
    <w:p>
      <w:pPr>
        <w:pStyle w:val="BodyText"/>
      </w:pPr>
      <w:r>
        <w:t xml:space="preserve">Future editions will complement the data time series and support the development of further use-case analyses.</w:t>
      </w:r>
      <w:r>
        <w:t xml:space="preserve"> </w:t>
      </w:r>
      <w:r>
        <w:t xml:space="preserve">The lessons learnt of this joint project will be coordinated with the multi-national Performance Benchmarking Working Group (PBWG) and the ICAO GANP Study sub-group concerned with the further development of the GANP Key Performance Indicators (KPIs).</w:t>
      </w:r>
    </w:p>
    <w:bookmarkEnd w:id="34"/>
    <w:bookmarkStart w:id="57" w:name="introduction"/>
    <w:p>
      <w:pPr>
        <w:pStyle w:val="Heading1"/>
      </w:pPr>
      <w:r>
        <w:t xml:space="preserve">1. Introduction</w:t>
      </w:r>
    </w:p>
    <w:bookmarkStart w:id="35"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tighter collaboration between Brazil and Europe, DECEA and EUROCONTROL signed a cooperation agreement in 2015.</w:t>
      </w:r>
      <w:r>
        <w:t xml:space="preserve"> </w:t>
      </w:r>
      <w:r>
        <w:t xml:space="preserve">This agreement encompasses various activities, most notably the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preparatory process, and supporting analyses to produce this report or contribute to the aforementioned international activities.</w:t>
      </w:r>
      <w:r>
        <w:br/>
      </w:r>
      <w:r>
        <w:t xml:space="preserve">This report represents the fourth edition of a jointly developed comparison report providing insights into the observed operational performance in Brazil and Europe.</w:t>
      </w:r>
    </w:p>
    <w:bookmarkEnd w:id="35"/>
    <w:bookmarkStart w:id="37" w:name="performance-areas"/>
    <w:p>
      <w:pPr>
        <w:pStyle w:val="Heading2"/>
      </w:pPr>
      <w:r>
        <w:t xml:space="preserve">1.2 Performance Areas</w:t>
      </w:r>
    </w:p>
    <w:p>
      <w:pPr>
        <w:pStyle w:val="FirstParagraph"/>
      </w:pPr>
      <w:r>
        <w:t xml:space="preserve">Establishing a set of shared definitions and a mutual understanding is essential to facilitate comparisons and operational benchmarking activities.</w:t>
      </w:r>
      <w:r>
        <w:t xml:space="preserve"> </w:t>
      </w:r>
      <w:r>
        <w:t xml:space="preserve">Therefore, the work presented in this report is rooted in prior work conducted by ICAO, other regional or multi-regional operational benchmarking initiatives (e.g., PBWG</w:t>
      </w:r>
      <w:r>
        <w:t xml:space="preserve"> </w:t>
      </w:r>
      <w:r>
        <w:rPr>
          <w:rStyle w:val="FootnoteReference"/>
        </w:rPr>
        <w:footnoteReference w:id="36"/>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Discussions are on-going, and future work may also include aspects of cost-effectiveness.</w:t>
      </w:r>
    </w:p>
    <w:bookmarkEnd w:id="37"/>
    <w:bookmarkStart w:id="53"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This ensures air traffic safety while contributing to military defence efforts.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in coordinating and furnishing human resources and technical equipment to all air traffic service units operating within the Brazilian territory.</w:t>
      </w:r>
    </w:p>
    <w:p>
      <w:pPr>
        <w:pStyle w:val="BodyText"/>
      </w:pPr>
      <w:r>
        <w:t xml:space="preserve">DECEA is the cornerstone of the Brazilian Airspace Control System (SISCEAB).</w:t>
      </w:r>
      <w:r>
        <w:t xml:space="preserve"> </w:t>
      </w:r>
      <w:r>
        <w:t xml:space="preserve">The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1" w:name="fig-BRA-airspace"/>
          <w:p>
            <w:pPr>
              <w:pStyle w:val="Compact"/>
              <w:jc w:val="center"/>
            </w:pPr>
            <w:r>
              <w:drawing>
                <wp:inline>
                  <wp:extent cx="5334000" cy="3026111"/>
                  <wp:effectExtent b="0" l="0" r="0" t="0"/>
                  <wp:docPr descr="" title="" id="39" name="Picture"/>
                  <a:graphic>
                    <a:graphicData uri="http://schemas.openxmlformats.org/drawingml/2006/picture">
                      <pic:pic>
                        <pic:nvPicPr>
                          <pic:cNvPr descr="./figures/BRAZIL_CINDACTA_AND_CRCEA.png" id="40" name="Picture"/>
                          <pic:cNvPicPr>
                            <a:picLocks noChangeArrowheads="1" noChangeAspect="1"/>
                          </pic:cNvPicPr>
                        </pic:nvPicPr>
                        <pic:blipFill>
                          <a:blip r:embed="rId38"/>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41"/>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w:t>
      </w:r>
      <w:r>
        <w:t xml:space="preserve"> </w:t>
      </w:r>
      <w:r>
        <w:t xml:space="preserve">The latter is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5" w:name="fig-EUR-airspace"/>
          <w:p>
            <w:pPr>
              <w:pStyle w:val="Compact"/>
              <w:jc w:val="center"/>
            </w:pPr>
            <w:r>
              <w:drawing>
                <wp:inline>
                  <wp:extent cx="4800600" cy="3990372"/>
                  <wp:effectExtent b="0" l="0" r="0" t="0"/>
                  <wp:docPr descr="" title="" id="43" name="Picture"/>
                  <a:graphic>
                    <a:graphicData uri="http://schemas.openxmlformats.org/drawingml/2006/picture">
                      <pic:pic>
                        <pic:nvPicPr>
                          <pic:cNvPr descr="./figures/Europe-ECTRL.png" id="44" name="Picture"/>
                          <pic:cNvPicPr>
                            <a:picLocks noChangeArrowheads="1" noChangeAspect="1"/>
                          </pic:cNvPicPr>
                        </pic:nvPicPr>
                        <pic:blipFill>
                          <a:blip r:embed="rId42"/>
                          <a:stretch>
                            <a:fillRect/>
                          </a:stretch>
                        </pic:blipFill>
                        <pic:spPr bwMode="auto">
                          <a:xfrm>
                            <a:off x="0" y="0"/>
                            <a:ext cx="4800600" cy="39903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5"/>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successively be fully integrated into the working structures of EUROCONTROL, including performance monitoring, in the coming years.</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 predominantly national or local -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service unit in Europe at the time being.</w:t>
      </w:r>
      <w:r>
        <w:t xml:space="preserve"> </w:t>
      </w:r>
      <w:r>
        <w:t xml:space="preserve">Across Europe a number of cross-border arrangements are in place.</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managing and servicing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51"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Lisbon (LPPT)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6"/>
        </w:tc>
      </w:tr>
    </w:tbl>
    <w:tbl>
      <w:tblPr>
        <w:tblStyle w:val="Table"/>
        <w:tblW w:type="pct" w:w="5000"/>
        <w:tblLook w:firstRow="0" w:lastRow="0" w:firstColumn="0" w:lastColumn="0" w:noHBand="0" w:noVBand="0" w:val="0000"/>
        <w:jc w:val="start"/>
        <w:tblLayout w:type="fixed"/>
      </w:tblPr>
      <w:tblGrid>
        <w:gridCol w:w="7920"/>
      </w:tblGrid>
      <w:tr>
        <w:tc>
          <w:tcPr/>
          <w:bookmarkStart w:id="50" w:name="fig-scope-airports"/>
          <w:p>
            <w:pPr>
              <w:pStyle w:val="Compact"/>
              <w:jc w:val="center"/>
            </w:pPr>
            <w:r>
              <w:drawing>
                <wp:inline>
                  <wp:extent cx="4800600" cy="3000375"/>
                  <wp:effectExtent b="0" l="0" r="0" t="0"/>
                  <wp:docPr descr="" title="" id="48" name="Picture"/>
                  <a:graphic>
                    <a:graphicData uri="http://schemas.openxmlformats.org/drawingml/2006/picture">
                      <pic:pic>
                        <pic:nvPicPr>
                          <pic:cNvPr descr="./figures/_scope-airports-map.png" id="49" name="Picture"/>
                          <pic:cNvPicPr>
                            <a:picLocks noChangeArrowheads="1" noChangeAspect="1"/>
                          </pic:cNvPicPr>
                        </pic:nvPicPr>
                        <pic:blipFill>
                          <a:blip r:embed="rId47"/>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50"/>
        </w:tc>
      </w:tr>
    </w:tbl>
    <w:bookmarkEnd w:id="51"/>
    <w:bookmarkStart w:id="52" w:name="temporal-scope"/>
    <w:p>
      <w:pPr>
        <w:pStyle w:val="Heading3"/>
      </w:pPr>
      <w:r>
        <w:t xml:space="preserve">1.3.2 Temporal Scope</w:t>
      </w:r>
    </w:p>
    <w:p>
      <w:pPr>
        <w:pStyle w:val="FirstParagraph"/>
      </w:pPr>
      <w:r>
        <w:t xml:space="preserve">This report focuses on the period from January 2019 to December 2024 with a focus on the post-pandemic years.</w:t>
      </w:r>
      <w:r>
        <w:t xml:space="preserve"> </w:t>
      </w:r>
      <w:r>
        <w:t xml:space="preserve">This report continues to build a timeline with comparable data to be augmented in future editions.</w:t>
      </w:r>
    </w:p>
    <w:p>
      <w:pPr>
        <w:pStyle w:val="BodyText"/>
      </w:pPr>
      <w:r>
        <w:t xml:space="preserve">Throughout the report, summary statistics will be given with reference to calendar years of this comparison study unless highlighted specifically.</w:t>
      </w:r>
    </w:p>
    <w:bookmarkEnd w:id="52"/>
    <w:bookmarkEnd w:id="53"/>
    <w:bookmarkStart w:id="55"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4"/>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5"/>
    <w:bookmarkStart w:id="56"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3"/>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3"/>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3"/>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3"/>
        </w:numPr>
        <w:pStyle w:val="Compact"/>
      </w:pPr>
      <w:r>
        <w:rPr>
          <w:bCs/>
          <w:b/>
        </w:rPr>
        <w:t xml:space="preserve">Predictability</w:t>
      </w:r>
      <w:r>
        <w:t xml:space="preserve"> </w:t>
      </w:r>
      <w:r>
        <w:t xml:space="preserve">observed arrival and departure punctuality;</w:t>
      </w:r>
    </w:p>
    <w:p>
      <w:pPr>
        <w:numPr>
          <w:ilvl w:val="0"/>
          <w:numId w:val="1003"/>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3"/>
        </w:numPr>
        <w:pStyle w:val="Compact"/>
      </w:pPr>
      <w:r>
        <w:rPr>
          <w:bCs/>
          <w:b/>
        </w:rPr>
        <w:t xml:space="preserve">Efficiency</w:t>
      </w:r>
      <w:r>
        <w:t xml:space="preserve"> </w:t>
      </w:r>
      <w:r>
        <w:t xml:space="preserve">analysis of taxi-in, taxi-out, and terminal airspace operations</w:t>
      </w:r>
    </w:p>
    <w:p>
      <w:pPr>
        <w:numPr>
          <w:ilvl w:val="0"/>
          <w:numId w:val="1003"/>
        </w:numPr>
        <w:pStyle w:val="Compact"/>
      </w:pPr>
      <w:r>
        <w:rPr>
          <w:bCs/>
          <w:b/>
        </w:rPr>
        <w:t xml:space="preserve">Topic Studies</w:t>
      </w:r>
      <w:r>
        <w:t xml:space="preserve"> </w:t>
      </w:r>
      <w:r>
        <w:t xml:space="preserve">presents a high-level view on the use of point merge operations at two study airports, and a center-level characterisation; and</w:t>
      </w:r>
    </w:p>
    <w:p>
      <w:pPr>
        <w:numPr>
          <w:ilvl w:val="0"/>
          <w:numId w:val="1003"/>
        </w:numPr>
        <w:pStyle w:val="Compact"/>
      </w:pPr>
      <w:r>
        <w:rPr>
          <w:bCs/>
          <w:b/>
        </w:rPr>
        <w:t xml:space="preserve">Conclusions</w:t>
      </w:r>
      <w:r>
        <w:t xml:space="preserve"> </w:t>
      </w:r>
      <w:r>
        <w:t xml:space="preserve">summary of this report and associated conclusions; and next steps.</w:t>
      </w:r>
    </w:p>
    <w:bookmarkEnd w:id="56"/>
    <w:bookmarkEnd w:id="57"/>
    <w:bookmarkStart w:id="88" w:name="air-navigation-system-characterisation"/>
    <w:p>
      <w:pPr>
        <w:pStyle w:val="Heading1"/>
      </w:pPr>
      <w:r>
        <w:t xml:space="preserve">2. Air Navigation System Characterisation</w:t>
      </w:r>
    </w:p>
    <w:p>
      <w:pPr>
        <w:pStyle w:val="FirstParagraph"/>
      </w:pPr>
      <w:r>
        <w:t xml:space="preserve">This section presents key characteristics of the air navigation systems of Brazil and Europe.</w:t>
      </w:r>
      <w:r>
        <w:t xml:space="preserve"> </w:t>
      </w:r>
      <w:r>
        <w:t xml:space="preserve">In broad strokes, the provision of air navigation services in both regions relies on similar operational concepts, procedures, and supporting technology.</w:t>
      </w:r>
      <w:r>
        <w:t xml:space="preserve"> </w:t>
      </w:r>
      <w:r>
        <w:t xml:space="preserve">Nonetheless, there are several distinctions between the two systems, which help to account for the similarities and differences in key performance indicators documented in this report.</w:t>
      </w:r>
    </w:p>
    <w:bookmarkStart w:id="58" w:name="organisation-of-air-navigation-services"/>
    <w:p>
      <w:pPr>
        <w:pStyle w:val="Heading2"/>
      </w:pPr>
      <w:r>
        <w:t xml:space="preserve">2.1 Organisation of Air Navigation Services</w:t>
      </w:r>
    </w:p>
    <w:p>
      <w:pPr>
        <w:pStyle w:val="FirstParagraph"/>
      </w:pPr>
      <w:r>
        <w:t xml:space="preserve">One of the major differences between the air navigation systems of Brazil and Europe is the respective organisational structure.</w:t>
      </w:r>
      <w:r>
        <w:t xml:space="preserve"> </w:t>
      </w:r>
      <w:r>
        <w:t xml:space="preserve">In Brazil, a single entity serves as the primary air navigation services provider, i.e. the Department of Airspace Control (DECEA).</w:t>
      </w:r>
      <w:r>
        <w:t xml:space="preserve"> </w:t>
      </w:r>
      <w:r>
        <w:t xml:space="preserve">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w:t>
      </w:r>
      <w:r>
        <w:t xml:space="preserve"> </w:t>
      </w:r>
      <w:r>
        <w:t xml:space="preserve">Its mission encompasses the management and control of all air traffic within the sovereign Brazilian airspace, with a significant emphasis on contributing to national defence efforts.</w:t>
      </w:r>
      <w:r>
        <w:t xml:space="preserve"> </w:t>
      </w:r>
      <w:r>
        <w:t xml:space="preserve">To achieve this, DECEA operates a comprehensive and fully integrated civil-military system.</w:t>
      </w:r>
    </w:p>
    <w:p>
      <w:pPr>
        <w:pStyle w:val="BodyText"/>
      </w:pPr>
      <w:r>
        <w:t xml:space="preserve">In 2021, a public company, NAV Brasil, was created to take over some facilities that were linked to an older airport infrastructure provider company in Brazil (INFRAERO).</w:t>
      </w:r>
      <w:r>
        <w:t xml:space="preserve"> </w:t>
      </w:r>
      <w:r>
        <w:t xml:space="preserve">Today, NAV Brasil has 1698 employees in 44 different units, providing aerodrome control services, non-radar approach, meteorology and aeronautical information for the respective locations.</w:t>
      </w:r>
      <w:r>
        <w:t xml:space="preserve"> </w:t>
      </w:r>
      <w:r>
        <w:t xml:space="preserve">Despite serving a significant number of air transport movements,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w:t>
      </w:r>
      <w:r>
        <w:t xml:space="preserve"> </w:t>
      </w:r>
      <w:r>
        <w:t xml:space="preserve">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w:t>
      </w:r>
      <w:r>
        <w:t xml:space="preserve"> </w:t>
      </w:r>
      <w:r>
        <w:t xml:space="preserve">When it comes to the provision of air traffic services, the European approach involves a multitude of service providers, with 37 distinct en-route Air Navigation Service Providers (ANSPs), each responsible for different geographical regions.</w:t>
      </w:r>
      <w:r>
        <w:t xml:space="preserve"> </w:t>
      </w:r>
      <w:r>
        <w:t xml:space="preserve">These services are primarily organised along state boundaries and associated FIR borders, with a number of limited cross-border agreements in place between adjacent airspaces and air traffic service units.</w:t>
      </w:r>
      <w:r>
        <w:br/>
      </w:r>
      <w:r>
        <w:t xml:space="preserve">A noteworthy exception to this predominantly national approach is the Maastricht Upper Area Control,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w:t>
      </w:r>
      <w:r>
        <w:t xml:space="preserve"> </w:t>
      </w:r>
      <w:r>
        <w:t xml:space="preserve">Within the European context, the central coordination of Air Traffic Flow Management (ATFM) and Airspace Management (ASM) is facilitated by the Network Manager.</w:t>
      </w:r>
      <w:r>
        <w:t xml:space="preserve"> </w:t>
      </w:r>
      <w:r>
        <w:t xml:space="preserve">The design of airspace and related procedures is no longer developed and implemented in isolation in Europe.</w:t>
      </w:r>
      <w:r>
        <w:t xml:space="preserve"> </w:t>
      </w:r>
      <w:r>
        <w:t xml:space="preserve">Inefficiencies in the design and utilisation of the air route network are recognised as contributing factors to flight inefficiencies in the region.</w:t>
      </w:r>
      <w:r>
        <w:t xml:space="preserve"> </w:t>
      </w:r>
      <w:r>
        <w:t xml:space="preserve">Therefore, as part of the European Union’s Single European Sky initiative, the Network Manager is tasked with developing an integrated European Route Network Design.</w:t>
      </w:r>
      <w:r>
        <w:t xml:space="preserve"> </w:t>
      </w:r>
      <w:r>
        <w:t xml:space="preserve">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w:t>
      </w:r>
      <w:r>
        <w:t xml:space="preserve"> </w:t>
      </w:r>
      <w:r>
        <w:t xml:space="preserve">To accomplish this, the Network Manager Operations Centre (NMOC) continuously monitors the air traffic situation and proposes flow management measures through the CDM process in coordination with the respective local authorities.</w:t>
      </w:r>
      <w:r>
        <w:t xml:space="preserve"> </w:t>
      </w:r>
      <w:r>
        <w:t xml:space="preserve">This coordination typically occurs with the local Flow Management Positions (FMP) within the respective area control centres.</w:t>
      </w:r>
      <w:r>
        <w:t xml:space="preserve"> </w:t>
      </w:r>
      <w:r>
        <w:t xml:space="preserve">Subsequently, the NMOC implements the relevant flow management initiatives as requested by the authorities or FMPs.</w:t>
      </w:r>
    </w:p>
    <w:bookmarkEnd w:id="58"/>
    <w:bookmarkStart w:id="63" w:name="high-level-system-comparison"/>
    <w:p>
      <w:pPr>
        <w:pStyle w:val="Heading2"/>
      </w:pPr>
      <w:r>
        <w:t xml:space="preserve">2.2 High Level System Comparison</w:t>
      </w:r>
    </w:p>
    <w:p>
      <w:pPr>
        <w:pStyle w:val="FirstParagraph"/>
      </w:pPr>
      <w:hyperlink w:anchor="tbl-HLC">
        <w:r>
          <w:rPr>
            <w:rStyle w:val="Hyperlink"/>
          </w:rPr>
          <w:t xml:space="preserve">Table 2.1</w:t>
        </w:r>
      </w:hyperlink>
      <w:r>
        <w:t xml:space="preserve"> </w:t>
      </w:r>
      <w:r>
        <w:t xml:space="preserve">summarises the key characteristics of the Brazilian and European air navigation system for 2024.</w:t>
      </w:r>
      <w:r>
        <w:t xml:space="preserve"> </w:t>
      </w:r>
      <w:r>
        <w:t xml:space="preserve">Comparing the high-level numbers, Brazil observed a steady increase in the number of Air Traffic Controllers (ATCOs) compared to 2019 (e.g. 2023 vs 2019: 17.6%, 2024 vs 2019: 24.4%).</w:t>
      </w:r>
      <w:r>
        <w:t xml:space="preserve"> </w:t>
      </w:r>
      <w:r>
        <w:t xml:space="preserve">In contrast, the European system showed only a mild increase in total ATCOs in service following the strong reduction during the pandemic in terms of work force.</w:t>
      </w:r>
      <w:r>
        <w:t xml:space="preserve"> </w:t>
      </w:r>
      <w:r>
        <w:t xml:space="preserve">The different behaviour suggests a difference in work force flexibility between the systems.</w:t>
      </w:r>
      <w:r>
        <w:t xml:space="preserve"> </w:t>
      </w:r>
      <w:r>
        <w:t xml:space="preserve">Brazil reacted swiftly to the increase of air traffic ranging at 21.4% higher than in 2019.</w:t>
      </w:r>
      <w:r>
        <w:t xml:space="preserve"> </w:t>
      </w:r>
      <w:r>
        <w:t xml:space="preserve">Europe has seen a mild modulation of ATCO numbers with the annual traffic in 2024 ranging about 4% below the 2019 level.</w:t>
      </w:r>
      <w:r>
        <w:br/>
      </w:r>
      <w:r>
        <w:t xml:space="preserve">This may be partly explained by the fact that DECEA shares part of the structure used in basic training with other Air Force training processes.</w:t>
      </w:r>
      <w:r>
        <w:t xml:space="preserve"> </w:t>
      </w:r>
      <w:r>
        <w:t xml:space="preserve">This leads to a more centralised and rigid process, in which abrupt reactions in hiring planning are unwanted due to the lengthy process of calling for candidates according to Brazilian laws related to public service jobs.</w:t>
      </w:r>
      <w:r>
        <w:t xml:space="preserve"> </w:t>
      </w:r>
      <w:r>
        <w:t xml:space="preserve">In Europe, there exists a mix of organisational models and labour contracts ranging from public service to fully commercial organisation.</w:t>
      </w:r>
      <w:r>
        <w:t xml:space="preserve"> </w:t>
      </w:r>
      <w:r>
        <w:t xml:space="preserve">Thus, European providers tend to react more conservative to anticipated changes in air traffic demand.</w:t>
      </w:r>
    </w:p>
    <w:tbl>
      <w:tblPr>
        <w:tblStyle w:val="Table"/>
        <w:tblW w:type="pct" w:w="5000"/>
        <w:tblLook w:firstRow="0" w:lastRow="0" w:firstColumn="0" w:lastColumn="0" w:noHBand="0" w:noVBand="0" w:val="0000"/>
        <w:jc w:val="start"/>
        <w:tblLayout w:type="fixed"/>
      </w:tblPr>
      <w:tblGrid>
        <w:gridCol w:w="7920"/>
      </w:tblGrid>
      <w:tr>
        <w:tc>
          <w:tcPr/>
          <w:bookmarkStart w:id="62" w:name="tbl-HLC"/>
          <w:p>
            <w:pPr>
              <w:jc w:val="center"/>
            </w:pPr>
            <w:pPr>
              <w:jc w:val="start"/>
              <w:spacing w:before="200"/>
              <w:pStyle w:val="ImageCaption"/>
            </w:pPr>
            <w:r>
              <w:t xml:space="preserve">Table 2.1: High Level Comparison 2024</w:t>
            </w:r>
          </w:p>
          <w:p>
            <w:pPr>
              <w:jc w:val="center"/>
            </w:pPr>
            <w:r>
              <w:drawing>
                <wp:inline>
                  <wp:extent cx="5067300" cy="3568995"/>
                  <wp:effectExtent b="0" l="0" r="0" t="0"/>
                  <wp:docPr descr="" title="" id="60" name="Picture"/>
                  <a:graphic>
                    <a:graphicData uri="http://schemas.openxmlformats.org/drawingml/2006/picture">
                      <pic:pic>
                        <pic:nvPicPr>
                          <pic:cNvPr descr="./figures/HLC-table1.png" id="61" name="Picture"/>
                          <pic:cNvPicPr>
                            <a:picLocks noChangeArrowheads="1" noChangeAspect="1"/>
                          </pic:cNvPicPr>
                        </pic:nvPicPr>
                        <pic:blipFill>
                          <a:blip r:embed="rId59"/>
                          <a:stretch>
                            <a:fillRect/>
                          </a:stretch>
                        </pic:blipFill>
                        <pic:spPr bwMode="auto">
                          <a:xfrm>
                            <a:off x="0" y="0"/>
                            <a:ext cx="5067300" cy="3568995"/>
                          </a:xfrm>
                          <a:prstGeom prst="rect">
                            <a:avLst/>
                          </a:prstGeom>
                          <a:noFill/>
                          <a:ln w="9525">
                            <a:noFill/>
                            <a:headEnd/>
                            <a:tailEnd/>
                          </a:ln>
                        </pic:spPr>
                      </pic:pic>
                    </a:graphicData>
                  </a:graphic>
                </wp:inline>
              </w:drawing>
            </w:r>
          </w:p>
          <w:bookmarkEnd w:id="62"/>
        </w:tc>
      </w:tr>
    </w:tbl>
    <w:p>
      <w:pPr>
        <w:pStyle w:val="BodyText"/>
      </w:pPr>
      <w:r>
        <w:t xml:space="preserve">Another key difference affecting performance in both regions for this report is the development of air traffic demand.</w:t>
      </w:r>
      <w:r>
        <w:t xml:space="preserve"> </w:t>
      </w:r>
      <w:r>
        <w:t xml:space="preserve">Unlike in Europe, it is interesting to note that Brazil ended 2022 already servicing air traffic movements above the pre-pandemic level.</w:t>
      </w:r>
      <w:r>
        <w:t xml:space="preserve"> </w:t>
      </w:r>
      <w:r>
        <w:t xml:space="preserve">There is a continual increase in air traffic in Brazil accounting now for 21,4% of more traffic than in 2019.</w:t>
      </w:r>
      <w:r>
        <w:t xml:space="preserve"> </w:t>
      </w:r>
      <w:r>
        <w:t xml:space="preserve"> </w:t>
      </w:r>
      <w:r>
        <w:t xml:space="preserve">Overall, the volume of air traffic also rebounded in Europe.</w:t>
      </w:r>
      <w:r>
        <w:t xml:space="preserve"> </w:t>
      </w:r>
      <w:r>
        <w:t xml:space="preserve">At the end of 2023, the level reached about 90% of the pre-pandemc air traffic, and with 2024 the gap is closing to about 96%.</w:t>
      </w:r>
      <w:r>
        <w:t xml:space="preserve"> </w:t>
      </w:r>
      <w:r>
        <w:t xml:space="preserve">These recovery numbers are impacted by the geo-political developments.</w:t>
      </w:r>
      <w:r>
        <w:t xml:space="preserve"> </w:t>
      </w:r>
      <w:r>
        <w:t xml:space="preserve">Due to the Russion invasion of Ukraine, a certain share of flights are currently banned to operate to/from Europe.</w:t>
      </w:r>
    </w:p>
    <w:p>
      <w:pPr>
        <w:pStyle w:val="BodyText"/>
      </w:pPr>
      <w:r>
        <w:t xml:space="preserve">Both regions operate with similar operational concepts, procedures and supporting technology.</w:t>
      </w:r>
      <w:r>
        <w:t xml:space="preserve"> </w:t>
      </w:r>
      <w:r>
        <w:t xml:space="preserve">Considering the non-oceanic dimension of the airspace, Brazil services an area about 22% smaller than Europe.</w:t>
      </w:r>
      <w:r>
        <w:t xml:space="preserve"> </w:t>
      </w:r>
      <w:r>
        <w:t xml:space="preserve">Brazil, with lower traffic density related to airspace, finds probably a more challenging cost-benefit ratio to maintain communication coverage and surveillance for regions with low-traffic.</w:t>
      </w:r>
      <w:r>
        <w:t xml:space="preserve"> </w:t>
      </w:r>
      <w:r>
        <w:t xml:space="preserve">The higher traffic density in Europe may cross all aspects of flight management.</w:t>
      </w:r>
      <w:r>
        <w:t xml:space="preserve"> </w:t>
      </w:r>
      <w:r>
        <w:t xml:space="preserve">In particular, the European region faces more considerable challenges in coordinating efforts to adress operational constraints and service the current demand.</w:t>
      </w:r>
    </w:p>
    <w:bookmarkEnd w:id="63"/>
    <w:bookmarkStart w:id="84" w:name="network-characterisation"/>
    <w:p>
      <w:pPr>
        <w:pStyle w:val="Heading2"/>
      </w:pPr>
      <w:r>
        <w:t xml:space="preserve">2.3 Network Characterisation</w:t>
      </w:r>
    </w:p>
    <w:p>
      <w:pPr>
        <w:pStyle w:val="FirstParagraph"/>
      </w:pPr>
      <w:r>
        <w:t xml:space="preserve">To address the changes in air traffic and develop a better understanding of the nature of the air transportation network, this report expands the characterisation of the network.</w:t>
      </w:r>
      <w:r>
        <w:t xml:space="preserve"> </w:t>
      </w:r>
      <w:hyperlink w:anchor="fig-apt-rank-comparison-2024">
        <w:r>
          <w:rPr>
            <w:rStyle w:val="Hyperlink"/>
          </w:rPr>
          <w:t xml:space="preserve">Figure 2.1</w:t>
        </w:r>
      </w:hyperlink>
      <w:r>
        <w:t xml:space="preserve"> </w:t>
      </w:r>
      <w:r>
        <w:t xml:space="preserve">depicts the cumulative share of departures from airports in both regions.</w:t>
      </w:r>
    </w:p>
    <w:tbl>
      <w:tblPr>
        <w:tblStyle w:val="Table"/>
        <w:tblW w:type="pct" w:w="5000"/>
        <w:tblLook w:firstRow="0" w:lastRow="0" w:firstColumn="0" w:lastColumn="0" w:noHBand="0" w:noVBand="0" w:val="0000"/>
        <w:jc w:val="start"/>
        <w:tblLayout w:type="fixed"/>
      </w:tblPr>
      <w:tblGrid>
        <w:gridCol w:w="7920"/>
      </w:tblGrid>
      <w:tr>
        <w:tc>
          <w:tcPr/>
          <w:bookmarkStart w:id="67" w:name="fig-apt-rank-comparison-2024"/>
          <w:p>
            <w:pPr>
              <w:pStyle w:val="Compact"/>
              <w:jc w:val="center"/>
            </w:pPr>
            <w:r>
              <w:drawing>
                <wp:inline>
                  <wp:extent cx="4800600" cy="3840480"/>
                  <wp:effectExtent b="0" l="0" r="0" t="0"/>
                  <wp:docPr descr="" title="" id="65" name="Picture"/>
                  <a:graphic>
                    <a:graphicData uri="http://schemas.openxmlformats.org/drawingml/2006/picture">
                      <pic:pic>
                        <pic:nvPicPr>
                          <pic:cNvPr descr="02-system-overview_files/figure-docx/fig-apt-rank-comparison-2024-1.png" id="66" name="Picture"/>
                          <pic:cNvPicPr>
                            <a:picLocks noChangeArrowheads="1" noChangeAspect="1"/>
                          </pic:cNvPicPr>
                        </pic:nvPicPr>
                        <pic:blipFill>
                          <a:blip r:embed="rId64"/>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Airport Rank Comparison 2024</w:t>
            </w:r>
          </w:p>
          <w:bookmarkEnd w:id="67"/>
        </w:tc>
      </w:tr>
    </w:tbl>
    <w:p>
      <w:pPr>
        <w:pStyle w:val="BodyText"/>
      </w:pPr>
      <w:hyperlink w:anchor="tbl-HLC">
        <w:r>
          <w:rPr>
            <w:rStyle w:val="Hyperlink"/>
          </w:rPr>
          <w:t xml:space="preserve">Table 2.1</w:t>
        </w:r>
      </w:hyperlink>
      <w:r>
        <w:t xml:space="preserve"> </w:t>
      </w:r>
      <w:r>
        <w:t xml:space="preserve">lists the overall serviced traffic in both regions.</w:t>
      </w:r>
      <w:r>
        <w:t xml:space="preserve"> </w:t>
      </w:r>
      <w:r>
        <w:t xml:space="preserve">In 2024 Brazil observed just under a fifth (18.2%) of the traffic handled in Europe.</w:t>
      </w:r>
      <w:r>
        <w:t xml:space="preserve"> </w:t>
      </w:r>
      <w:r>
        <w:t xml:space="preserve">With overflights representing a small share of the traffic in both regions,</w:t>
      </w:r>
      <w:r>
        <w:t xml:space="preserve"> </w:t>
      </w:r>
      <w:hyperlink w:anchor="fig-apt-rank-comparison-2024">
        <w:r>
          <w:rPr>
            <w:rStyle w:val="Hyperlink"/>
          </w:rPr>
          <w:t xml:space="preserve">Figure 2.1</w:t>
        </w:r>
      </w:hyperlink>
      <w:r>
        <w:t xml:space="preserve"> </w:t>
      </w:r>
      <w:r>
        <w:t xml:space="preserve">focusses on the aerodrome movements considering all observed departures.</w:t>
      </w:r>
      <w:r>
        <w:t xml:space="preserve"> </w:t>
      </w:r>
      <w:r>
        <w:t xml:space="preserve">The distribution of air traffic in Brazil confirms that most flights are concentrated in a small number of airports.</w:t>
      </w:r>
      <w:r>
        <w:t xml:space="preserve"> </w:t>
      </w:r>
      <w:r>
        <w:t xml:space="preserve">Traffic in Europe operates from a larger number of aerodromes.</w:t>
      </w:r>
      <w:r>
        <w:t xml:space="preserve"> </w:t>
      </w:r>
      <w:r>
        <w:t xml:space="preserve">For example, in 2024, the 10 busiest airports in Brazil handled 61% of all departing flights whereas in Europe, the top 10 airports account for 19% of all departures.</w:t>
      </w:r>
      <w:r>
        <w:t xml:space="preserve"> </w:t>
      </w:r>
      <w:r>
        <w:t xml:space="preserve">The spread in shares remains broadly constant up to the 50th rank of all departures and narrows to 30% with the top 100 airports in both regions.</w:t>
      </w:r>
      <w:r>
        <w:t xml:space="preserve"> </w:t>
      </w:r>
      <w:r>
        <w:t xml:space="preserve">The latter marking 97% of all departures in Brazil and 67% in Europe.</w:t>
      </w:r>
    </w:p>
    <w:p>
      <w:pPr>
        <w:pStyle w:val="BodyText"/>
      </w:pPr>
      <w:r>
        <w:t xml:space="preserve">The latest edition of Brazil’s Annual Performance Report (it can be found on http://performance.decea.mil.br) reflects this reality.</w:t>
      </w:r>
      <w:r>
        <w:t xml:space="preserve"> </w:t>
      </w:r>
      <w:r>
        <w:t xml:space="preserve">It now includes 100 airport locations instead of only the top 34, ensuring that almost all flights are included in the analysis.</w:t>
      </w:r>
      <w:r>
        <w:t xml:space="preserve"> </w:t>
      </w:r>
      <w:r>
        <w:t xml:space="preserve">This distribution shows that many aerodromes operate with low traffic volumes.</w:t>
      </w:r>
      <w:r>
        <w:t xml:space="preserve"> </w:t>
      </w:r>
      <w:r>
        <w:t xml:space="preserve">Because of that, it is important to study alternative ways to provide air traffic services.</w:t>
      </w:r>
    </w:p>
    <w:p>
      <w:pPr>
        <w:pStyle w:val="BodyText"/>
      </w:pPr>
      <w:r>
        <w:t xml:space="preserve">In Brazil, the Aerodrome Flight Information Service (AFIS) is an effective strategy to ensure safety at locations where the traffic does not justify the installation of a control tower (TWR).</w:t>
      </w:r>
      <w:r>
        <w:t xml:space="preserve"> </w:t>
      </w:r>
      <w:r>
        <w:t xml:space="preserve">This service, usually provided via radio telephony only, gives essential information to pilots, helping to use resources efficiently and keeping operations safe.</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cost-effective and safe way to meet future needs and make better use of SISCEAB’s resources.</w:t>
      </w:r>
    </w:p>
    <w:p>
      <w:pPr>
        <w:pStyle w:val="BodyText"/>
      </w:pPr>
      <w:r>
        <w:t xml:space="preserve">The more spread out distribution in Europe showcases the historical development of the European network.</w:t>
      </w:r>
      <w:r>
        <w:t xml:space="preserve"> </w:t>
      </w:r>
      <w:r>
        <w:t xml:space="preserve">The traditional focus on national hubs and carriers resulted in the development of a higher number of major aerodromes (typically servicing the capital, major metropoles, or economic centers) interconnecting with other national hubs across the continent.</w:t>
      </w:r>
      <w:r>
        <w:t xml:space="preserve"> </w:t>
      </w:r>
      <w:r>
        <w:t xml:space="preserve">There exists a mix of the organisation of smaller operations in Europe.</w:t>
      </w:r>
      <w:r>
        <w:t xml:space="preserve"> </w:t>
      </w:r>
      <w:r>
        <w:t xml:space="preserve">Dependent on the national or local setup, the resources of the national service provider are often complemented by local service providers.</w:t>
      </w:r>
      <w:r>
        <w:t xml:space="preserve"> </w:t>
      </w:r>
      <w:r>
        <w:t xml:space="preserve">Thus, the provision of services varies between smaller manned towers and remotely provided FIS functions provided by nearby ACCs.</w:t>
      </w:r>
      <w:r>
        <w:t xml:space="preserve"> </w:t>
      </w:r>
      <w:r>
        <w:t xml:space="preserve">This includes instrument procedures to approach (and depart) from an uncontrolled aerodrome.</w:t>
      </w:r>
      <w:r>
        <w:t xml:space="preserve"> </w:t>
      </w:r>
      <w:r>
        <w:t xml:space="preserve">Given this mix of organisation and funding in Europe, no consolidated pan-European data was available to specifically account for local AFIS services.</w:t>
      </w:r>
      <w:r>
        <w:t xml:space="preserve"> </w:t>
      </w:r>
      <w:r>
        <w:t xml:space="preserve">Across Europe, there is an interest in consolidating aerodrome control services at important low frequency sites through the deployment of digital remote tower operations.</w:t>
      </w:r>
      <w:r>
        <w:t xml:space="preserve"> </w:t>
      </w:r>
      <w:r>
        <w:t xml:space="preserve">This ranges from site specific remote tower operations (e.g. Cork/Ireland) to a multi-remote tower center (e.g. Stockholm/Sweden, Bodo/Norway) servicing multiple airports simultaneously.</w:t>
      </w:r>
    </w:p>
    <w:p>
      <w:pPr>
        <w:pStyle w:val="BodyText"/>
      </w:pPr>
      <w:r>
        <w:t xml:space="preserve">While the view on the concentration of air traffic provides first insights, the level of connectivity is not immediately identifiable.</w:t>
      </w:r>
    </w:p>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1" w:name="fig-share-intnl-regional"/>
                <w:p>
                  <w:pPr>
                    <w:pStyle w:val="Compact"/>
                    <w:jc w:val="center"/>
                    <w:jc w:val="left"/>
                  </w:pPr>
                  <w:r>
                    <w:drawing>
                      <wp:inline>
                        <wp:extent cx="5334000" cy="4267200"/>
                        <wp:effectExtent b="0" l="0" r="0" t="0"/>
                        <wp:docPr descr="" title="" id="69" name="Picture"/>
                        <a:graphic>
                          <a:graphicData uri="http://schemas.openxmlformats.org/drawingml/2006/picture">
                            <pic:pic>
                              <pic:nvPicPr>
                                <pic:cNvPr descr="02-system-overview_files/figure-docx/fig-share-intnl-regional-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2.2: Share of international and regional/domestic traffic in 2024</w:t>
                  </w:r>
                </w:p>
                <w:bookmarkEnd w:id="71"/>
              </w:tc>
            </w:tr>
          </w:tbl>
          <w:p/>
        </w:tc>
        <w:tc>
          <w:tcPr/>
          <w:p>
            <w:pPr>
              <w:jc w:val="left"/>
            </w:pPr>
            <w:hyperlink w:anchor="fig-share-intnl-regional">
              <w:r>
                <w:rPr>
                  <w:rStyle w:val="Hyperlink"/>
                </w:rPr>
                <w:t xml:space="preserve">Figure 2.2</w:t>
              </w:r>
            </w:hyperlink>
            <w:r>
              <w:t xml:space="preserve"> </w:t>
            </w:r>
            <w:r>
              <w:t xml:space="preserve">shows the distribution of regional/domestic and international departures.</w:t>
            </w:r>
            <w:r>
              <w:t xml:space="preserve"> </w:t>
            </w:r>
            <w:r>
              <w:t xml:space="preserve">For both regions we observe a share of less than 12% of serviced traffic are flights operating to and from the regions.</w:t>
            </w:r>
            <w:r>
              <w:t xml:space="preserve"> </w:t>
            </w:r>
            <w:r>
              <w:t xml:space="preserve">The majority of flights operate within the region, i.e., within the domestic Brazilian network and conversely the European network spanning across EUROCONTROL Member States.</w:t>
            </w:r>
          </w:p>
        </w:tc>
      </w:tr>
    </w:tbl>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5" w:name="fig-share-intnl-regions"/>
                <w:p>
                  <w:pPr>
                    <w:pStyle w:val="Compact"/>
                    <w:jc w:val="center"/>
                    <w:jc w:val="left"/>
                  </w:pPr>
                  <w:r>
                    <w:drawing>
                      <wp:inline>
                        <wp:extent cx="5334000" cy="4267200"/>
                        <wp:effectExtent b="0" l="0" r="0" t="0"/>
                        <wp:docPr descr="" title="" id="73" name="Picture"/>
                        <a:graphic>
                          <a:graphicData uri="http://schemas.openxmlformats.org/drawingml/2006/picture">
                            <pic:pic>
                              <pic:nvPicPr>
                                <pic:cNvPr descr="02-system-overview_files/figure-docx/fig-share-intnl-region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2.3: Share of destinations in 2024</w:t>
                  </w:r>
                </w:p>
                <w:bookmarkEnd w:id="75"/>
              </w:tc>
            </w:tr>
          </w:tbl>
          <w:p/>
        </w:tc>
        <w:tc>
          <w:tcPr/>
          <w:p>
            <w:pPr>
              <w:jc w:val="left"/>
            </w:pPr>
            <w:r>
              <w:t xml:space="preserve">From an international perspective both regions are interconnected differently.</w:t>
            </w:r>
            <w:r>
              <w:t xml:space="preserve"> </w:t>
            </w:r>
            <w:hyperlink w:anchor="fig-share-intnl-regions">
              <w:r>
                <w:rPr>
                  <w:rStyle w:val="Hyperlink"/>
                </w:rPr>
                <w:t xml:space="preserve">Figure 2.3</w:t>
              </w:r>
            </w:hyperlink>
            <w:r>
              <w:t xml:space="preserve"> </w:t>
            </w:r>
            <w:r>
              <w:t xml:space="preserve">sees a spread of the international traffic to other regions.</w:t>
            </w:r>
            <w:r>
              <w:t xml:space="preserve"> </w:t>
            </w:r>
            <w:r>
              <w:t xml:space="preserve">Traffic from Brazil to Europe (i.e., Eurocontrol Member States) accounts for just under 2% of the total traffic volume in Brazil.</w:t>
            </w:r>
            <w:r>
              <w:t xml:space="preserve"> </w:t>
            </w:r>
            <w:r>
              <w:t xml:space="preserve">Connections to other Southern America states represent the major international destinations accounting for about 5%.</w:t>
            </w:r>
            <w:r>
              <w:t xml:space="preserve"> </w:t>
            </w:r>
            <w:r>
              <w:t xml:space="preserve">Europe has a shallow share of flights going to Southern America, including Brazil.</w:t>
            </w:r>
            <w:r>
              <w:t xml:space="preserve"> </w:t>
            </w:r>
            <w:r>
              <w:t xml:space="preserve">The Middle East, Nothern America, and Africa represent the biggest international markets ranging between 2.3-3.3% of all departures in Europe.</w:t>
            </w:r>
          </w:p>
        </w:tc>
      </w:tr>
    </w:tbl>
    <w:tbl>
      <w:tblPr>
        <w:tblStyle w:val="Table"/>
        <w:tblW w:type="pct" w:w="5000"/>
        <w:tblLook w:firstRow="0" w:lastRow="0" w:firstColumn="0" w:lastColumn="0" w:noHBand="0" w:noVBand="0" w:val="0000"/>
        <w:jc w:val="start"/>
        <w:tblLayout w:type="fixed"/>
      </w:tblPr>
      <w:tblGrid>
        <w:gridCol w:w="7920"/>
      </w:tblGrid>
      <w:tr>
        <w:tc>
          <w:tcPr/>
          <w:bookmarkStart w:id="79" w:name="fig-BRA-upset-connection"/>
          <w:p>
            <w:pPr>
              <w:pStyle w:val="Compact"/>
              <w:jc w:val="center"/>
            </w:pPr>
            <w:r>
              <w:drawing>
                <wp:inline>
                  <wp:extent cx="4800600" cy="3000375"/>
                  <wp:effectExtent b="0" l="0" r="0" t="0"/>
                  <wp:docPr descr="" title="" id="77" name="Picture"/>
                  <a:graphic>
                    <a:graphicData uri="http://schemas.openxmlformats.org/drawingml/2006/picture">
                      <pic:pic>
                        <pic:nvPicPr>
                          <pic:cNvPr descr="./figures/BRA-upset-national-connections.png" id="78"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Connections to adjacent countries</w:t>
            </w:r>
          </w:p>
          <w:bookmarkEnd w:id="79"/>
        </w:tc>
      </w:tr>
    </w:tbl>
    <w:p>
      <w:pPr>
        <w:pStyle w:val="BodyText"/>
      </w:pPr>
      <w:r>
        <w:t xml:space="preserve">With</w:t>
      </w:r>
      <w:r>
        <w:t xml:space="preserve"> </w:t>
      </w:r>
      <w:hyperlink w:anchor="fig-BRA-upset-connection">
        <w:r>
          <w:rPr>
            <w:rStyle w:val="Hyperlink"/>
          </w:rPr>
          <w:t xml:space="preserve">Figure 2.4</w:t>
        </w:r>
      </w:hyperlink>
      <w:r>
        <w:t xml:space="preserve"> </w:t>
      </w:r>
      <w:r>
        <w:t xml:space="preserve">we observe just under 46.000 flights in 2024 operated to adjacent countries in South America.</w:t>
      </w:r>
      <w:r>
        <w:t xml:space="preserve"> </w:t>
      </w:r>
      <w:r>
        <w:t xml:space="preserve">A strong segment of the market represents flights to/from Argentina and Chile accounting for about half of the flights departing from the airports in this study.</w:t>
      </w:r>
      <w:r>
        <w:t xml:space="preserve"> </w:t>
      </w:r>
      <w:r>
        <w:t xml:space="preserve">Accordingly, flights to Colombia and Uruguay from the study airports account for a smaller fraction, and there is a multitude of other connections to South America and the Carribean.</w:t>
      </w:r>
      <w:r>
        <w:t xml:space="preserve"> </w:t>
      </w:r>
      <w:r>
        <w:t xml:space="preserve">Flights operating from airports not included in this study account for smaller shares.</w:t>
      </w:r>
      <w:r>
        <w:t xml:space="preserve"> </w:t>
      </w:r>
      <w:r>
        <w:t xml:space="preserve">This confirms the selection of the study airports for Brazil, as the major airports handle most of the pan-regional traffic with a strong connection to Argentina and Chile.</w:t>
      </w:r>
    </w:p>
    <w:tbl>
      <w:tblPr>
        <w:tblStyle w:val="Table"/>
        <w:tblW w:type="pct" w:w="5000"/>
        <w:tblLook w:firstRow="0" w:lastRow="0" w:firstColumn="0" w:lastColumn="0" w:noHBand="0" w:noVBand="0" w:val="0000"/>
        <w:jc w:val="start"/>
        <w:tblLayout w:type="fixed"/>
      </w:tblPr>
      <w:tblGrid>
        <w:gridCol w:w="7920"/>
      </w:tblGrid>
      <w:tr>
        <w:tc>
          <w:tcPr/>
          <w:bookmarkStart w:id="83" w:name="fig-BRA-EUR-connections-parallel"/>
          <w:p>
            <w:pPr>
              <w:pStyle w:val="Compact"/>
              <w:jc w:val="center"/>
            </w:pPr>
            <w:r>
              <w:drawing>
                <wp:inline>
                  <wp:extent cx="5334000" cy="7467600"/>
                  <wp:effectExtent b="0" l="0" r="0" t="0"/>
                  <wp:docPr descr="" title="" id="81" name="Picture"/>
                  <a:graphic>
                    <a:graphicData uri="http://schemas.openxmlformats.org/drawingml/2006/picture">
                      <pic:pic>
                        <pic:nvPicPr>
                          <pic:cNvPr descr="02-system-overview_files/figure-docx/fig-BRA-EUR-connections-parallel-1.png" id="82" name="Picture"/>
                          <pic:cNvPicPr>
                            <a:picLocks noChangeArrowheads="1" noChangeAspect="1"/>
                          </pic:cNvPicPr>
                        </pic:nvPicPr>
                        <pic:blipFill>
                          <a:blip r:embed="rId8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Connections between the study regions in 2024</w:t>
            </w:r>
          </w:p>
          <w:bookmarkEnd w:id="83"/>
        </w:tc>
      </w:tr>
    </w:tbl>
    <w:p>
      <w:pPr>
        <w:pStyle w:val="BodyText"/>
      </w:pPr>
      <w:hyperlink w:anchor="fig-BRA-EUR-connections-parallel">
        <w:r>
          <w:rPr>
            <w:rStyle w:val="Hyperlink"/>
          </w:rPr>
          <w:t xml:space="preserve">Figure 2.5</w:t>
        </w:r>
      </w:hyperlink>
      <w:r>
        <w:t xml:space="preserve"> </w:t>
      </w:r>
      <w:r>
        <w:t xml:space="preserve">shows the connections between Europe and Brazil in 2024.</w:t>
      </w:r>
      <w:r>
        <w:t xml:space="preserve"> </w:t>
      </w:r>
      <w:r>
        <w:t xml:space="preserve">Individual connections of less than 90 flights per year are aggregated into an</w:t>
      </w:r>
      <w:r>
        <w:t xml:space="preserve"> </w:t>
      </w:r>
      <w:r>
        <w:t xml:space="preserve">“</w:t>
      </w:r>
      <w:r>
        <w:t xml:space="preserve">other</w:t>
      </w:r>
      <w:r>
        <w:t xml:space="preserve">”</w:t>
      </w:r>
      <w:r>
        <w:t xml:space="preserve"> </w:t>
      </w:r>
      <w:r>
        <w:t xml:space="preserve">group.</w:t>
      </w:r>
      <w:r>
        <w:t xml:space="preserve"> </w:t>
      </w:r>
      <w:r>
        <w:t xml:space="preserve">These reflect to a large extent individual flights (e.g. State flights, specific cargo operations), and only contribute to a small extent to the overall traffic between both regions.</w:t>
      </w:r>
      <w:r>
        <w:br/>
      </w:r>
      <w:r>
        <w:t xml:space="preserve">Guarulhos (SBGR) and Lisbon (LPPT) are the main airports for connectivity between both regions.</w:t>
      </w:r>
      <w:r>
        <w:t xml:space="preserve"> </w:t>
      </w:r>
      <w:r>
        <w:t xml:space="preserve">Due to its prominent role, this edition considers operations at LPPT in a more prominent manner.</w:t>
      </w:r>
    </w:p>
    <w:p>
      <w:pPr>
        <w:pStyle w:val="BodyText"/>
      </w:pPr>
      <w:r>
        <w:t xml:space="preserve">Future work may highlight to what extent resources within both regions are bound to establishing basic connectivity and what type of services are provided to accommodate the demand.</w:t>
      </w:r>
      <w:r>
        <w:t xml:space="preserve"> </w:t>
      </w:r>
      <w:r>
        <w:t xml:space="preserve">Further research can explore how both regions can maximise installed capacity, benefit from novel operational or technical concepts, and suggest improvements for ANS provision.</w:t>
      </w:r>
    </w:p>
    <w:bookmarkEnd w:id="84"/>
    <w:bookmarkStart w:id="86" w:name="X84954e512131c13ae1f1d878d06e1bb85be2050"/>
    <w:p>
      <w:pPr>
        <w:pStyle w:val="Heading2"/>
      </w:pPr>
      <w:r>
        <w:t xml:space="preserve">2.4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w:t>
      </w:r>
      <w:r>
        <w:t xml:space="preserve"> </w:t>
      </w:r>
      <w:r>
        <w:t xml:space="preserve">The Performance Review Commission (PRC) was established within EUROCONTROL in 1998 aiming to establish and implement an independent European air traffic management (ATM) performance review capability in response to the European Civil Aviation Conference (ECAC) Institutional Strategy.</w:t>
      </w:r>
      <w:r>
        <w:t xml:space="preserve"> </w:t>
      </w:r>
      <w:r>
        <w:t xml:space="preserve">The main goal of the PRC is to offer impartial advice on pan-European ATM performance to EUROCONTROL’s governing bodies.</w:t>
      </w:r>
      <w:r>
        <w:t xml:space="preserve"> </w:t>
      </w:r>
      <w:r>
        <w:t xml:space="preserve">Supported by the Performance Review Unit (PRU), the PRC conducts extensive research, data analysis, and consultations to provide objective insights and recommendations.</w:t>
      </w:r>
      <w:r>
        <w:t xml:space="preserve"> </w:t>
      </w:r>
      <w:r>
        <w:t xml:space="preserve">EUROCONTROL’s performance review system, a pioneering initiative in the late 1990s, has influenced broader forums like ICAO’s global performance approach and the Single European Sky (SES) performance scheme.</w:t>
      </w:r>
      <w:r>
        <w:t xml:space="preserve"> </w:t>
      </w:r>
      <w:r>
        <w:t xml:space="preserve">Collaborating internationally, particularly with ICAO, the PRC aims to harmonise air navigation practices.</w:t>
      </w:r>
      <w:r>
        <w:t xml:space="preserve"> </w:t>
      </w:r>
      <w:r>
        <w:t xml:space="preserve">The PRC produces annual reports (ACE and PRR) and provides operational performance monitoring through various data products and online tools.</w:t>
      </w:r>
      <w:r>
        <w:t xml:space="preserve"> </w:t>
      </w:r>
      <w:r>
        <w:t xml:space="preserve">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w:t>
      </w:r>
      <w:r>
        <w:t xml:space="preserve"> </w:t>
      </w:r>
      <w:r>
        <w:t xml:space="preserve">Beginning with the SIRIUS Brazil Program in 2012, DECEA faced challenges defining metrics, but made significant progress after signing a Cooperation Agreement with EUROCONTROL in 2015.</w:t>
      </w:r>
      <w:r>
        <w:t xml:space="preserve"> </w:t>
      </w:r>
      <w:r>
        <w:t xml:space="preserve">DECEA published crucial documents for ICAO’s Global Air Navigation Plan, prompting an organisational transformation and adaptation of practices.</w:t>
      </w:r>
      <w:r>
        <w:t xml:space="preserve"> </w:t>
      </w:r>
      <w:r>
        <w:t xml:space="preserve">Establishing the ATM Performance Section in 2019, akin to EUROCONTROL’s PRU, DECEA accelerated the build-up of expertise in operational performance monitoring.</w:t>
      </w:r>
      <w:r>
        <w:t xml:space="preserve"> </w:t>
      </w:r>
      <w:r>
        <w:t xml:space="preserve">This culminated in the publication of the first Brazilian ATM Performance Plan for 2022-2023.</w:t>
      </w:r>
      <w:r>
        <w:t xml:space="preserve"> </w:t>
      </w:r>
      <w:r>
        <w:t xml:space="preserve">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w:t>
      </w:r>
      <w:r>
        <w:t xml:space="preserve"> </w:t>
      </w:r>
      <w:r>
        <w:t xml:space="preserve">Embracing transparency, both agencies made indicators and databases publicly accessible, perpetuating a culture of reciprocity and transparency for mutual advancement.</w:t>
      </w:r>
      <w:r>
        <w:t xml:space="preserve"> </w:t>
      </w:r>
      <w:r>
        <w:t xml:space="preserve">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w:t>
      </w:r>
      <w:r>
        <w:t xml:space="preserve"> </w:t>
      </w:r>
      <w:r>
        <w:t xml:space="preserve">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85">
        <w:r>
          <w:rPr>
            <w:rStyle w:val="Hyperlink"/>
          </w:rPr>
          <w:t xml:space="preserve">https://ansperformance.eu/global/brazil/</w:t>
        </w:r>
      </w:hyperlink>
      <w:r>
        <w:t xml:space="preserve"> </w:t>
      </w:r>
      <w:r>
        <w:t xml:space="preserve">or</w:t>
      </w:r>
      <w:r>
        <w:t xml:space="preserve"> </w:t>
      </w:r>
      <w:hyperlink r:id="rId29">
        <w:r>
          <w:rPr>
            <w:rStyle w:val="Hyperlink"/>
          </w:rPr>
          <w:t xml:space="preserve">https://performance.decea.mil.br/</w:t>
        </w:r>
      </w:hyperlink>
      <w:r>
        <w:t xml:space="preserve">.</w:t>
      </w:r>
    </w:p>
    <w:bookmarkEnd w:id="86"/>
    <w:bookmarkStart w:id="87" w:name="summary"/>
    <w:p>
      <w:pPr>
        <w:pStyle w:val="Heading2"/>
      </w:pPr>
      <w:r>
        <w:t xml:space="preserve">2.5 Summary</w:t>
      </w:r>
    </w:p>
    <w:p>
      <w:pPr>
        <w:pStyle w:val="FirstParagraph"/>
      </w:pPr>
      <w:r>
        <w:t xml:space="preserve">While both regions operate on similar operational concepts and technologies, there exists key characteristics and distinctions in both regions.</w:t>
      </w:r>
      <w:r>
        <w:t xml:space="preserve"> </w:t>
      </w:r>
      <w:r>
        <w:t xml:space="preserve">One of the key differences is the overall organisation of air navigation services.</w:t>
      </w:r>
      <w:r>
        <w:t xml:space="preserve"> </w:t>
      </w:r>
      <w:r>
        <w:t xml:space="preserve">Brazil’s air navigation services are centralised under DECEA, overseeing all airspace control and contributing to national defense.</w:t>
      </w:r>
      <w:r>
        <w:t xml:space="preserve"> </w:t>
      </w:r>
      <w:r>
        <w:t xml:space="preserve">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w:t>
      </w:r>
      <w:r>
        <w:t xml:space="preserve"> </w:t>
      </w:r>
      <w:r>
        <w:t xml:space="preserve">This revealed contrasting trends.</w:t>
      </w:r>
      <w:r>
        <w:t xml:space="preserve"> </w:t>
      </w:r>
      <w:r>
        <w:t xml:space="preserve">Brazil experienced an increase in ATCOs in line with the overall traffic growth.</w:t>
      </w:r>
      <w:r>
        <w:t xml:space="preserve"> </w:t>
      </w:r>
      <w:r>
        <w:t xml:space="preserve">ATCO numbers in Europe marginally increased in comparison to 2019 in 2023.</w:t>
      </w:r>
      <w:r>
        <w:t xml:space="preserve"> </w:t>
      </w:r>
      <w:r>
        <w:t xml:space="preserve">This disparity underscores a significant difference in the systems’ responsiveness, partly attributed to Brazil’s centralised and rigid hiring process.</w:t>
      </w:r>
      <w:r>
        <w:t xml:space="preserve"> </w:t>
      </w:r>
      <w:r>
        <w:t xml:space="preserve">At the same time, European providers operate with greater independence with varying organisational setups (public vs private organisation, unions).</w:t>
      </w:r>
      <w:r>
        <w:t xml:space="preserve"> </w:t>
      </w:r>
      <w:r>
        <w:t xml:space="preserve">Adjustments of the ATCO workforce tend to be more conservative..</w:t>
      </w:r>
    </w:p>
    <w:p>
      <w:pPr>
        <w:pStyle w:val="BodyText"/>
      </w:pPr>
      <w:r>
        <w:t xml:space="preserve">The distribution of commercial flights in 2022 indicated that only a subset of airports handled 80% of commercial take-offs.</w:t>
      </w:r>
      <w:r>
        <w:t xml:space="preserve"> </w:t>
      </w:r>
      <w:r>
        <w:t xml:space="preserve">In 2024 - with the stabilising air traffic levels - the top-10 airports in Europe handled 19% of the network departures, while in Brazil the top-10 accounted for 61%; considering the top-100 airports in both regions, this group handled 67% of all departures in Europe, and 97% in Brazil.</w:t>
      </w:r>
      <w:r>
        <w:t xml:space="preserve"> </w:t>
      </w:r>
      <w:r>
        <w:t xml:space="preserve">The concentration effect is higher in Brazil than in Europe.</w:t>
      </w:r>
      <w:r>
        <w:t xml:space="preserve"> </w:t>
      </w:r>
      <w:r>
        <w:t xml:space="preserve">On the other hand, the distribution also showed that a significant number of airports operating commercial flights handle only a marginal share of the movements in both systems.</w:t>
      </w:r>
      <w:r>
        <w:t xml:space="preserve"> </w:t>
      </w:r>
      <w:r>
        <w:t xml:space="preserve">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w:t>
      </w:r>
      <w:r>
        <w:t xml:space="preserve"> </w:t>
      </w:r>
      <w:r>
        <w:t xml:space="preserve">The effort benefits the two regions and contributes globally by sharing insights and lessons learned with international aviation communities, aiding the development of ATM performance management worldwide.</w:t>
      </w:r>
    </w:p>
    <w:bookmarkEnd w:id="87"/>
    <w:bookmarkEnd w:id="88"/>
    <w:bookmarkStart w:id="129" w:name="traffic-characterisation"/>
    <w:p>
      <w:pPr>
        <w:pStyle w:val="Heading1"/>
      </w:pPr>
      <w:r>
        <w:t xml:space="preserve">3. Traffic Characterisation</w:t>
      </w:r>
    </w:p>
    <w:p>
      <w:pPr>
        <w:pStyle w:val="FirstParagraph"/>
      </w:pPr>
      <w:r>
        <w:t xml:space="preserve">To facilitate operational benchmarking comparisons, it is crucial to have a good understanding of the level and composition of air traffic.</w:t>
      </w:r>
      <w:r>
        <w:t xml:space="preserve"> </w:t>
      </w:r>
      <w:r>
        <w:t xml:space="preserve">The preceding section provided an overview of the context and organisation of air navigation services in Brazil and Europe, and the overall network characteristics.</w:t>
      </w:r>
      <w:r>
        <w:t xml:space="preserve"> </w:t>
      </w:r>
      <w:r>
        <w:t xml:space="preserve">This chapter presents some air traffic characteristics for both regions to provide a framework for the observed operational performance in subsequent parts of the report.</w:t>
      </w:r>
    </w:p>
    <w:bookmarkStart w:id="97"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 for the period 2019 to 2024.</w:t>
      </w:r>
    </w:p>
    <w:p>
      <w:pPr>
        <w:pStyle w:val="BodyText"/>
      </w:pPr>
      <w:r>
        <w:t xml:space="preserve">For Brazil, it is important to remember that</w:t>
      </w:r>
      <w:r>
        <w:t xml:space="preserve"> </w:t>
      </w:r>
      <w:hyperlink w:anchor="fig-annual-traffic-timeline">
        <w:r>
          <w:rPr>
            <w:rStyle w:val="Hyperlink"/>
          </w:rPr>
          <w:t xml:space="preserve">Figure 3.1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tbl>
      <w:tblPr>
        <w:tblStyle w:val="Table"/>
        <w:tblW w:type="pct" w:w="5000"/>
        <w:tblLook w:firstRow="0" w:lastRow="0" w:firstColumn="0" w:lastColumn="0" w:noHBand="0" w:noVBand="0" w:val="0000"/>
        <w:jc w:val="start"/>
        <w:tblLayout w:type="fixed"/>
      </w:tblPr>
      <w:tblGrid>
        <w:gridCol w:w="7920"/>
      </w:tblGrid>
      <w:tr>
        <w:tc>
          <w:tcPr/>
          <w:bookmarkStart w:id="92" w:name="fig-annual-traffic-timeline"/>
          <w:p>
            <w:pPr>
              <w:pStyle w:val="Compact"/>
              <w:jc w:val="center"/>
            </w:pPr>
            <w:r>
              <w:drawing>
                <wp:inline>
                  <wp:extent cx="5334000" cy="4267200"/>
                  <wp:effectExtent b="0" l="0" r="0" t="0"/>
                  <wp:docPr descr="" title="" id="90" name="Picture"/>
                  <a:graphic>
                    <a:graphicData uri="http://schemas.openxmlformats.org/drawingml/2006/picture">
                      <pic:pic>
                        <pic:nvPicPr>
                          <pic:cNvPr descr="03-traffic_characterisation_files/figure-docx/fig-annual-traffic-timeline-1.png" id="91" name="Picture"/>
                          <pic:cNvPicPr>
                            <a:picLocks noChangeArrowheads="1" noChangeAspect="1"/>
                          </pic:cNvPicPr>
                        </pic:nvPicPr>
                        <pic:blipFill>
                          <a:blip r:embed="rId8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92"/>
        </w:tc>
      </w:tr>
    </w:tbl>
    <w:p>
      <w:pPr>
        <w:pStyle w:val="BodyText"/>
      </w:pPr>
      <w:r>
        <w:t xml:space="preserve">Brazilian air traffic continues to exceed 2019 levels, marking a phase of real growth, not just post-pandemic recovery. Since 2022, traffic has grown steadily, showing a structured recovery in demand. However, commercial aviation is still adjusting its route network in some regions to fully match 2019 levels.</w:t>
      </w:r>
    </w:p>
    <w:p>
      <w:pPr>
        <w:pStyle w:val="BodyText"/>
      </w:pPr>
      <w:hyperlink w:anchor="fig-annual-traffic-timeline">
        <w:r>
          <w:rPr>
            <w:rStyle w:val="Hyperlink"/>
          </w:rPr>
          <w:t xml:space="preserve">Figure 3.1</w:t>
        </w:r>
      </w:hyperlink>
      <w:r>
        <w:t xml:space="preserve"> </w:t>
      </w:r>
      <w:r>
        <w:t xml:space="preserve">shows the daily evolution of air traffic in Brazil (7-day moving average) highlights the busiest and quietest periods of recent years. Over the past three years, the day with the lowest average traffic in Brazil typically falls on the Wednesday after Carnival. Meanwhile, the annual peak usually happens in late December, close to Christmas, reinforcing a well-established seasonal pattern in the Brazilian air transport market.Overall, despite short-term fluctuations, the general trend is upward, confirming that Brazil is on a steady growth path. It is important to note that the Brazilian data only includes commercial flights (excluding general and military aviation) and is based on UTC time.</w:t>
      </w:r>
    </w:p>
    <w:p>
      <w:pPr>
        <w:pStyle w:val="BodyText"/>
      </w:pPr>
      <w:r>
        <w:t xml:space="preserve">When we compare this with the European Region, a different dynamic becomes visible. In terms of total network-level air traffic, Europe still lags behind its pre-pandemic levels. However, if current trends continue, the region is expected to reach or slightly surpass 2019 traffic levels by 2025. Low-cost carriers have outperformed mainline airlines in the recovery phase. Their business model allowed for faster adjustments in staffing, crewing, and servicing. At the same time, national support programs for legacy carriers often included conditions such as slot restrictions or reduced domestic operations, which contributed to a decrease in overall network connectivity and frequency between airports.</w:t>
      </w:r>
    </w:p>
    <w:tbl>
      <w:tblPr>
        <w:tblStyle w:val="Table"/>
        <w:tblW w:type="pct" w:w="5000"/>
        <w:tblLook w:firstRow="0" w:lastRow="0" w:firstColumn="0" w:lastColumn="0" w:noHBand="0" w:noVBand="0" w:val="0000"/>
        <w:jc w:val="start"/>
        <w:tblLayout w:type="fixed"/>
      </w:tblPr>
      <w:tblGrid>
        <w:gridCol w:w="7920"/>
      </w:tblGrid>
      <w:tr>
        <w:tc>
          <w:tcPr/>
          <w:bookmarkStart w:id="96" w:name="fig-annual-network"/>
          <w:p>
            <w:pPr>
              <w:pStyle w:val="Compact"/>
              <w:jc w:val="center"/>
            </w:pPr>
            <w:r>
              <w:drawing>
                <wp:inline>
                  <wp:extent cx="5334000" cy="4267200"/>
                  <wp:effectExtent b="0" l="0" r="0" t="0"/>
                  <wp:docPr descr="" title="" id="94" name="Picture"/>
                  <a:graphic>
                    <a:graphicData uri="http://schemas.openxmlformats.org/drawingml/2006/picture">
                      <pic:pic>
                        <pic:nvPicPr>
                          <pic:cNvPr descr="03-traffic_characterisation_files/figure-docx/fig-annual-network-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96"/>
        </w:tc>
      </w:tr>
    </w:tbl>
    <w:p>
      <w:pPr>
        <w:pStyle w:val="BodyText"/>
      </w:pPr>
      <w:hyperlink w:anchor="fig-annual-network">
        <w:r>
          <w:rPr>
            <w:rStyle w:val="Hyperlink"/>
          </w:rPr>
          <w:t xml:space="preserve">Figure 3.2</w:t>
        </w:r>
      </w:hyperlink>
      <w:r>
        <w:t xml:space="preserve"> </w:t>
      </w:r>
      <w:r>
        <w:t xml:space="preserve">compares the evolution of daily air traffic in the Brazil and European regions across the last three years. Each line represents a 7-day moving average of flight numbers, allowing seasonal patterns and year-over-year changes to be visualised more clearly.</w:t>
      </w:r>
    </w:p>
    <w:p>
      <w:pPr>
        <w:pStyle w:val="BodyText"/>
      </w:pPr>
      <w:r>
        <w:t xml:space="preserve">In the Brazilian region, the data shows a consistent upward trend, with each year positioned above the previous one, especially in the first and second quarters. This indicates that Brazil’s aviation sector not only recovered from the pandemic but has entered a period of sustained organic growth. The seasonal curve in Brazil is more stable throughout the year, reflecting a demand pattern that is less affected by strong seasonal variations.</w:t>
      </w:r>
    </w:p>
    <w:p>
      <w:pPr>
        <w:pStyle w:val="BodyText"/>
      </w:pPr>
      <w:r>
        <w:t xml:space="preserve">In contrast, the European region displays strong seasonality, with pronounced peaks during the summer months (June to September) and sharp drops in winter. This pattern aligns with Europe’s tourism-driven traffic, where demand is concentrated in holiday periods.</w:t>
      </w:r>
      <w:r>
        <w:t xml:space="preserve"> </w:t>
      </w:r>
      <w:r>
        <w:t xml:space="preserve">While there is a general growth trend during the post-pandemic phase, a clear step change took place between 2022 and 2023. Comparing 2023 to 2024 reveals a shallow, but continual, growth across the year signalling a certain level of saturation in terms of network connections.</w:t>
      </w:r>
    </w:p>
    <w:p>
      <w:pPr>
        <w:pStyle w:val="BodyText"/>
      </w:pPr>
      <w:r>
        <w:t xml:space="preserve">The analysis of annual trends also reveals how regional disruptions can impact national networks. In Brazil, traffic volume dropped significantly in May 2024, due to heavy rainfall in the south starting in late April. The floods led to the prolonged closure of Salgado Filho International Airport (SBPA) in Porto Alegre, which remained out of operation until October. This disruption had a clear impact on domestic commercial aviation and reduced overall national traffic during that period.</w:t>
      </w:r>
    </w:p>
    <w:p>
      <w:pPr>
        <w:pStyle w:val="BodyText"/>
      </w:pPr>
      <w:r>
        <w:t xml:space="preserve">While Brazil shows less seasonal fluctuation overall, Europe’s variation in traffic volume is much more pronounced. This contrast points to the importance of adjusting capacity and optimizing airport infrastructure to better respond to periods of high demand.</w:t>
      </w:r>
    </w:p>
    <w:bookmarkEnd w:id="97"/>
    <w:bookmarkStart w:id="113"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9" name="Picture"/>
            <a:graphic>
              <a:graphicData uri="http://schemas.openxmlformats.org/drawingml/2006/picture">
                <pic:pic>
                  <pic:nvPicPr>
                    <pic:cNvPr descr="03-traffic_characterisation_files/figure-docx/unnamed-chunk-4-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4" w:name="fig-eur-apt-level-tfc"/>
          <w:p>
            <w:pPr>
              <w:pStyle w:val="Compact"/>
              <w:jc w:val="center"/>
            </w:pPr>
            <w:r>
              <w:drawing>
                <wp:inline>
                  <wp:extent cx="5334000" cy="4267200"/>
                  <wp:effectExtent b="0" l="0" r="0" t="0"/>
                  <wp:docPr descr="" title="" id="102" name="Picture"/>
                  <a:graphic>
                    <a:graphicData uri="http://schemas.openxmlformats.org/drawingml/2006/picture">
                      <pic:pic>
                        <pic:nvPicPr>
                          <pic:cNvPr descr="03-traffic_characterisation_files/figure-docx/fig-eur-apt-level-tfc-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European airport level traffic</w:t>
            </w:r>
          </w:p>
          <w:bookmarkEnd w:id="104"/>
        </w:tc>
      </w:tr>
    </w:tbl>
    <w:p>
      <w:pPr>
        <w:pStyle w:val="BodyText"/>
      </w:pPr>
      <w:hyperlink w:anchor="fig-eur-apt-level-tfc">
        <w:r>
          <w:rPr>
            <w:rStyle w:val="Hyperlink"/>
          </w:rPr>
          <w:t xml:space="preserve">Figure 3.3</w:t>
        </w:r>
      </w:hyperlink>
      <w:r>
        <w:t xml:space="preserve"> </w:t>
      </w:r>
      <w:r>
        <w:t xml:space="preserve">presents the airport-level traffic evolution for the study airports from 2022 to 2024. The data clearly show different dynamics between the two regions. In Europe, all airports observed increases in movement levels from 2023 to 2024, reinforcing the region’s ongoing recovery trajectory.</w:t>
      </w:r>
    </w:p>
    <w:p>
      <w:pPr>
        <w:pStyle w:val="BodyText"/>
      </w:pPr>
      <w:r>
        <w:t xml:space="preserve">The Brazilian scenario is more heterogeneous. While some airports, such as Galeão (SBGL) and Guarulhos (SBGR), registered increases, others—such as Santos Dumont (SBRJ) and Porto Alegre (SBPA) saw declines. Meanwhile, Congonhas (SBSP) and Brasília (SBBR) showed very little variation. This divergence highlights the uneven pace of recovery among Brazil’s major airports, reflecting broader structural and operational differences in the national aviation landscape.</w:t>
      </w:r>
    </w:p>
    <w:p>
      <w:pPr>
        <w:pStyle w:val="BodyText"/>
      </w:pPr>
      <w:r>
        <w:t xml:space="preserve">It is also important to emphasize that Brazil’s air traffic is distributed across a much larger number of airports compared to Europe. As discussed in Chapter 2, Brazil’s extensive network dilutes traffic concentration at the top airports. This is illustrated on the left side of</w:t>
      </w:r>
      <w:r>
        <w:t xml:space="preserve"> </w:t>
      </w:r>
      <w:hyperlink w:anchor="fig-eur-apt-level-tfc">
        <w:r>
          <w:rPr>
            <w:rStyle w:val="Hyperlink"/>
          </w:rPr>
          <w:t xml:space="preserve">Figure 3.3</w:t>
        </w:r>
      </w:hyperlink>
      <w:r>
        <w:t xml:space="preserve">, which shows a slight decline in the share of total traffic handled by Brazil. This suggests a modest redistribution of movements across a broader set of airports, potentially due to regional market recovery, strategic airline adjustments, or temporary infrastructure constraints—factors that will be discussed in the next sections.</w:t>
      </w:r>
    </w:p>
    <w:p>
      <w:pPr>
        <w:pStyle w:val="BodyText"/>
      </w:pPr>
      <w:r>
        <w:t xml:space="preserve">Europe’s busiest airports have slightly increased their share of total network traffic over the same period. This upward trend reflects the growing reliance on major hubs as the region continues progressing toward pre-pandemic traffic levels, supported by more robust infrastructure and concentrated demand.</w:t>
      </w:r>
    </w:p>
    <w:tbl>
      <w:tblPr>
        <w:tblStyle w:val="Table"/>
        <w:tblW w:type="pct" w:w="5000"/>
        <w:tblLook w:firstRow="0" w:lastRow="0" w:firstColumn="0" w:lastColumn="0" w:noHBand="0" w:noVBand="0" w:val="0000"/>
        <w:jc w:val="start"/>
        <w:tblLayout w:type="fixed"/>
      </w:tblPr>
      <w:tblGrid>
        <w:gridCol w:w="7920"/>
      </w:tblGrid>
      <w:tr>
        <w:tc>
          <w:tcPr/>
          <w:bookmarkStart w:id="108" w:name="fig-apt-annual-change"/>
          <w:p>
            <w:pPr>
              <w:pStyle w:val="Compact"/>
              <w:jc w:val="center"/>
            </w:pPr>
            <w:r>
              <w:drawing>
                <wp:inline>
                  <wp:extent cx="5334000" cy="4267200"/>
                  <wp:effectExtent b="0" l="0" r="0" t="0"/>
                  <wp:docPr descr="" title="" id="106" name="Picture"/>
                  <a:graphic>
                    <a:graphicData uri="http://schemas.openxmlformats.org/drawingml/2006/picture">
                      <pic:pic>
                        <pic:nvPicPr>
                          <pic:cNvPr descr="03-traffic_characterisation_files/figure-docx/fig-apt-annual-change-1.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Annual traffic at study airports in 2024 and variation 2024/2023</w:t>
            </w:r>
          </w:p>
          <w:bookmarkEnd w:id="108"/>
        </w:tc>
      </w:tr>
    </w:tbl>
    <w:p>
      <w:pPr>
        <w:pStyle w:val="BodyText"/>
      </w:pPr>
      <w:r>
        <w:t xml:space="preserve">The 2024 air traffic analysis highlights the importance of understanding the structural differences between the Brazilian and European networks. While Guarulhos (SBGR) remains the busiest airport in Brazil, its traffic volume is comparable to that of the fifth and sixth busiest airports in Europe— Munich and Gatwick. This shows that direct comparisons between the top airports in each region may not fully reflect their operational realities. Factors such as the number of runways, network architecture, and traffic density create unique operational complexities in each case.</w:t>
      </w:r>
    </w:p>
    <w:p>
      <w:pPr>
        <w:pStyle w:val="BodyText"/>
      </w:pPr>
      <w:r>
        <w:t xml:space="preserve">In Brazil, the largest traffic drop in 2024 occurred at Porto Alegre Airport (SBPA), which was directly impacted by major flooding in May and remained closed until October. Many flights were redirected to nearby airports in southern Brazil, which are not included in the scope of this comparison with Europe. Another change was the increase in traffic at Galeão International Airport (SBGL), which rose to sixth place among Brazil’s busiest airports. This shift was mainly driven by restrictions applied at Santos Dumont Airport (SBRJ), leading to a reallocation of flights from SBRJ to SBGL. As a result, SBRJ saw a decline, while SBGL experienced gradual growth in operations. This redistribution not only affects annual totals but will also have direct impacts on other indicators, such as the peak day of operations, which will be discussed later in this report.</w:t>
      </w:r>
    </w:p>
    <w:p>
      <w:pPr>
        <w:pStyle w:val="BodyText"/>
      </w:pPr>
      <w:r>
        <w:t xml:space="preserve">The data illustrates how both the Brazilian and European air networks have adapted to their respective challenges. In Brazil, the system has shown resilience in the face of environmental events and regulatory changes, while in Europe, traffic growth is becoming more concentrated at major hubs as the region continues to recover toward pre-pandemic levels. These dynamics highlight the importance of continuous monitoring and flexible planning to ensure operational efficiency and network stability in both regions.</w:t>
      </w:r>
    </w:p>
    <w:tbl>
      <w:tblPr>
        <w:tblStyle w:val="Table"/>
        <w:tblW w:type="pct" w:w="5000"/>
        <w:tblLook w:firstRow="0" w:lastRow="0" w:firstColumn="0" w:lastColumn="0" w:noHBand="0" w:noVBand="0" w:val="0000"/>
        <w:jc w:val="start"/>
        <w:tblLayout w:type="fixed"/>
      </w:tblPr>
      <w:tblGrid>
        <w:gridCol w:w="7920"/>
      </w:tblGrid>
      <w:tr>
        <w:tc>
          <w:tcPr/>
          <w:bookmarkStart w:id="112" w:name="fig-monthly-tfc-sbgr-lppt"/>
          <w:p>
            <w:pPr>
              <w:pStyle w:val="Compact"/>
              <w:jc w:val="center"/>
            </w:pPr>
            <w:r>
              <w:drawing>
                <wp:inline>
                  <wp:extent cx="5334000" cy="6400800"/>
                  <wp:effectExtent b="0" l="0" r="0" t="0"/>
                  <wp:docPr descr="" title="" id="110" name="Picture"/>
                  <a:graphic>
                    <a:graphicData uri="http://schemas.openxmlformats.org/drawingml/2006/picture">
                      <pic:pic>
                        <pic:nvPicPr>
                          <pic:cNvPr descr="03-traffic_characterisation_files/figure-docx/fig-monthly-tfc-sbgr-lppt-1.png" id="111" name="Picture"/>
                          <pic:cNvPicPr>
                            <a:picLocks noChangeArrowheads="1" noChangeAspect="1"/>
                          </pic:cNvPicPr>
                        </pic:nvPicPr>
                        <pic:blipFill>
                          <a:blip r:embed="rId10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Monthly traffic evolution at SBGR, EDDM and SBSP, LPPT</w:t>
            </w:r>
          </w:p>
          <w:bookmarkEnd w:id="112"/>
        </w:tc>
      </w:tr>
    </w:tbl>
    <w:p>
      <w:pPr>
        <w:pStyle w:val="BodyText"/>
      </w:pPr>
      <w:hyperlink w:anchor="fig-monthly-tfc-sbgr-lppt">
        <w:r>
          <w:rPr>
            <w:rStyle w:val="Hyperlink"/>
          </w:rPr>
          <w:t xml:space="preserve">Figure 3.5</w:t>
        </w:r>
      </w:hyperlink>
      <w:r>
        <w:t xml:space="preserve"> </w:t>
      </w:r>
      <w:r>
        <w:t xml:space="preserve">shows the monthly evolution of traffic at Guarulhos International Airport (SBGR) during 2023 and 2024, which remains the top airport in Brazil, and Munich (EDDM).</w:t>
      </w:r>
      <w:r>
        <w:t xml:space="preserve"> </w:t>
      </w:r>
      <w:r>
        <w:t xml:space="preserve">EDDM recorded approximately 50,000 more operations than SBGR in 2025.</w:t>
      </w:r>
      <w:r>
        <w:t xml:space="preserve"> </w:t>
      </w:r>
      <w:r>
        <w:t xml:space="preserve">For SBGR, a steady increase in monthly operations can be seen throughout 2024 compared to 2023, with July standing out as the month with the highest volume during the period analysed.</w:t>
      </w:r>
      <w:r>
        <w:t xml:space="preserve"> </w:t>
      </w:r>
      <w:r>
        <w:t xml:space="preserve">This trend reflects the continued strengthening of commercial aviation at Brazil’s main hub.</w:t>
      </w:r>
      <w:r>
        <w:t xml:space="preserve"> </w:t>
      </w:r>
      <w:r>
        <w:t xml:space="preserve">Operations at EDDM show a more pronounced seasonal pattern with traffic building up from end Spring to the peak levels during the summer months including October.</w:t>
      </w:r>
      <w:r>
        <w:t xml:space="preserve"> </w:t>
      </w:r>
      <w:r>
        <w:t xml:space="preserve">Comparing traffic levels in 2023 with 2024, EDDM shows also a strong increase in demand as part of the on-going pandemic recovery.</w:t>
      </w:r>
    </w:p>
    <w:p>
      <w:pPr>
        <w:pStyle w:val="BodyText"/>
      </w:pPr>
      <w:r>
        <w:t xml:space="preserve">Comparing operations at Sao Paulo Congonhas (SBSP) and Lisbon (LPPT) shows again a more seasonal pattern in Europe with the summer period representing the peak months.</w:t>
      </w:r>
      <w:r>
        <w:t xml:space="preserve"> </w:t>
      </w:r>
      <w:r>
        <w:t xml:space="preserve">Traffic evolution at SBSP is more moderated. There exists variation across the year in comparison to 2023 suggesting slight modifications of the schedule. However, on average, traffic levels appear stable at SBSP servicing predominantly national and regional traffic.</w:t>
      </w:r>
      <w:r>
        <w:t xml:space="preserve"> </w:t>
      </w:r>
      <w:r>
        <w:t xml:space="preserve">Lisbon (LPPT) showed also smaller variations when comparing traffic levels in 2023 vs 2024.</w:t>
      </w:r>
      <w:r>
        <w:t xml:space="preserve"> </w:t>
      </w:r>
      <w:r>
        <w:t xml:space="preserve">This suggests that air transport demand has stabilised post-pandemic.</w:t>
      </w:r>
      <w:r>
        <w:t xml:space="preserve"> </w:t>
      </w:r>
      <w:r>
        <w:t xml:space="preserve">It also evidences that the level of air transport recovery across Europe varies.</w:t>
      </w:r>
    </w:p>
    <w:p>
      <w:pPr>
        <w:pStyle w:val="BodyText"/>
      </w:pPr>
      <w:r>
        <w:t xml:space="preserve">Guarulhos’ performance becomes more relevant when compared to the busiest airports in Europe.</w:t>
      </w:r>
      <w:r>
        <w:t xml:space="preserve"> </w:t>
      </w:r>
      <w:r>
        <w:t xml:space="preserve">Similar traffic levels were observed at Munich (EDDM) in Europe in 2024 highlighting the different realities of each region.</w:t>
      </w:r>
      <w:r>
        <w:t xml:space="preserve"> </w:t>
      </w:r>
      <w:r>
        <w:t xml:space="preserve">This comparison helps illustrate the structural complexity and differences between the two systems.</w:t>
      </w:r>
      <w:r>
        <w:t xml:space="preserve"> </w:t>
      </w:r>
      <w:r>
        <w:t xml:space="preserve">While Brazil concentrates much of its traffic in a number of key airports like SBGR, Europe sees a more varied spread of operations across a larger network of major airports.</w:t>
      </w:r>
      <w:r>
        <w:t xml:space="preserve"> </w:t>
      </w:r>
      <w:r>
        <w:t xml:space="preserve">The group of latter airport often operate a more robust infrastructure (such as more runways).</w:t>
      </w:r>
      <w:r>
        <w:t xml:space="preserve"> </w:t>
      </w:r>
      <w:r>
        <w:t xml:space="preserve">Therefore, a direct comparisons between the</w:t>
      </w:r>
      <w:r>
        <w:t xml:space="preserve"> </w:t>
      </w:r>
      <w:r>
        <w:t xml:space="preserve">“</w:t>
      </w:r>
      <w:r>
        <w:t xml:space="preserve">top</w:t>
      </w:r>
      <w:r>
        <w:t xml:space="preserve">”</w:t>
      </w:r>
      <w:r>
        <w:t xml:space="preserve"> </w:t>
      </w:r>
      <w:r>
        <w:t xml:space="preserve">airports in each region may not accurately reflect their unique operational contexts.</w:t>
      </w:r>
    </w:p>
    <w:bookmarkEnd w:id="113"/>
    <w:bookmarkStart w:id="122"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tbl>
      <w:tblPr>
        <w:tblStyle w:val="Table"/>
        <w:tblW w:type="pct" w:w="5000"/>
        <w:tblLook w:firstRow="0" w:lastRow="0" w:firstColumn="0" w:lastColumn="0" w:noHBand="0" w:noVBand="0" w:val="0000"/>
        <w:jc w:val="start"/>
        <w:tblLayout w:type="fixed"/>
      </w:tblPr>
      <w:tblGrid>
        <w:gridCol w:w="7920"/>
      </w:tblGrid>
      <w:tr>
        <w:tc>
          <w:tcPr/>
          <w:bookmarkStart w:id="117" w:name="fig-peak-day-3years"/>
          <w:p>
            <w:pPr>
              <w:pStyle w:val="Compact"/>
              <w:jc w:val="center"/>
            </w:pPr>
            <w:r>
              <w:drawing>
                <wp:inline>
                  <wp:extent cx="5334000" cy="4267200"/>
                  <wp:effectExtent b="0" l="0" r="0" t="0"/>
                  <wp:docPr descr="" title="" id="115" name="Picture"/>
                  <a:graphic>
                    <a:graphicData uri="http://schemas.openxmlformats.org/drawingml/2006/picture">
                      <pic:pic>
                        <pic:nvPicPr>
                          <pic:cNvPr descr="03-traffic_characterisation_files/figure-docx/fig-peak-day-3years-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Airport peak daily traffic (2022 - 2024)</w:t>
            </w:r>
          </w:p>
          <w:bookmarkEnd w:id="117"/>
        </w:tc>
      </w:tr>
    </w:tbl>
    <w:p>
      <w:pPr>
        <w:pStyle w:val="BodyText"/>
      </w:pPr>
      <w:hyperlink w:anchor="fig-peak-day-3years">
        <w:r>
          <w:rPr>
            <w:rStyle w:val="Hyperlink"/>
          </w:rPr>
          <w:t xml:space="preserve">Figure 3.6</w:t>
        </w:r>
      </w:hyperlink>
      <w:r>
        <w:t xml:space="preserve"> </w:t>
      </w:r>
      <w:r>
        <w:t xml:space="preserve">shows the evolution of peak day traffic between 2022 and 2024 across the Brazilian and European airports included in this study.</w:t>
      </w:r>
      <w:r>
        <w:t xml:space="preserve"> </w:t>
      </w:r>
      <w:r>
        <w:t xml:space="preserve">The peak day measurement is as a useful complement to traffic levels and average daily movement metrics.</w:t>
      </w:r>
      <w:r>
        <w:t xml:space="preserve"> </w:t>
      </w:r>
      <w:r>
        <w:t xml:space="preserve">It provides a reference to the achievable daily service rate that can highlight nuances of the operational context and constraints at comparable airports and approach areas.</w:t>
      </w:r>
    </w:p>
    <w:p>
      <w:pPr>
        <w:pStyle w:val="BodyText"/>
      </w:pPr>
      <w:r>
        <w:t xml:space="preserve">Overall, the data shows a general stability in operational volumes across most major airports in Brazil.</w:t>
      </w:r>
      <w:r>
        <w:t xml:space="preserve"> </w:t>
      </w:r>
      <w:r>
        <w:t xml:space="preserve">On the European side, the year-by-year comparison highlights the on-going recovery and initial consolidation effects post the pandemic.</w:t>
      </w:r>
      <w:r>
        <w:t xml:space="preserve"> </w:t>
      </w:r>
      <w:r>
        <w:t xml:space="preserve">Consistent with the overall traffic increase the majority of them recorded an increase in peak day traffic, with all of them showing significantly higher values compared to 2022.</w:t>
      </w:r>
    </w:p>
    <w:p>
      <w:pPr>
        <w:pStyle w:val="BodyText"/>
      </w:pPr>
      <w:r>
        <w:t xml:space="preserve">Still, some variations stand out on the Brazilian side:</w:t>
      </w:r>
    </w:p>
    <w:p>
      <w:pPr>
        <w:numPr>
          <w:ilvl w:val="0"/>
          <w:numId w:val="1004"/>
        </w:numPr>
      </w:pPr>
      <w:r>
        <w:t xml:space="preserve">Guarulhos (SBGR), Galeão (SBGL), and Confins (SBCF) recorded increases in their peak day movements, reflecting their greater capacity to absorb traffic and some redistribution of demand within the national network.</w:t>
      </w:r>
    </w:p>
    <w:p>
      <w:pPr>
        <w:numPr>
          <w:ilvl w:val="0"/>
          <w:numId w:val="1004"/>
        </w:numPr>
      </w:pPr>
      <w:r>
        <w:t xml:space="preserve">Santos Dumont (SBRJ), on the other hand, shows a notable drop, directly tied to the operational restrictions implemented during 2024, which limited its capacity and led to the transfer of some flights to SBGL.</w:t>
      </w:r>
    </w:p>
    <w:p>
      <w:pPr>
        <w:numPr>
          <w:ilvl w:val="0"/>
          <w:numId w:val="1004"/>
        </w:numPr>
      </w:pPr>
      <w:r>
        <w:t xml:space="preserve">In the case of Porto Alegre (SBPA), even though it was severely affected by floods starting in May 2024, the data does not show a significant drop in its peak day value. This is likely because the peak occurred either before May or after limited operations resumed in October.</w:t>
      </w:r>
    </w:p>
    <w:p>
      <w:pPr>
        <w:pStyle w:val="FirstParagraph"/>
      </w:pPr>
      <w:r>
        <w:t xml:space="preserve">Regarding the peak day traffic at European airports:</w:t>
      </w:r>
    </w:p>
    <w:p>
      <w:pPr>
        <w:numPr>
          <w:ilvl w:val="0"/>
          <w:numId w:val="1005"/>
        </w:numPr>
      </w:pPr>
      <w:r>
        <w:t xml:space="preserve">Paris Charles de Gaulle (LFPG) stood out with the most pronounced growth in both 2023 and 2024.</w:t>
      </w:r>
    </w:p>
    <w:p>
      <w:pPr>
        <w:numPr>
          <w:ilvl w:val="0"/>
          <w:numId w:val="1005"/>
        </w:numPr>
      </w:pPr>
      <w:r>
        <w:t xml:space="preserve">Significant step increases were observed at London Heathrow (EGLL), Frankfurt (EDDF), and Madrid (LEMD) between 2022 and 2023. As major hubs, this also reflects the increase in international air traffic and the reactivation of network connections by the major carriers operating from/to these airports.</w:t>
      </w:r>
    </w:p>
    <w:p>
      <w:pPr>
        <w:numPr>
          <w:ilvl w:val="0"/>
          <w:numId w:val="1005"/>
        </w:numPr>
      </w:pPr>
      <w:r>
        <w:t xml:space="preserve">Marginal to no changes between 2023 and 2024 evidence that the peak operations at Frankfurt (EDDF), Gatwick (EGKK), Lisbon (LPPT), and Zurich (LSZH) reach their daily maximum service rate.</w:t>
      </w:r>
    </w:p>
    <w:p>
      <w:pPr>
        <w:pStyle w:val="FirstParagraph"/>
      </w:pPr>
      <w:r>
        <w:t xml:space="preserve">The comparison between the Brazilian and European contexts reinforces the importance of considering each network’s structure, operational model, and geographic distribution when evaluating operational performance at and around airports.</w:t>
      </w:r>
      <w:r>
        <w:t xml:space="preserve"> </w:t>
      </w:r>
      <w:r>
        <w:t xml:space="preserve">It also shows how peak day traffic can offer unique insights — especially during periods of recovery or transition — by highlighting the maximum operational load airport services can sustain regardless of their average daily traffic.</w:t>
      </w:r>
    </w:p>
    <w:tbl>
      <w:tblPr>
        <w:tblStyle w:val="Table"/>
        <w:tblW w:type="pct" w:w="5000"/>
        <w:tblLook w:firstRow="0" w:lastRow="0" w:firstColumn="0" w:lastColumn="0" w:noHBand="0" w:noVBand="0" w:val="0000"/>
        <w:jc w:val="start"/>
        <w:tblLayout w:type="fixed"/>
      </w:tblPr>
      <w:tblGrid>
        <w:gridCol w:w="7920"/>
      </w:tblGrid>
      <w:tr>
        <w:tc>
          <w:tcPr/>
          <w:bookmarkStart w:id="121" w:name="fig-peak-day"/>
          <w:p>
            <w:pPr>
              <w:pStyle w:val="Compact"/>
              <w:jc w:val="center"/>
            </w:pPr>
            <w:r>
              <w:drawing>
                <wp:inline>
                  <wp:extent cx="5334000" cy="4267200"/>
                  <wp:effectExtent b="0" l="0" r="0" t="0"/>
                  <wp:docPr descr="" title="" id="119" name="Picture"/>
                  <a:graphic>
                    <a:graphicData uri="http://schemas.openxmlformats.org/drawingml/2006/picture">
                      <pic:pic>
                        <pic:nvPicPr>
                          <pic:cNvPr descr="03-traffic_characterisation_files/figure-docx/fig-peak-day-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service rate (99th percentile, 2024)</w:t>
            </w:r>
          </w:p>
          <w:bookmarkEnd w:id="121"/>
        </w:tc>
      </w:tr>
    </w:tbl>
    <w:p>
      <w:pPr>
        <w:pStyle w:val="BodyText"/>
      </w:pPr>
      <w:r>
        <w:t xml:space="preserve">Analysing the 2024 peak day data, as presented in</w:t>
      </w:r>
      <w:r>
        <w:t xml:space="preserve"> </w:t>
      </w:r>
      <w:hyperlink w:anchor="fig-peak-day">
        <w:r>
          <w:rPr>
            <w:rStyle w:val="Hyperlink"/>
          </w:rPr>
          <w:t xml:space="preserve">Figure 3.7</w:t>
        </w:r>
      </w:hyperlink>
      <w:r>
        <w:t xml:space="preserve">, with Brazilian and European airports grouped by number of runways, we observe that six European airports operate with three or more runways and are therefore not directly comparable to Brazilian airports.</w:t>
      </w:r>
      <w:r>
        <w:t xml:space="preserve"> </w:t>
      </w:r>
      <w:r>
        <w:t xml:space="preserve">However, it is important to note that in many of these cases, the runway system does not support fully independent operations on all available runways.</w:t>
      </w:r>
      <w:r>
        <w:t xml:space="preserve"> </w:t>
      </w:r>
      <w:r>
        <w:t xml:space="preserve">Such contraints reduce the available runway system capacity, and thus, the serviced peak traffic is also impacted by the runway system configuration.</w:t>
      </w:r>
      <w:r>
        <w:t xml:space="preserve"> </w:t>
      </w:r>
      <w:r>
        <w:t xml:space="preserve">For example, operations at Amsterdam (EHAM) cannot make use of all six runways at the same time.</w:t>
      </w:r>
      <w:r>
        <w:t xml:space="preserve"> </w:t>
      </w:r>
      <w:r>
        <w:t xml:space="preserve">Operations at Zurich (LSZH, 3 interdependent runway system) range in the order of single runway operations at Gatwick (EGKK, 1 runway).</w:t>
      </w:r>
      <w:r>
        <w:t xml:space="preserve"> </w:t>
      </w:r>
      <w:r>
        <w:t xml:space="preserve">As a result, peak traffic performance is also shaped by the specific runway configuration.</w:t>
      </w:r>
    </w:p>
    <w:p>
      <w:pPr>
        <w:pStyle w:val="BodyText"/>
      </w:pPr>
      <w:r>
        <w:t xml:space="preserve">When focusing on airports with up to two runways, European airports still show significantly higher peak day movements compared to the Brazilian ones.</w:t>
      </w:r>
      <w:r>
        <w:t xml:space="preserve"> </w:t>
      </w:r>
      <w:r>
        <w:t xml:space="preserve">This difference can be attributed to more robust infrastructure and operational systems in Europe.</w:t>
      </w:r>
      <w:r>
        <w:t xml:space="preserve"> </w:t>
      </w:r>
      <w:r>
        <w:t xml:space="preserve">Additional benefits are exploited by dedicated operational concepts.</w:t>
      </w:r>
      <w:r>
        <w:t xml:space="preserve"> </w:t>
      </w:r>
      <w:r>
        <w:t xml:space="preserve">For example, London Heathrow implemented time-based separation on final which adds to achieving a high level of runway system throughput even in high wind situations.</w:t>
      </w:r>
    </w:p>
    <w:p>
      <w:pPr>
        <w:pStyle w:val="BodyText"/>
      </w:pPr>
      <w:r>
        <w:t xml:space="preserve">This show the importance of analysing peak day traffic as a complementary indicator to average daily movements, especially during periods of recovery or operational adjustments.</w:t>
      </w:r>
      <w:r>
        <w:t xml:space="preserve"> </w:t>
      </w:r>
      <w:r>
        <w:t xml:space="preserve">Future research may highlight the impact of the runway system configuration on the service rate under the associated runway use.</w:t>
      </w:r>
    </w:p>
    <w:bookmarkEnd w:id="122"/>
    <w:bookmarkStart w:id="127" w:name="fleet-mix"/>
    <w:p>
      <w:pPr>
        <w:pStyle w:val="Heading2"/>
      </w:pPr>
      <w:r>
        <w:t xml:space="preserve">3.4 Fleet Mix</w:t>
      </w:r>
    </w:p>
    <w:tbl>
      <w:tblPr>
        <w:tblStyle w:val="Table"/>
        <w:tblW w:type="pct" w:w="5000"/>
        <w:tblLook w:firstRow="0" w:lastRow="0" w:firstColumn="0" w:lastColumn="0" w:noHBand="0" w:noVBand="0" w:val="0000"/>
        <w:jc w:val="start"/>
        <w:tblLayout w:type="fixed"/>
      </w:tblPr>
      <w:tblGrid>
        <w:gridCol w:w="7920"/>
      </w:tblGrid>
      <w:tr>
        <w:tc>
          <w:tcPr/>
          <w:bookmarkStart w:id="126" w:name="fig-fleet-mix"/>
          <w:p>
            <w:pPr>
              <w:pStyle w:val="Compact"/>
              <w:jc w:val="center"/>
            </w:pPr>
            <w:r>
              <w:drawing>
                <wp:inline>
                  <wp:extent cx="5334000" cy="5334000"/>
                  <wp:effectExtent b="0" l="0" r="0" t="0"/>
                  <wp:docPr descr="" title="" id="124" name="Picture"/>
                  <a:graphic>
                    <a:graphicData uri="http://schemas.openxmlformats.org/drawingml/2006/picture">
                      <pic:pic>
                        <pic:nvPicPr>
                          <pic:cNvPr descr="03-traffic_characterisation_files/figure-docx/fig-fleet-mix-1.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6"/>
        </w:tc>
      </w:tr>
    </w:tbl>
    <w:p>
      <w:pPr>
        <w:pStyle w:val="BodyText"/>
      </w:pPr>
      <w:hyperlink w:anchor="fig-fleet-mix">
        <w:r>
          <w:rPr>
            <w:rStyle w:val="Hyperlink"/>
          </w:rPr>
          <w:t xml:space="preserve">Figure 3.8</w:t>
        </w:r>
      </w:hyperlink>
      <w:r>
        <w:t xml:space="preserve"> </w:t>
      </w:r>
      <w:r>
        <w:t xml:space="preserve">confirms the dominance of the</w:t>
      </w:r>
      <w:r>
        <w:t xml:space="preserve"> </w:t>
      </w:r>
      <w:r>
        <w:t xml:space="preserve">“</w:t>
      </w:r>
      <w:r>
        <w:t xml:space="preserve">medium</w:t>
      </w:r>
      <w:r>
        <w:t xml:space="preserve">”</w:t>
      </w:r>
      <w:r>
        <w:t xml:space="preserve"> </w:t>
      </w:r>
      <w:r>
        <w:t xml:space="preserve">aircraft category at the airports analysed in both Brazil and Europe.</w:t>
      </w:r>
      <w:r>
        <w:t xml:space="preserve"> </w:t>
      </w:r>
      <w:r>
        <w:t xml:space="preserve">Fleet mix plays a key role in airport capacity, directly impacting traffic flow and operational efficiency.</w:t>
      </w:r>
      <w:r>
        <w:t xml:space="preserve"> </w:t>
      </w:r>
      <w:r>
        <w:t xml:space="preserve">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p>
    <w:p>
      <w:pPr>
        <w:pStyle w:val="BodyText"/>
      </w:pPr>
      <w:r>
        <w:t xml:space="preserve">In Brazil, the main international hubs, Guarulhos (SBGR), Galeão (SBGL), and Campinas (SBKP), showed a 15% to 20% share of</w:t>
      </w:r>
      <w:r>
        <w:t xml:space="preserve"> </w:t>
      </w:r>
      <w:r>
        <w:t xml:space="preserve">“</w:t>
      </w:r>
      <w:r>
        <w:t xml:space="preserve">heavy</w:t>
      </w:r>
      <w:r>
        <w:t xml:space="preserve">”</w:t>
      </w:r>
      <w:r>
        <w:t xml:space="preserve"> </w:t>
      </w:r>
      <w:r>
        <w:t xml:space="preserve">aircraft, reinforcing their role as the country’s key international gateways.</w:t>
      </w:r>
      <w:r>
        <w:t xml:space="preserve"> </w:t>
      </w:r>
      <w:r>
        <w:t xml:space="preserve">Campinas, in particular, stands out as the main hub for Azul Linhas Aéreas and also handles a large volume of cargo operations, which contributes to its diverse fleet profile and operational complexity.</w:t>
      </w:r>
    </w:p>
    <w:p>
      <w:pPr>
        <w:pStyle w:val="BodyText"/>
      </w:pPr>
      <w:r>
        <w:t xml:space="preserve">Some Brazilian airports such as Brasília (SBBR) and Salvador (SBSV) serviced a significant share of</w:t>
      </w:r>
      <w:r>
        <w:t xml:space="preserve"> </w:t>
      </w:r>
      <w:r>
        <w:t xml:space="preserve">“</w:t>
      </w:r>
      <w:r>
        <w:t xml:space="preserve">light</w:t>
      </w:r>
      <w:r>
        <w:t xml:space="preserve">”</w:t>
      </w:r>
      <w:r>
        <w:t xml:space="preserve"> </w:t>
      </w:r>
      <w:r>
        <w:t xml:space="preserve">aircraft.</w:t>
      </w:r>
      <w:r>
        <w:t xml:space="preserve"> </w:t>
      </w:r>
      <w:r>
        <w:t xml:space="preserve">This category that is nearly absent among the European airports analysed.</w:t>
      </w:r>
      <w:r>
        <w:t xml:space="preserve"> </w:t>
      </w:r>
      <w:r>
        <w:t xml:space="preserve">The notable exemption is Zurich (LSZH).</w:t>
      </w:r>
      <w:r>
        <w:t xml:space="preserve"> </w:t>
      </w:r>
      <w:r>
        <w:t xml:space="preserve">In Salvador, light aircraft account for nearly 20% of all movements, and a similar pattern is observed in Campinas, reflecting their regional and logistical roles.</w:t>
      </w:r>
    </w:p>
    <w:p>
      <w:pPr>
        <w:pStyle w:val="BodyText"/>
      </w:pPr>
      <w:r>
        <w:t xml:space="preserve">On average, the share of</w:t>
      </w:r>
      <w:r>
        <w:t xml:space="preserve"> </w:t>
      </w:r>
      <w:r>
        <w:t xml:space="preserve">“</w:t>
      </w:r>
      <w:r>
        <w:t xml:space="preserve">heavy</w:t>
      </w:r>
      <w:r>
        <w:t xml:space="preserve">”</w:t>
      </w:r>
      <w:r>
        <w:t xml:space="preserve"> </w:t>
      </w:r>
      <w:r>
        <w:t xml:space="preserve">aircraft is higher at the European study airports.</w:t>
      </w:r>
      <w:r>
        <w:t xml:space="preserve"> </w:t>
      </w:r>
      <w:r>
        <w:t xml:space="preserve">The major European hubs like Frankfurt (EDDF), Heathrow (EGLL), and Charles de Gaulle (LFPG) operate with a higher proportion of</w:t>
      </w:r>
      <w:r>
        <w:t xml:space="preserve"> </w:t>
      </w:r>
      <w:r>
        <w:t xml:space="preserve">“</w:t>
      </w:r>
      <w:r>
        <w:t xml:space="preserve">heavy</w:t>
      </w:r>
      <w:r>
        <w:t xml:space="preserve">”</w:t>
      </w:r>
      <w:r>
        <w:t xml:space="preserve"> </w:t>
      </w:r>
      <w:r>
        <w:t xml:space="preserve">aircraft, in line with their function as global connection points.</w:t>
      </w:r>
      <w:r>
        <w:t xml:space="preserve"> </w:t>
      </w:r>
      <w:r>
        <w:t xml:space="preserve">These structural differences reflect how each region organizes its connectivity: Brazil tends to centralize long-haul operations in a few key airports.</w:t>
      </w:r>
      <w:r>
        <w:t xml:space="preserve"> </w:t>
      </w:r>
      <w:r>
        <w:t xml:space="preserve">The European network evidences the national focus on air transport development.</w:t>
      </w:r>
      <w:r>
        <w:t xml:space="preserve"> </w:t>
      </w:r>
      <w:r>
        <w:t xml:space="preserve">With a significant higher number across a broader set of hubs traditionally servicing the national capitals.</w:t>
      </w:r>
    </w:p>
    <w:p>
      <w:pPr>
        <w:pStyle w:val="BodyText"/>
      </w:pPr>
      <w:r>
        <w:t xml:space="preserve">Based on continuous monitoring throughout the year, this pattern has proven to be remarkably stable.</w:t>
      </w:r>
      <w:r>
        <w:t xml:space="preserve"> </w:t>
      </w:r>
      <w:r>
        <w:t xml:space="preserve">The distribution of aircraft categories has remained consistent even during periods of disruption, such as extreme weather or localized infrastructure constraints.</w:t>
      </w:r>
      <w:r>
        <w:t xml:space="preserve"> </w:t>
      </w:r>
      <w:r>
        <w:t xml:space="preserve">These observations suggest that the fleet mix at the analysed airports is shaped more by long-term structural factors than by short-term fluctuations, as airspace users operate and renew their fleet servicing these airports within their economic and operational context.</w:t>
      </w:r>
    </w:p>
    <w:bookmarkEnd w:id="127"/>
    <w:bookmarkStart w:id="128" w:name="summary-1"/>
    <w:p>
      <w:pPr>
        <w:pStyle w:val="Heading2"/>
      </w:pPr>
      <w:r>
        <w:t xml:space="preserve">3.5 Summary</w:t>
      </w:r>
    </w:p>
    <w:p>
      <w:pPr>
        <w:pStyle w:val="FirstParagraph"/>
      </w:pPr>
      <w:r>
        <w:t xml:space="preserve">This chapter provided a comprehensive overview of air traffic dynamics across Brazil and Europe, covering both network-wide and airport-level perspectives.</w:t>
      </w:r>
    </w:p>
    <w:p>
      <w:pPr>
        <w:pStyle w:val="BodyText"/>
      </w:pPr>
      <w:r>
        <w:t xml:space="preserve">The data confirms that Brazilian air traffic has surpassed pre-pandemic levels, reflecting a phase of real growth, while Europe continues a gradual recovery, marked by strong seasonal peaks and a more fragmented network structure.</w:t>
      </w:r>
      <w:r>
        <w:t xml:space="preserve"> </w:t>
      </w:r>
      <w:r>
        <w:t xml:space="preserve">If current trends persist, Europe is expected to return to pre-pandemic traffic levels by 2025/2026, particularly driven by robust summer activity and the continued normalisation of regional and international demand.</w:t>
      </w:r>
      <w:r>
        <w:t xml:space="preserve"> </w:t>
      </w:r>
      <w:r>
        <w:t xml:space="preserve">Despite these differences, both regions show signs of stability and resilience, even when affected by disruptions such as extreme weather or regulatory adjustments.</w:t>
      </w:r>
      <w:r>
        <w:t xml:space="preserve"> </w:t>
      </w:r>
      <w:r>
        <w:t xml:space="preserve">Events like the prolonged closure of Porto Alegre (SBPA) and restrictions at Santos Dumont (SBRJ) highlighted the sensitivity of localized operations and the capacity of the network to adapt.</w:t>
      </w:r>
    </w:p>
    <w:p>
      <w:pPr>
        <w:pStyle w:val="BodyText"/>
      </w:pPr>
      <w:r>
        <w:t xml:space="preserve">At the airport level, Brazilian traffic remains highly concentrated in a few major hubs, whereas European operations are more spread across several national gateways.</w:t>
      </w:r>
      <w:r>
        <w:t xml:space="preserve"> </w:t>
      </w:r>
      <w:r>
        <w:t xml:space="preserve">There is a more pronounced seasonal pattern in Europe typically culminating during the summer holiday season.</w:t>
      </w:r>
    </w:p>
    <w:p>
      <w:pPr>
        <w:pStyle w:val="BodyText"/>
      </w:pPr>
      <w:r>
        <w:t xml:space="preserve">The peak day analysis complemented the annual view by illustrating the operational limits reached under maximum demand.</w:t>
      </w:r>
      <w:r>
        <w:t xml:space="preserve"> </w:t>
      </w:r>
      <w:r>
        <w:t xml:space="preserve">Although volumes remained stable overall, individual airports showed notable variations—either from growth, as in SBGL and SBCF, or contraction, as seen in SBRJ.</w:t>
      </w:r>
      <w:r>
        <w:t xml:space="preserve"> </w:t>
      </w:r>
      <w:r>
        <w:t xml:space="preserve">European peak service rates show the overall recovery pattern and first signs of reaching the available capacity for the major hubs.</w:t>
      </w:r>
    </w:p>
    <w:p>
      <w:pPr>
        <w:pStyle w:val="BodyText"/>
      </w:pPr>
      <w:r>
        <w:t xml:space="preserve">Finally, the fleet mix analysis reinforced the structural differences in how each region operates: Brazil shows a higher presence of light aircraft in some regional airports and a centralised model for long-haul traffic.</w:t>
      </w:r>
      <w:r>
        <w:t xml:space="preserve"> </w:t>
      </w:r>
      <w:r>
        <w:t xml:space="preserve">Light-type traffic at the study airports in Europe remain the exemption.</w:t>
      </w:r>
      <w:r>
        <w:t xml:space="preserve"> </w:t>
      </w:r>
      <w:r>
        <w:t xml:space="preserve">A higher share of heavy aircraft is observed at the top-European airport in this study.</w:t>
      </w:r>
      <w:r>
        <w:t xml:space="preserve"> </w:t>
      </w:r>
      <w:r>
        <w:t xml:space="preserve">The wider spread of internatinoal connections across all chosen airports shows a less centralised global connectivity model.</w:t>
      </w:r>
    </w:p>
    <w:p>
      <w:pPr>
        <w:pStyle w:val="BodyText"/>
      </w:pPr>
      <w:r>
        <w:t xml:space="preserve">Together, these findings establish a base to understanding the operational performance indicators in the next chapters.</w:t>
      </w:r>
    </w:p>
    <w:bookmarkEnd w:id="128"/>
    <w:bookmarkEnd w:id="129"/>
    <w:bookmarkStart w:id="166"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impacting both the strategic phase, where airline schedules are formulated, and the operational phase, where Air Navigation Service Providers (ANSPs) and stakeholders manage the balance between demand and capacity.</w:t>
      </w:r>
      <w:r>
        <w:t xml:space="preserve"> </w:t>
      </w:r>
      <w:r>
        <w:t xml:space="preserve">Higher levels of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47" w:name="arrival-punctuality"/>
    <w:p>
      <w:pPr>
        <w:pStyle w:val="Heading2"/>
      </w:pPr>
      <w:r>
        <w:t xml:space="preserve">4.1 Arrival Punctuality</w:t>
      </w:r>
    </w:p>
    <w:p>
      <w:pPr>
        <w:pStyle w:val="FirstParagraph"/>
      </w:pPr>
      <w:r>
        <w:t xml:space="preserve">The arrival punctuality shows the predictability of landing operations at airports, based on the scheduled in-block time (SIBT).</w:t>
      </w:r>
      <w:r>
        <w:t xml:space="preserve"> </w:t>
      </w:r>
      <w:r>
        <w:t xml:space="preserve">It considers a 15-minute window for early or late arrivals and expresses the percentage of flights arriving at the gate within that margin.</w:t>
      </w:r>
    </w:p>
    <w:p>
      <w:pPr>
        <w:pStyle w:val="BodyText"/>
      </w:pPr>
      <w:hyperlink w:anchor="fig-arrival-punc">
        <w:r>
          <w:rPr>
            <w:rStyle w:val="Hyperlink"/>
          </w:rPr>
          <w:t xml:space="preserve">Figure 4.1</w:t>
        </w:r>
      </w:hyperlink>
      <w:r>
        <w:t xml:space="preserve"> </w:t>
      </w:r>
      <w:r>
        <w:t xml:space="preserve">shows the 2024 data and reaffirms key structural differences in punctuality behaviour between Brazilian and European airports.</w:t>
      </w:r>
      <w:r>
        <w:t xml:space="preserve"> </w:t>
      </w:r>
      <w:r>
        <w:t xml:space="preserve">Brazilian airports continue to report a high share of early arrivals—more than 15 minutes ahead of schedule—accounting for 20% to 30% of flights.</w:t>
      </w:r>
      <w:r>
        <w:t xml:space="preserve"> </w:t>
      </w:r>
      <w:r>
        <w:t xml:space="preserve">In contrast, while some buffering is discernible, most European airports show early arrival shares below 15%.</w:t>
      </w:r>
      <w:r>
        <w:t xml:space="preserve"> </w:t>
      </w:r>
      <w:r>
        <w:t xml:space="preserve">This pattern, observed consistently over recent years, reflects the use of built-in buffer times in Brazil’s scheduling practices.</w:t>
      </w:r>
      <w:r>
        <w:t xml:space="preserve"> </w:t>
      </w:r>
      <w:r>
        <w:t xml:space="preserve">While these buffers help airlines improve on-time performance records, they can reduce predictability and complicate planning for air traffic management and airport operations.</w:t>
      </w:r>
    </w:p>
    <w:tbl>
      <w:tblPr>
        <w:tblStyle w:val="Table"/>
        <w:tblW w:type="pct" w:w="5000"/>
        <w:tblLook w:firstRow="0" w:lastRow="0" w:firstColumn="0" w:lastColumn="0" w:noHBand="0" w:noVBand="0" w:val="0000"/>
        <w:jc w:val="start"/>
        <w:tblLayout w:type="fixed"/>
      </w:tblPr>
      <w:tblGrid>
        <w:gridCol w:w="7920"/>
      </w:tblGrid>
      <w:tr>
        <w:tc>
          <w:tcPr/>
          <w:bookmarkStart w:id="133" w:name="fig-arrival-punc"/>
          <w:p>
            <w:pPr>
              <w:pStyle w:val="Compact"/>
              <w:jc w:val="center"/>
            </w:pPr>
            <w:r>
              <w:drawing>
                <wp:inline>
                  <wp:extent cx="5334000" cy="7467600"/>
                  <wp:effectExtent b="0" l="0" r="0" t="0"/>
                  <wp:docPr descr="" title="" id="131" name="Picture"/>
                  <a:graphic>
                    <a:graphicData uri="http://schemas.openxmlformats.org/drawingml/2006/picture">
                      <pic:pic>
                        <pic:nvPicPr>
                          <pic:cNvPr descr="04-predictability_files/figure-docx/fig-arrival-punc-1.png" id="132" name="Picture"/>
                          <pic:cNvPicPr>
                            <a:picLocks noChangeArrowheads="1" noChangeAspect="1"/>
                          </pic:cNvPicPr>
                        </pic:nvPicPr>
                        <pic:blipFill>
                          <a:blip r:embed="rId13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Evolution of arrival punctuality at study airports (2023 vs 2024)</w:t>
            </w:r>
          </w:p>
          <w:bookmarkEnd w:id="133"/>
        </w:tc>
      </w:tr>
    </w:tbl>
    <w:p>
      <w:pPr>
        <w:pStyle w:val="BodyText"/>
      </w:pPr>
      <w:r>
        <w:t xml:space="preserve">Compared to Brazil, Europe observed a high level of delayed arrivals in 2023 and 2024.</w:t>
      </w:r>
      <w:r>
        <w:t xml:space="preserve"> </w:t>
      </w:r>
      <w:r>
        <w:t xml:space="preserve">Across all study airports, there is a minimum of 25% of the flights arriving late, an in extreme cases ranging up to 40% at London Gatwick (EGKK) and Lisbon (LPPT).</w:t>
      </w:r>
      <w:r>
        <w:t xml:space="preserve"> </w:t>
      </w:r>
      <w:r>
        <w:t xml:space="preserve">Capacity constraints on the European network level - amplified by local constraints - rippled throughout the whole network and contributed to the poor overall delay performance.</w:t>
      </w:r>
    </w:p>
    <w:p>
      <w:pPr>
        <w:pStyle w:val="BodyText"/>
      </w:pPr>
      <w:r>
        <w:t xml:space="preserve">Across both regions, the share of flights arriving within the -/+ 15 minute window remains the key measure of operational predictability. European patterns remained relatively stable in 2024, while in Brazil, punctuality varied significantly among airports.</w:t>
      </w:r>
    </w:p>
    <w:tbl>
      <w:tblPr>
        <w:tblStyle w:val="Table"/>
        <w:tblW w:type="pct" w:w="5000"/>
        <w:tblLook w:firstRow="0" w:lastRow="0" w:firstColumn="0" w:lastColumn="0" w:noHBand="0" w:noVBand="0" w:val="0000"/>
        <w:jc w:val="start"/>
        <w:tblLayout w:type="fixed"/>
      </w:tblPr>
      <w:tblGrid>
        <w:gridCol w:w="7920"/>
      </w:tblGrid>
      <w:tr>
        <w:tc>
          <w:tcPr/>
          <w:bookmarkStart w:id="137" w:name="fig-arr-punc-comparison-apts"/>
          <w:p>
            <w:pPr>
              <w:pStyle w:val="Compact"/>
              <w:jc w:val="center"/>
            </w:pPr>
            <w:r>
              <w:drawing>
                <wp:inline>
                  <wp:extent cx="5334000" cy="4267200"/>
                  <wp:effectExtent b="0" l="0" r="0" t="0"/>
                  <wp:docPr descr="" title="" id="135" name="Picture"/>
                  <a:graphic>
                    <a:graphicData uri="http://schemas.openxmlformats.org/drawingml/2006/picture">
                      <pic:pic>
                        <pic:nvPicPr>
                          <pic:cNvPr descr="04-predictability_files/figure-docx/fig-arr-punc-comparison-apts-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Total flights and arrival punctuality at two comparison study airports</w:t>
            </w:r>
          </w:p>
          <w:bookmarkEnd w:id="137"/>
        </w:tc>
      </w:tr>
    </w:tbl>
    <w:p>
      <w:pPr>
        <w:pStyle w:val="BodyText"/>
      </w:pPr>
      <w:r>
        <w:t xml:space="preserve">To contextualise regional contrasts,</w:t>
      </w:r>
      <w:r>
        <w:t xml:space="preserve"> </w:t>
      </w:r>
      <w:hyperlink w:anchor="fig-arr-punc-comparison-apts">
        <w:r>
          <w:rPr>
            <w:rStyle w:val="Hyperlink"/>
          </w:rPr>
          <w:t xml:space="preserve">Figure 4.2</w:t>
        </w:r>
      </w:hyperlink>
      <w:r>
        <w:t xml:space="preserve"> </w:t>
      </w:r>
      <w:r>
        <w:t xml:space="preserve">presents a side-by-side comparison between Guarulhos (SBGR) and Lisbon (LPPT) between 2023 and 2024.</w:t>
      </w:r>
      <w:r>
        <w:t xml:space="preserve"> </w:t>
      </w:r>
      <w:r>
        <w:t xml:space="preserve">Despite LPPT handling less than half the volume of flights compared to SBGR, it maintained punctuality levels close to 45% in October 2024.</w:t>
      </w:r>
      <w:r>
        <w:t xml:space="preserve"> </w:t>
      </w:r>
      <w:r>
        <w:t xml:space="preserve">Overall, LPPT showed gradual improvement throughout the year. In contrast, SBGR remained below its 2023 performance until September, after which punctuality slightly improved.</w:t>
      </w:r>
      <w:r>
        <w:t xml:space="preserve"> </w:t>
      </w:r>
      <w:r>
        <w:t xml:space="preserve">This late-year improvement indicates a potential shift but also highlights ongoing challenges.</w:t>
      </w:r>
    </w:p>
    <w:p>
      <w:pPr>
        <w:pStyle w:val="BodyText"/>
      </w:pPr>
      <w:r>
        <w:t xml:space="preserve">Compared to</w:t>
      </w:r>
      <w:r>
        <w:t xml:space="preserve"> </w:t>
      </w:r>
      <w:hyperlink w:anchor="fig-arrival-punc">
        <w:r>
          <w:rPr>
            <w:rStyle w:val="Hyperlink"/>
          </w:rPr>
          <w:t xml:space="preserve">Figure 4.1</w:t>
        </w:r>
      </w:hyperlink>
      <w:r>
        <w:t xml:space="preserve"> </w:t>
      </w:r>
      <w:r>
        <w:t xml:space="preserve">it is interesting to note - broadly assuming an average annual arrival punctuality of 50% of flights arriving between -/+15 minutes of their scheduled time - that the share of early and late arrivals is more balanced at SBGR, while LPPT observed an extreme high share of late arrivals.</w:t>
      </w:r>
    </w:p>
    <w:p>
      <w:pPr>
        <w:pStyle w:val="BodyText"/>
      </w:pPr>
      <w:r>
        <w:t xml:space="preserve">This comparison underscores how operational structure, traffic complexity, and scheduling strategies directly influence punctuality outcomes.</w:t>
      </w:r>
      <w:r>
        <w:t xml:space="preserve"> </w:t>
      </w:r>
      <w:r>
        <w:t xml:space="preserve">In Brazil, concentrated demand at a few major hubs—especially SBGR, the country’s busiest airport—makes it harder to sustain performance within the target window.</w:t>
      </w:r>
      <w:r>
        <w:t xml:space="preserve"> </w:t>
      </w:r>
      <w:r>
        <w:t xml:space="preserve">The higher level of traffic can amplify network disruptions leading to high share of delay across all airports and ripple effects propagate through the network.</w:t>
      </w:r>
    </w:p>
    <w:tbl>
      <w:tblPr>
        <w:tblStyle w:val="Table"/>
        <w:tblW w:type="pct" w:w="5000"/>
        <w:tblLook w:firstRow="0" w:lastRow="0" w:firstColumn="0" w:lastColumn="0" w:noHBand="0" w:noVBand="0" w:val="0000"/>
        <w:jc w:val="start"/>
        <w:tblLayout w:type="fixed"/>
      </w:tblPr>
      <w:tblGrid>
        <w:gridCol w:w="7920"/>
      </w:tblGrid>
      <w:tr>
        <w:tc>
          <w:tcPr/>
          <w:bookmarkStart w:id="141" w:name="fig-puncvstfc"/>
          <w:p>
            <w:pPr>
              <w:pStyle w:val="Compact"/>
              <w:jc w:val="center"/>
            </w:pPr>
            <w:r>
              <w:drawing>
                <wp:inline>
                  <wp:extent cx="5334000" cy="7467600"/>
                  <wp:effectExtent b="0" l="0" r="0" t="0"/>
                  <wp:docPr descr="" title="" id="139" name="Picture"/>
                  <a:graphic>
                    <a:graphicData uri="http://schemas.openxmlformats.org/drawingml/2006/picture">
                      <pic:pic>
                        <pic:nvPicPr>
                          <pic:cNvPr descr="04-predictability_files/figure-docx/fig-puncvstfc-1.png" id="140" name="Picture"/>
                          <pic:cNvPicPr>
                            <a:picLocks noChangeArrowheads="1" noChangeAspect="1"/>
                          </pic:cNvPicPr>
                        </pic:nvPicPr>
                        <pic:blipFill>
                          <a:blip r:embed="rId138"/>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arrival traffic</w:t>
            </w:r>
          </w:p>
          <w:bookmarkEnd w:id="141"/>
        </w:tc>
      </w:tr>
    </w:tbl>
    <w:p>
      <w:pPr>
        <w:pStyle w:val="BodyText"/>
      </w:pPr>
      <w:hyperlink w:anchor="fig-puncvstfc">
        <w:r>
          <w:rPr>
            <w:rStyle w:val="Hyperlink"/>
          </w:rPr>
          <w:t xml:space="preserve">Figure 4.3</w:t>
        </w:r>
      </w:hyperlink>
      <w:r>
        <w:t xml:space="preserve"> </w:t>
      </w:r>
      <w:r>
        <w:t xml:space="preserve">presents a side-by-side view of airport-level arrival punctuality and movement evolution between 2023 and 2024.</w:t>
      </w:r>
    </w:p>
    <w:p>
      <w:pPr>
        <w:pStyle w:val="BodyText"/>
      </w:pPr>
      <w:r>
        <w:t xml:space="preserve">As presented above, while differences exist in the share of early and late arrivals, the number of flights arriving within -/+15 minutes of their scheduled time ranged ranged higher in Brazil than in Europe.</w:t>
      </w:r>
      <w:r>
        <w:t xml:space="preserve"> </w:t>
      </w:r>
      <w:r>
        <w:t xml:space="preserve">For 2023 and 2024, a 60% share of operations serves as a useful threshold.</w:t>
      </w:r>
      <w:r>
        <w:t xml:space="preserve"> </w:t>
      </w:r>
      <w:r>
        <w:t xml:space="preserve">The majority of European arrival operations at the study airports failed to meet this threshold with the highest offset observed at London Gatwick (EGKK), Heathrow (EGLL), and Lisbon (LPPT).</w:t>
      </w:r>
      <w:r>
        <w:t xml:space="preserve"> </w:t>
      </w:r>
      <w:r>
        <w:t xml:space="preserve">This is contrasted by the success rate observed across the Brazilian study airports.</w:t>
      </w:r>
      <w:r>
        <w:t xml:space="preserve"> </w:t>
      </w:r>
      <w:r>
        <w:t xml:space="preserve">Virtually all arrival operations ranged above this threshold.</w:t>
      </w:r>
    </w:p>
    <w:p>
      <w:pPr>
        <w:pStyle w:val="BodyText"/>
      </w:pPr>
      <w:r>
        <w:t xml:space="preserve">Overall, a majority of European airports demonstrated small improvements in arrival punctuality comparing the 2023 levels with 2024.</w:t>
      </w:r>
      <w:r>
        <w:t xml:space="preserve"> </w:t>
      </w:r>
      <w:r>
        <w:t xml:space="preserve">The strong traffic growth at Spanish airports, Madrid (LEMD) and Barcelona (LEBL), is not negatively impacting the overall achieved performance.</w:t>
      </w:r>
      <w:r>
        <w:t xml:space="preserve"> </w:t>
      </w:r>
      <w:r>
        <w:t xml:space="preserve">At Amsterdam (EHAM) and London Gatwick (EGKK) a notable improvement in arrival punctuality was achieved despite a discernible increase in traffic among all airports in the study.</w:t>
      </w:r>
      <w:r>
        <w:t xml:space="preserve"> </w:t>
      </w:r>
      <w:r>
        <w:t xml:space="preserve">On the other side, Munich (EDDM) registered a drop in punctuality, despite an increase in flight movements.</w:t>
      </w:r>
      <w:r>
        <w:t xml:space="preserve"> </w:t>
      </w:r>
      <w:r>
        <w:t xml:space="preserve">This reinforces two critical operational dynamics:</w:t>
      </w:r>
      <w:r>
        <w:br/>
      </w:r>
      <w:r>
        <w:t xml:space="preserve">First, the cumulative nature of delays, which highlights the limited resilience of the flight network — when a single flight is delayed, subsequent flights tend to be impacted due to tight scheduling and lack of flexibility.</w:t>
      </w:r>
      <w:r>
        <w:t xml:space="preserve"> </w:t>
      </w:r>
      <w:r>
        <w:t xml:space="preserve">Second, increasing demand often exacerbates existing local resource constraints, especially in areas like passenger processing and turnaround operations.</w:t>
      </w:r>
      <w:r>
        <w:t xml:space="preserve"> </w:t>
      </w:r>
      <w:r>
        <w:t xml:space="preserve">As a result, reactionary delays accumulate and propagate throughout the system, further reducing predictability and punctuality.</w:t>
      </w:r>
    </w:p>
    <w:p>
      <w:pPr>
        <w:pStyle w:val="BodyText"/>
      </w:pPr>
      <w:r>
        <w:t xml:space="preserve">The previous section highlighted the overall arrival punctuality observed at the study airports.</w:t>
      </w:r>
      <w:r>
        <w:t xml:space="preserve"> </w:t>
      </w:r>
      <w:r>
        <w:t xml:space="preserve">Lower levels of punctuality can negatively impact predictability of operations and thus put a stronger strain on resources managing the arrival flow.</w:t>
      </w:r>
      <w:r>
        <w:t xml:space="preserve"> </w:t>
      </w:r>
      <w:r>
        <w:t xml:space="preserve">Next to the arrival airspace capacity, stronger variations of the scheduled arrival times pose challenges for the surface management, as taxi operations, including stand allocation and availability, might result in changes of the taxi patterns, queuing within the taxiway and apron/stand system.</w:t>
      </w:r>
    </w:p>
    <w:tbl>
      <w:tblPr>
        <w:tblStyle w:val="Table"/>
        <w:tblW w:type="pct" w:w="5000"/>
        <w:tblLook w:firstRow="0" w:lastRow="0" w:firstColumn="0" w:lastColumn="0" w:noHBand="0" w:noVBand="0" w:val="0000"/>
        <w:jc w:val="start"/>
        <w:tblLayout w:type="fixed"/>
      </w:tblPr>
      <w:tblGrid>
        <w:gridCol w:w="7920"/>
      </w:tblGrid>
      <w:tr>
        <w:tc>
          <w:tcPr/>
          <w:bookmarkStart w:id="145" w:name="fig-early-vs-late-arrivals"/>
          <w:p>
            <w:pPr>
              <w:pStyle w:val="Compact"/>
              <w:jc w:val="center"/>
            </w:pPr>
            <w:r>
              <w:drawing>
                <wp:inline>
                  <wp:extent cx="5334000" cy="7467600"/>
                  <wp:effectExtent b="0" l="0" r="0" t="0"/>
                  <wp:docPr descr="" title="" id="143" name="Picture"/>
                  <a:graphic>
                    <a:graphicData uri="http://schemas.openxmlformats.org/drawingml/2006/picture">
                      <pic:pic>
                        <pic:nvPicPr>
                          <pic:cNvPr descr="04-predictability_files/figure-docx/fig-early-vs-late-arrivals-1.png" id="144" name="Picture"/>
                          <pic:cNvPicPr>
                            <a:picLocks noChangeArrowheads="1" noChangeAspect="1"/>
                          </pic:cNvPicPr>
                        </pic:nvPicPr>
                        <pic:blipFill>
                          <a:blip r:embed="rId14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Change of share of early and late arrivals (2023 vs 2024)</w:t>
            </w:r>
          </w:p>
          <w:bookmarkEnd w:id="145"/>
        </w:tc>
      </w:tr>
    </w:tbl>
    <w:p>
      <w:pPr>
        <w:pStyle w:val="BodyText"/>
      </w:pPr>
      <w:hyperlink w:anchor="fig-early-vs-late-arrivals">
        <w:r>
          <w:rPr>
            <w:rStyle w:val="Hyperlink"/>
          </w:rPr>
          <w:t xml:space="preserve">Figure 4.4</w:t>
        </w:r>
      </w:hyperlink>
      <w:r>
        <w:t xml:space="preserve"> </w:t>
      </w:r>
      <w:r>
        <w:t xml:space="preserve">compares the share of early and late arrivals at each study airport, considering arrivals more than 15 minutes ahead of or behind schedule (-15 min or +15 min) in 2023 and 2024.</w:t>
      </w:r>
      <w:r>
        <w:t xml:space="preserve"> </w:t>
      </w:r>
      <w:r>
        <w:t xml:space="preserve">From a broader perspective, air traffic in Brazil continues to show a tendency toward early arrivals, while in Europe, delayed arrivals are more prevalent.</w:t>
      </w:r>
      <w:r>
        <w:t xml:space="preserve"> </w:t>
      </w:r>
      <w:r>
        <w:t xml:space="preserve">Thus, it appears that Brazilian operators tend to a conservative buffering of their arrival schedules.</w:t>
      </w:r>
      <w:r>
        <w:t xml:space="preserve"> </w:t>
      </w:r>
      <w:r>
        <w:t xml:space="preserve">The network level implications on the arrival punctuality in Europe throughout 2023 and 2024 can be clearly seen.</w:t>
      </w:r>
    </w:p>
    <w:p>
      <w:pPr>
        <w:pStyle w:val="BodyText"/>
      </w:pPr>
      <w:r>
        <w:t xml:space="preserve">Guarulhos (SBGR) remained the Brazilian airport with the highest share of early arrivals in 2024, followed by Campinas (SBKP), both with more than 30% of flights landing ahead of schedule.</w:t>
      </w:r>
      <w:r>
        <w:t xml:space="preserve"> </w:t>
      </w:r>
      <w:r>
        <w:t xml:space="preserve">As key hubs in Brazil’s network, this may reflect a deliberate strategy by airlines to better manage connections and mitigate delays within their own schedules.</w:t>
      </w:r>
      <w:r>
        <w:t xml:space="preserve"> </w:t>
      </w:r>
      <w:r>
        <w:t xml:space="preserve">However, from a flow management perspective, this lack of precision poses operational challenges, as it complicates the allocation of resources and the sequencing of arrivals within controlled airspace and on the ground.</w:t>
      </w:r>
    </w:p>
    <w:p>
      <w:pPr>
        <w:pStyle w:val="BodyText"/>
      </w:pPr>
      <w:r>
        <w:t xml:space="preserve">In Europe, Madrid (LEMD) recorded the highest share of early arrivals in 2024, reaching nearly 20%, followed by the other Spanish airport Barcelona (LEBL).</w:t>
      </w:r>
      <w:r>
        <w:t xml:space="preserve"> </w:t>
      </w:r>
      <w:r>
        <w:t xml:space="preserve">Still, this figure remains below the levels seen in Brazil, reinforcing the structural and strategic differences in scheduling practices and performance expectations between the two regions.</w:t>
      </w:r>
      <w:r>
        <w:t xml:space="preserve"> </w:t>
      </w:r>
      <w:r>
        <w:t xml:space="preserve">There is a varied explanation of the overall poor arrival punctuality performance across the airports. It is important to understand that disruptions stemming from the transition from pandemic to post-pandemic, and the overall network capacity constraints amplified each other.</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46"/>
      </w:r>
      <w:r>
        <w:t xml:space="preserve">.</w:t>
      </w:r>
    </w:p>
    <w:bookmarkEnd w:id="147"/>
    <w:bookmarkStart w:id="164" w:name="departure-punctuality"/>
    <w:p>
      <w:pPr>
        <w:pStyle w:val="Heading2"/>
      </w:pPr>
      <w:r>
        <w:t xml:space="preserve">4.2 Departure Punctuality</w:t>
      </w:r>
    </w:p>
    <w:p>
      <w:pPr>
        <w:pStyle w:val="FirstParagraph"/>
      </w:pPr>
      <w:r>
        <w:t xml:space="preserve">The departure punctuality reflects the predictability of take-off operations at monitored airports. It is based on the comparison between the scheduled off-block time (SOBT) and the actual off-block time (AOBT), using a 15-minute tolerance window for early or late departures.</w:t>
      </w:r>
      <w:r>
        <w:t xml:space="preserve"> </w:t>
      </w:r>
      <w:r>
        <w:t xml:space="preserve">The indicator expresses the percentage of flights that leave the gate within this time margin.</w:t>
      </w:r>
    </w:p>
    <w:tbl>
      <w:tblPr>
        <w:tblStyle w:val="Table"/>
        <w:tblW w:type="pct" w:w="5000"/>
        <w:tblLook w:firstRow="0" w:lastRow="0" w:firstColumn="0" w:lastColumn="0" w:noHBand="0" w:noVBand="0" w:val="0000"/>
        <w:jc w:val="start"/>
        <w:tblLayout w:type="fixed"/>
      </w:tblPr>
      <w:tblGrid>
        <w:gridCol w:w="7920"/>
      </w:tblGrid>
      <w:tr>
        <w:tc>
          <w:tcPr/>
          <w:bookmarkStart w:id="151" w:name="fig-departure-punc"/>
          <w:p>
            <w:pPr>
              <w:pStyle w:val="Compact"/>
              <w:jc w:val="center"/>
            </w:pPr>
            <w:r>
              <w:drawing>
                <wp:inline>
                  <wp:extent cx="5334000" cy="7467600"/>
                  <wp:effectExtent b="0" l="0" r="0" t="0"/>
                  <wp:docPr descr="" title="" id="149" name="Picture"/>
                  <a:graphic>
                    <a:graphicData uri="http://schemas.openxmlformats.org/drawingml/2006/picture">
                      <pic:pic>
                        <pic:nvPicPr>
                          <pic:cNvPr descr="04-predictability_files/figure-docx/fig-departure-punc-1.png" id="150" name="Picture"/>
                          <pic:cNvPicPr>
                            <a:picLocks noChangeArrowheads="1" noChangeAspect="1"/>
                          </pic:cNvPicPr>
                        </pic:nvPicPr>
                        <pic:blipFill>
                          <a:blip r:embed="rId148"/>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Evolution of departure punctuality at study airports (2023 vs 2024)</w:t>
            </w:r>
          </w:p>
          <w:bookmarkEnd w:id="151"/>
        </w:tc>
      </w:tr>
    </w:tbl>
    <w:p>
      <w:pPr>
        <w:pStyle w:val="BodyText"/>
      </w:pPr>
      <w:hyperlink w:anchor="fig-departure-punc">
        <w:r>
          <w:rPr>
            <w:rStyle w:val="Hyperlink"/>
          </w:rPr>
          <w:t xml:space="preserve">Figure 4.5</w:t>
        </w:r>
      </w:hyperlink>
      <w:r>
        <w:t xml:space="preserve"> </w:t>
      </w:r>
      <w:r>
        <w:t xml:space="preserve">presents the departure punctuality results for the study airports.</w:t>
      </w:r>
      <w:r>
        <w:t xml:space="preserve"> </w:t>
      </w:r>
      <w:r>
        <w:t xml:space="preserve">The 2024 data shows that, overall, airports perform better in managing outbound traffic, although challenges remain.</w:t>
      </w:r>
      <w:r>
        <w:t xml:space="preserve"> </w:t>
      </w:r>
      <w:r>
        <w:t xml:space="preserve">Different from arrival punctuality, where Brazilian airports showed a high share of early arrivals and wide variability across the network—departure punctuality metrics appear comparatively stronger, especially in terms of flights departing within the punctuality (-/+ 15 min) time window.</w:t>
      </w:r>
    </w:p>
    <w:p>
      <w:pPr>
        <w:pStyle w:val="BodyText"/>
      </w:pPr>
      <w:r>
        <w:t xml:space="preserve">One example is Santos Dumont Airport (SBRJ), where near to 50% of departures occurred 5 to 15 minutes ahead of schedule, reinforcing a consistent tendency toward early operations. On the other hand, Galeão Airport (SBGL) was one of the highest shares of delayed departures of flights leaving more than 15 minutes behind schedule.These two airports operate in close proximity and have undergone significant operational changes in recent years, which likely contribute to the contrasting performance.</w:t>
      </w:r>
    </w:p>
    <w:p>
      <w:pPr>
        <w:pStyle w:val="BodyText"/>
      </w:pPr>
      <w:r>
        <w:t xml:space="preserve">Moreover, seasonal weather conditions—such as summer thunderstorms, wind gusts, and windshear, especially in Brazil’s South-east region, can disrupt operations, increase runway occupancy time, or require frequent runway changes, further affecting predictability.</w:t>
      </w:r>
    </w:p>
    <w:p>
      <w:pPr>
        <w:pStyle w:val="BodyText"/>
      </w:pPr>
      <w:r>
        <w:t xml:space="preserve">In summary, while departure punctuality shows a slightly more favorable scenario compared to arrival operations, maintaining high performance levels still demands continuous improvements—especially at high-density airports. Operational planning, weather adaptation, and runway configuration remain key factors for enhancing outbound flight reliability.</w:t>
      </w:r>
    </w:p>
    <w:tbl>
      <w:tblPr>
        <w:tblStyle w:val="Table"/>
        <w:tblW w:type="pct" w:w="5000"/>
        <w:tblLook w:firstRow="0" w:lastRow="0" w:firstColumn="0" w:lastColumn="0" w:noHBand="0" w:noVBand="0" w:val="0000"/>
        <w:jc w:val="start"/>
        <w:tblLayout w:type="fixed"/>
      </w:tblPr>
      <w:tblGrid>
        <w:gridCol w:w="7920"/>
      </w:tblGrid>
      <w:tr>
        <w:tc>
          <w:tcPr/>
          <w:bookmarkStart w:id="155" w:name="fig-dep-punc-comparison-apts"/>
          <w:p>
            <w:pPr>
              <w:pStyle w:val="Compact"/>
              <w:jc w:val="center"/>
            </w:pPr>
            <w:r>
              <w:drawing>
                <wp:inline>
                  <wp:extent cx="5334000" cy="4267200"/>
                  <wp:effectExtent b="0" l="0" r="0" t="0"/>
                  <wp:docPr descr="" title="" id="153" name="Picture"/>
                  <a:graphic>
                    <a:graphicData uri="http://schemas.openxmlformats.org/drawingml/2006/picture">
                      <pic:pic>
                        <pic:nvPicPr>
                          <pic:cNvPr descr="04-predictability_files/figure-docx/fig-dep-punc-comparison-apts-1.png" id="154" name="Picture"/>
                          <pic:cNvPicPr>
                            <a:picLocks noChangeArrowheads="1" noChangeAspect="1"/>
                          </pic:cNvPicPr>
                        </pic:nvPicPr>
                        <pic:blipFill>
                          <a:blip r:embed="rId15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Departure Punctuality at two comparison study airports</w:t>
            </w:r>
          </w:p>
          <w:bookmarkEnd w:id="155"/>
        </w:tc>
      </w:tr>
    </w:tbl>
    <w:p>
      <w:pPr>
        <w:pStyle w:val="BodyText"/>
      </w:pPr>
      <w:r>
        <w:t xml:space="preserve">Comparing the observed punctuality performance for departures at Lisbon (LPPT) and Guarulhos (SBGR), c.f.</w:t>
      </w:r>
      <w:r>
        <w:t xml:space="preserve"> </w:t>
      </w:r>
      <w:hyperlink w:anchor="fig-dep-punc-comparison-apts">
        <w:r>
          <w:rPr>
            <w:rStyle w:val="Hyperlink"/>
          </w:rPr>
          <w:t xml:space="preserve">Figure 4.6</w:t>
        </w:r>
      </w:hyperlink>
      <w:r>
        <w:t xml:space="preserve">, depicts the lower level of departure punctuality at LPPT.</w:t>
      </w:r>
      <w:r>
        <w:t xml:space="preserve"> </w:t>
      </w:r>
      <w:r>
        <w:t xml:space="preserve">It appears that the punctuality performance followed broadly the seasonal development.</w:t>
      </w:r>
      <w:r>
        <w:t xml:space="preserve"> </w:t>
      </w:r>
      <w:r>
        <w:t xml:space="preserve">This is in line with the earlier commentary on the network level effects impacting the overall delay situation through increased reactionary delays driven by significant ATFM delay constraints.</w:t>
      </w:r>
      <w:r>
        <w:t xml:space="preserve"> </w:t>
      </w:r>
      <w:r>
        <w:t xml:space="preserve">The departure performance observed at Guarulhos is in line with the arrival punctuality pattern showing the same behaviour across 2023 and 2024.</w:t>
      </w:r>
    </w:p>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4.5</w:t>
        </w:r>
      </w:hyperlink>
      <w:r>
        <w:t xml:space="preserve"> </w:t>
      </w:r>
      <w:r>
        <w:t xml:space="preserve">shows the overall departure punctuality at Brazilian and European airports in 2023 and 2024.</w:t>
      </w:r>
    </w:p>
    <w:p>
      <w:pPr>
        <w:pStyle w:val="BodyText"/>
      </w:pPr>
      <w:r>
        <w:t xml:space="preserve">Departure punctuality appeared slightly higher in Brazil in 2024 in comparison to 2023 and outperforms the punctuality levels observed in Europe.</w:t>
      </w:r>
      <w:r>
        <w:t xml:space="preserve"> </w:t>
      </w:r>
      <w:r>
        <w:t xml:space="preserve">It is also noteworthy,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59" w:name="fig-puncvstfc-dep"/>
          <w:p>
            <w:pPr>
              <w:pStyle w:val="Compact"/>
              <w:jc w:val="center"/>
            </w:pPr>
            <w:r>
              <w:drawing>
                <wp:inline>
                  <wp:extent cx="5334000" cy="7467600"/>
                  <wp:effectExtent b="0" l="0" r="0" t="0"/>
                  <wp:docPr descr="" title="" id="157" name="Picture"/>
                  <a:graphic>
                    <a:graphicData uri="http://schemas.openxmlformats.org/drawingml/2006/picture">
                      <pic:pic>
                        <pic:nvPicPr>
                          <pic:cNvPr descr="04-predictability_files/figure-docx/fig-puncvstfc-dep-1.png" id="158" name="Picture"/>
                          <pic:cNvPicPr>
                            <a:picLocks noChangeArrowheads="1" noChangeAspect="1"/>
                          </pic:cNvPicPr>
                        </pic:nvPicPr>
                        <pic:blipFill>
                          <a:blip r:embed="rId15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Evolution of departure punctuality -/+15 min vs departure traffic</w:t>
            </w:r>
          </w:p>
          <w:bookmarkEnd w:id="159"/>
        </w:tc>
      </w:tr>
    </w:tbl>
    <w:p>
      <w:pPr>
        <w:pStyle w:val="BodyText"/>
      </w:pPr>
      <w:r>
        <w:t xml:space="preserve">In analogy to the previous section,</w:t>
      </w:r>
      <w:r>
        <w:t xml:space="preserve"> </w:t>
      </w:r>
      <w:hyperlink w:anchor="fig-puncvstfc-dep">
        <w:r>
          <w:rPr>
            <w:rStyle w:val="Hyperlink"/>
          </w:rPr>
          <w:t xml:space="preserve">Figure 4.7</w:t>
        </w:r>
      </w:hyperlink>
      <w:r>
        <w:t xml:space="preserve"> </w:t>
      </w:r>
      <w:r>
        <w:t xml:space="preserve">shows a side-by-side view of departure punctuality and movement evolution between 2023 and 2024 for each of the study airports.</w:t>
      </w:r>
    </w:p>
    <w:tbl>
      <w:tblPr>
        <w:tblStyle w:val="Table"/>
        <w:tblW w:type="pct" w:w="5000"/>
        <w:tblLook w:firstRow="0" w:lastRow="0" w:firstColumn="0" w:lastColumn="0" w:noHBand="0" w:noVBand="0" w:val="0000"/>
        <w:jc w:val="start"/>
        <w:tblLayout w:type="fixed"/>
      </w:tblPr>
      <w:tblGrid>
        <w:gridCol w:w="7920"/>
      </w:tblGrid>
      <w:tr>
        <w:tc>
          <w:tcPr/>
          <w:bookmarkStart w:id="163" w:name="fig-early-vs-late-departures"/>
          <w:p>
            <w:pPr>
              <w:pStyle w:val="Compact"/>
              <w:jc w:val="center"/>
            </w:pPr>
            <w:r>
              <w:drawing>
                <wp:inline>
                  <wp:extent cx="5334000" cy="7467600"/>
                  <wp:effectExtent b="0" l="0" r="0" t="0"/>
                  <wp:docPr descr="" title="" id="161" name="Picture"/>
                  <a:graphic>
                    <a:graphicData uri="http://schemas.openxmlformats.org/drawingml/2006/picture">
                      <pic:pic>
                        <pic:nvPicPr>
                          <pic:cNvPr descr="04-predictability_files/figure-docx/fig-early-vs-late-departures-1.png" id="162" name="Picture"/>
                          <pic:cNvPicPr>
                            <a:picLocks noChangeArrowheads="1" noChangeAspect="1"/>
                          </pic:cNvPicPr>
                        </pic:nvPicPr>
                        <pic:blipFill>
                          <a:blip r:embed="rId1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Change of share of early and late departures (2023 vs 2024)</w:t>
            </w:r>
          </w:p>
          <w:bookmarkEnd w:id="163"/>
        </w:tc>
      </w:tr>
    </w:tbl>
    <w:p>
      <w:pPr>
        <w:pStyle w:val="BodyText"/>
      </w:pPr>
      <w:r>
        <w:t xml:space="preserve">The change of the share of early and late departures in 2023 and 2024 is shown in</w:t>
      </w:r>
      <w:r>
        <w:t xml:space="preserve"> </w:t>
      </w:r>
      <w:hyperlink w:anchor="fig-early-vs-late-departures">
        <w:r>
          <w:rPr>
            <w:rStyle w:val="Hyperlink"/>
          </w:rPr>
          <w:t xml:space="preserve">Figure 4.8</w:t>
        </w:r>
      </w:hyperlink>
      <w:r>
        <w:t xml:space="preserve">.</w:t>
      </w:r>
    </w:p>
    <w:p>
      <w:pPr>
        <w:pStyle w:val="BodyText"/>
      </w:pPr>
      <w:r>
        <w:t xml:space="preserve">The observed departure punctuality at Brazilian and European airports demonstrates a positive operational behaviour: early departures (before scheduled time) are relatively small in both regions, which is favourable for maintaining schedule stability.</w:t>
      </w:r>
    </w:p>
    <w:p>
      <w:pPr>
        <w:pStyle w:val="BodyText"/>
      </w:pPr>
      <w:r>
        <w:t xml:space="preserve">In Brazil, the patterns observed in 2023 and 2024 are notably similar across the study airports, indicating consistent operational practices.</w:t>
      </w:r>
      <w:r>
        <w:t xml:space="preserve"> </w:t>
      </w:r>
      <w:r>
        <w:t xml:space="preserve">Galeão (SBGL) was the airport with the highest share of late departures, reaching approximately 30% in both years.</w:t>
      </w:r>
      <w:r>
        <w:t xml:space="preserve"> </w:t>
      </w:r>
      <w:r>
        <w:t xml:space="preserve">Despite this, most Brazilian airports maintained a balanced distribution, with a large proportion of flights departing within the -/+ 15-minute window.</w:t>
      </w:r>
    </w:p>
    <w:p>
      <w:pPr>
        <w:pStyle w:val="BodyText"/>
      </w:pPr>
      <w:r>
        <w:t xml:space="preserve">There is stark contrast in terms of overall departure punctuality between Brazil and Europe.</w:t>
      </w:r>
      <w:r>
        <w:t xml:space="preserve"> </w:t>
      </w:r>
      <w:r>
        <w:t xml:space="preserve">On average, the number of delayed departures ranged about twice as high as in Brazil.</w:t>
      </w:r>
      <w:r>
        <w:t xml:space="preserve"> </w:t>
      </w:r>
      <w:r>
        <w:t xml:space="preserve">In Europe, while the general behaviour remains similar, some airports experienced a deterioration in departure punctuality.</w:t>
      </w:r>
      <w:r>
        <w:t xml:space="preserve"> </w:t>
      </w:r>
      <w:r>
        <w:t xml:space="preserve">Munich (EDDM) saw an increase in late departures, with the share rising above 40% in 2024.</w:t>
      </w:r>
      <w:r>
        <w:t xml:space="preserve"> </w:t>
      </w:r>
      <w:r>
        <w:t xml:space="preserve">The amplification effect is evident. Delayed departures for regional flights will ultimately cause downstream delays.</w:t>
      </w:r>
      <w:r>
        <w:t xml:space="preserve"> </w:t>
      </w:r>
      <w:r>
        <w:t xml:space="preserve">Disrupted schedules pose challenges to the local capacity management and surface operations.</w:t>
      </w:r>
      <w:r>
        <w:t xml:space="preserve"> </w:t>
      </w:r>
      <w:r>
        <w:t xml:space="preserve">However, they also contribute to challenges of flow control on the network level.</w:t>
      </w:r>
      <w:r>
        <w:t xml:space="preserve"> </w:t>
      </w:r>
      <w:r>
        <w:t xml:space="preserve">The associated imbalances influenced negatively the overall network sequencing/flow management.</w:t>
      </w:r>
    </w:p>
    <w:p>
      <w:pPr>
        <w:pStyle w:val="BodyText"/>
      </w:pPr>
      <w:r>
        <w:t xml:space="preserve">While surface movement operations appear stable at most airports, the growing share of late departures at specific locations signals the need for continuous monitoring and management interventions to assure the predictability of operations.</w:t>
      </w:r>
    </w:p>
    <w:bookmarkEnd w:id="164"/>
    <w:bookmarkStart w:id="165" w:name="summary-2"/>
    <w:p>
      <w:pPr>
        <w:pStyle w:val="Heading2"/>
      </w:pPr>
      <w:r>
        <w:t xml:space="preserve">4.3 Summary</w:t>
      </w:r>
    </w:p>
    <w:p>
      <w:pPr>
        <w:pStyle w:val="FirstParagraph"/>
      </w:pPr>
      <w:r>
        <w:t xml:space="preserve">Arrival and departure punctuality play an important role in terms of balancing demand and capacity.</w:t>
      </w:r>
    </w:p>
    <w:p>
      <w:pPr>
        <w:pStyle w:val="BodyText"/>
      </w:pPr>
      <w:r>
        <w:t xml:space="preserve">Arrival punctuality revealed distinct regional patterns.</w:t>
      </w:r>
      <w:r>
        <w:t xml:space="preserve"> </w:t>
      </w:r>
      <w:r>
        <w:t xml:space="preserve">Brazilian airports continued to show a high share of early arrivals, largely due to the use of built-in buffer times in flight schedules.</w:t>
      </w:r>
      <w:r>
        <w:t xml:space="preserve"> </w:t>
      </w:r>
      <w:r>
        <w:t xml:space="preserve">While this improves on-time performance metrics, it complicates air traffic management by reducing predictability.</w:t>
      </w:r>
      <w:r>
        <w:t xml:space="preserve"> </w:t>
      </w:r>
      <w:r>
        <w:t xml:space="preserve">In contrast, European airports generally maintained lower shares of early arrivals and more stable punctuality performance across the study period.</w:t>
      </w:r>
      <w:r>
        <w:t xml:space="preserve"> </w:t>
      </w:r>
      <w:r>
        <w:t xml:space="preserve">A closer operational comparison of the behaviour at Guarulhos (SBGR) and Lisbon (LPPT) highlighted the challenges faced by large, high-density hubs in sustaining punctuality under growing demand.</w:t>
      </w:r>
    </w:p>
    <w:p>
      <w:pPr>
        <w:pStyle w:val="BodyText"/>
      </w:pPr>
      <w:r>
        <w:t xml:space="preserve">Departure punctuality showed a distinct difference between both regions and when compared to the wider spread of the arrival punctuality.</w:t>
      </w:r>
      <w:r>
        <w:t xml:space="preserve"> </w:t>
      </w:r>
      <w:r>
        <w:t xml:space="preserve">Early departures remained relatively rare, supporting schedule stability.</w:t>
      </w:r>
      <w:r>
        <w:t xml:space="preserve"> </w:t>
      </w:r>
      <w:r>
        <w:t xml:space="preserve">However, challenges persisted, particularly at airports like Galeão (SBGL) in Brazil and Munich (EDDM) in Europe, where late departures increased.</w:t>
      </w:r>
      <w:r>
        <w:t xml:space="preserve"> </w:t>
      </w:r>
      <w:r>
        <w:t xml:space="preserve">Overall, the departure punctuality in Europe was poor compared to Brazil. On average, the share of departures departing late were twice as high as in Brazil.</w:t>
      </w:r>
      <w:r>
        <w:t xml:space="preserve"> </w:t>
      </w:r>
      <w:r>
        <w:t xml:space="preserve">These patterns emphasize how local operational and network constraints, weather disruptions, and surface management practices directly influence performance.</w:t>
      </w:r>
    </w:p>
    <w:p>
      <w:pPr>
        <w:pStyle w:val="BodyText"/>
      </w:pPr>
      <w:r>
        <w:t xml:space="preserve">In both regions, maintaining high predictability levels remains critical to support efficient surface operations, arrival sequencing, and passenger experience.</w:t>
      </w:r>
      <w:r>
        <w:t xml:space="preserve"> </w:t>
      </w:r>
      <w:r>
        <w:t xml:space="preserve">Continuous adaptation, proactive operational planning, and effective resource management are essential to sustain and improve predictability, especially as traffic demand continues to grow.</w:t>
      </w:r>
      <w:r>
        <w:t xml:space="preserve"> </w:t>
      </w:r>
      <w:r>
        <w:t xml:space="preserve">As both regions are committed to move toward trajectory-based operations, the management of highly predictable air traffic flows will require attention.</w:t>
      </w:r>
    </w:p>
    <w:bookmarkEnd w:id="165"/>
    <w:bookmarkEnd w:id="166"/>
    <w:bookmarkStart w:id="200" w:name="capacity-and-throughput"/>
    <w:p>
      <w:pPr>
        <w:pStyle w:val="Heading1"/>
      </w:pPr>
      <w:r>
        <w:t xml:space="preserve">5. Capacity and Throughput</w:t>
      </w:r>
    </w:p>
    <w:p>
      <w:pPr>
        <w:pStyle w:val="FirstParagraph"/>
      </w:pPr>
      <w:r>
        <w:t xml:space="preserve">Maintaining an optimal network flow necessitates a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175" w:name="peak-declared-capacity"/>
    <w:p>
      <w:pPr>
        <w:pStyle w:val="Heading2"/>
      </w:pPr>
      <w:r>
        <w:t xml:space="preserve">5.1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5.1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70" w:name="fig-capsovertime"/>
          <w:p>
            <w:pPr>
              <w:pStyle w:val="Compact"/>
              <w:jc w:val="center"/>
            </w:pPr>
            <w:r>
              <w:drawing>
                <wp:inline>
                  <wp:extent cx="5334000" cy="7467600"/>
                  <wp:effectExtent b="0" l="0" r="0" t="0"/>
                  <wp:docPr descr="" title="" id="168" name="Picture"/>
                  <a:graphic>
                    <a:graphicData uri="http://schemas.openxmlformats.org/drawingml/2006/picture">
                      <pic:pic>
                        <pic:nvPicPr>
                          <pic:cNvPr descr="05-capacity_and_throughput_files/figure-docx/fig-capsovertime-1.png" id="169" name="Picture"/>
                          <pic:cNvPicPr>
                            <a:picLocks noChangeArrowheads="1" noChangeAspect="1"/>
                          </pic:cNvPicPr>
                        </pic:nvPicPr>
                        <pic:blipFill>
                          <a:blip r:embed="rId16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Evolution of Declared Capacities at study airports.</w:t>
            </w:r>
          </w:p>
          <w:bookmarkEnd w:id="170"/>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 Brasilia (SBBR) and Munich (EDDM), can support decisively the resulting capacity.</w:t>
      </w:r>
      <w:r>
        <w:t xml:space="preserve"> </w:t>
      </w:r>
      <w:r>
        <w:t xml:space="preserve">Furthermore, operational procedures can lead to increased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5.2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renown for its maximisation of its single-runway throughput.</w:t>
      </w:r>
      <w:r>
        <w:t xml:space="preserve"> </w:t>
      </w:r>
      <w:r>
        <w:t xml:space="preserve">Please note that Lisbon (LPPT) was added to this comparison report and capacity values for earlier years were not available at the time of writing.</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174" w:name="fig-peak-declared-cpacity"/>
          <w:p>
            <w:pPr>
              <w:pStyle w:val="Compact"/>
              <w:jc w:val="center"/>
            </w:pPr>
            <w:r>
              <w:drawing>
                <wp:inline>
                  <wp:extent cx="5334000" cy="4267200"/>
                  <wp:effectExtent b="0" l="0" r="0" t="0"/>
                  <wp:docPr descr="" title="" id="172" name="Picture"/>
                  <a:graphic>
                    <a:graphicData uri="http://schemas.openxmlformats.org/drawingml/2006/picture">
                      <pic:pic>
                        <pic:nvPicPr>
                          <pic:cNvPr descr="05-capacity_and_throughput_files/figure-docx/fig-peak-declared-cpacity-1.png" id="173" name="Picture"/>
                          <pic:cNvPicPr>
                            <a:picLocks noChangeArrowheads="1" noChangeAspect="1"/>
                          </pic:cNvPicPr>
                        </pic:nvPicPr>
                        <pic:blipFill>
                          <a:blip r:embed="rId1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Peak declared capacity 2024 [flights/hour]</w:t>
            </w:r>
          </w:p>
          <w:bookmarkEnd w:id="174"/>
        </w:tc>
      </w:tr>
    </w:tbl>
    <w:bookmarkEnd w:id="175"/>
    <w:bookmarkStart w:id="180" w:name="peak-arrival-throughput"/>
    <w:p>
      <w:pPr>
        <w:pStyle w:val="Heading2"/>
      </w:pPr>
      <w:r>
        <w:t xml:space="preserve">5.2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5.3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179" w:name="fig-arrival-throughput"/>
          <w:p>
            <w:pPr>
              <w:pStyle w:val="Compact"/>
              <w:jc w:val="center"/>
            </w:pPr>
            <w:r>
              <w:drawing>
                <wp:inline>
                  <wp:extent cx="5334000" cy="4267200"/>
                  <wp:effectExtent b="0" l="0" r="0" t="0"/>
                  <wp:docPr descr="" title="" id="177" name="Picture"/>
                  <a:graphic>
                    <a:graphicData uri="http://schemas.openxmlformats.org/drawingml/2006/picture">
                      <pic:pic>
                        <pic:nvPicPr>
                          <pic:cNvPr descr="05-capacity_and_throughput_files/figure-docx/fig-arrival-throughput-1.png" id="178" name="Picture"/>
                          <pic:cNvPicPr>
                            <a:picLocks noChangeArrowheads="1" noChangeAspect="1"/>
                          </pic:cNvPicPr>
                        </pic:nvPicPr>
                        <pic:blipFill>
                          <a:blip r:embed="rId1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annual arrival throughput at study airports</w:t>
            </w:r>
          </w:p>
          <w:bookmarkEnd w:id="179"/>
        </w:tc>
      </w:tr>
    </w:tbl>
    <w:p>
      <w:pPr>
        <w:pStyle w:val="BodyText"/>
      </w:pPr>
      <w:r>
        <w:t xml:space="preserve">With</w:t>
      </w:r>
      <w:r>
        <w:t xml:space="preserve"> </w:t>
      </w:r>
      <w:hyperlink w:anchor="fig-arrival-throughput">
        <w:r>
          <w:rPr>
            <w:rStyle w:val="Hyperlink"/>
          </w:rPr>
          <w:t xml:space="preserve">Figure 5.3</w:t>
        </w:r>
      </w:hyperlink>
      <w:r>
        <w:t xml:space="preserve">, a further difference between both regions becomes apparent.</w:t>
      </w:r>
      <w:r>
        <w:t xml:space="preserve"> </w:t>
      </w:r>
      <w:r>
        <w:t xml:space="preserve">The peak arrival throughput represents the achieved peak service rate utilising the available arrival runway system capacity.</w:t>
      </w:r>
      <w:r>
        <w:t xml:space="preserve"> </w:t>
      </w:r>
      <w:r>
        <w:t xml:space="preserve">On average, the peak arrival throughput is higher in Europe than in Brazil based on the available infrastructure.</w:t>
      </w:r>
      <w:r>
        <w:t xml:space="preserve"> </w:t>
      </w:r>
      <w:r>
        <w:t xml:space="preserve">It is interesting to see that arrival operations at SBGR, SBSP, and Brasilia (SBBR) range at the level of Gatwick (EGKK) and above Lisbon (LPPT).</w:t>
      </w:r>
      <w:r>
        <w:t xml:space="preserve"> </w:t>
      </w:r>
      <w:r>
        <w:t xml:space="preserve">At the same time, it offers growth potential when these airports are compared to the achievable arrival throughput at dual independent runway operations at Munich (EDDM) or even Heathrow (EGLL).</w:t>
      </w:r>
    </w:p>
    <w:p>
      <w:pPr>
        <w:pStyle w:val="BodyText"/>
      </w:pPr>
      <w:r>
        <w:t xml:space="preserve">While the peak arrival throughout varied in Brazil over the past 6 years, the pattern is more homogeneous.</w:t>
      </w:r>
      <w:r>
        <w:t xml:space="preserve"> </w:t>
      </w:r>
      <w:r>
        <w:t xml:space="preserve">Larger variations are explainable with local demand changes.</w:t>
      </w:r>
      <w:r>
        <w:t xml:space="preserve"> </w:t>
      </w:r>
      <w:r>
        <w:t xml:space="preserve">However, compared to Europe, Brazil did not show the scale effects of lower air traffic demand during the pandemic phase.</w:t>
      </w:r>
      <w:r>
        <w:t xml:space="preserve"> </w:t>
      </w:r>
      <w:r>
        <w:t xml:space="preserve">In light with the overall traffic recovery also the pressure on the arrival runway system increased at the European airports.</w:t>
      </w:r>
      <w:r>
        <w:t xml:space="preserve"> </w:t>
      </w:r>
      <w:r>
        <w:t xml:space="preserve">Lisbon (LPPT) shows a level of variation. This suggests that even during the pandemic, operational peaks were serviced consistently at the same level.</w:t>
      </w:r>
    </w:p>
    <w:bookmarkEnd w:id="180"/>
    <w:bookmarkStart w:id="185" w:name="peak-departure-throughput"/>
    <w:p>
      <w:pPr>
        <w:pStyle w:val="Heading2"/>
      </w:pPr>
      <w:r>
        <w:t xml:space="preserve">5.3 Peak Departure Throughput</w:t>
      </w:r>
    </w:p>
    <w:p>
      <w:pPr>
        <w:pStyle w:val="FirstParagraph"/>
      </w:pPr>
      <w:r>
        <w:t xml:space="preserve">In analogy to the previous section,</w:t>
      </w:r>
      <w:r>
        <w:t xml:space="preserve"> </w:t>
      </w:r>
      <w:hyperlink w:anchor="fig-departure-throughput">
        <w:r>
          <w:rPr>
            <w:rStyle w:val="Hyperlink"/>
          </w:rPr>
          <w:t xml:space="preserve">Figure 5.4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A similar picture emerges for the peak departure throughput in both regions.</w:t>
      </w:r>
      <w:r>
        <w:t xml:space="preserve"> </w:t>
      </w:r>
      <w:r>
        <w:t xml:space="preserve">In Brazil, Campinas , Brasilia and Santos Dumont reduced the peak departure in comparison with 2023.</w:t>
      </w:r>
      <w:r>
        <w:t xml:space="preserve"> </w:t>
      </w:r>
      <w:r>
        <w:t xml:space="preserve">Only Curitiba and Porto Alegre mantained the same level as 2023. For others brazilians, the peak departure increased.</w:t>
      </w:r>
      <w:r>
        <w:t xml:space="preserve"> </w:t>
      </w:r>
      <w:r>
        <w:t xml:space="preserve">A continual increase of the peak departure throughput is observed at SBGR exceeding in 2024 the pre-pandemic 2019 level. This suggests a concerted effort and more efficient use of the runway system for the departure phase.</w:t>
      </w:r>
    </w:p>
    <w:p>
      <w:pPr>
        <w:pStyle w:val="BodyText"/>
      </w:pPr>
      <w:r>
        <w:t xml:space="preserve">The pattern in Europe is characterised by the continual air traffic revovery for the majority of the airports.</w:t>
      </w:r>
      <w:r>
        <w:t xml:space="preserve"> </w:t>
      </w:r>
      <w:r>
        <w:t xml:space="preserve">A lesser pronounced variation is observed at Lisbon (LPPT) for which the peak departure rate remained fairly stable over the past years.</w:t>
      </w:r>
    </w:p>
    <w:tbl>
      <w:tblPr>
        <w:tblStyle w:val="Table"/>
        <w:tblW w:type="pct" w:w="5000"/>
        <w:tblLook w:firstRow="0" w:lastRow="0" w:firstColumn="0" w:lastColumn="0" w:noHBand="0" w:noVBand="0" w:val="0000"/>
        <w:jc w:val="start"/>
        <w:tblLayout w:type="fixed"/>
      </w:tblPr>
      <w:tblGrid>
        <w:gridCol w:w="7920"/>
      </w:tblGrid>
      <w:tr>
        <w:tc>
          <w:tcPr/>
          <w:bookmarkStart w:id="184" w:name="fig-departure-throughput"/>
          <w:p>
            <w:pPr>
              <w:pStyle w:val="Compact"/>
              <w:jc w:val="center"/>
            </w:pPr>
            <w:r>
              <w:drawing>
                <wp:inline>
                  <wp:extent cx="5334000" cy="4267200"/>
                  <wp:effectExtent b="0" l="0" r="0" t="0"/>
                  <wp:docPr descr="" title="" id="182" name="Picture"/>
                  <a:graphic>
                    <a:graphicData uri="http://schemas.openxmlformats.org/drawingml/2006/picture">
                      <pic:pic>
                        <pic:nvPicPr>
                          <pic:cNvPr descr="05-capacity_and_throughput_files/figure-docx/fig-departure-throughput-1.png" id="183" name="Picture"/>
                          <pic:cNvPicPr>
                            <a:picLocks noChangeArrowheads="1" noChangeAspect="1"/>
                          </pic:cNvPicPr>
                        </pic:nvPicPr>
                        <pic:blipFill>
                          <a:blip r:embed="rId18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Evolution of departure throughput at study airports</w:t>
            </w:r>
          </w:p>
          <w:bookmarkEnd w:id="184"/>
        </w:tc>
      </w:tr>
    </w:tbl>
    <w:bookmarkEnd w:id="185"/>
    <w:bookmarkStart w:id="198" w:name="declared-capacity-and-peak-throughput"/>
    <w:p>
      <w:pPr>
        <w:pStyle w:val="Heading2"/>
      </w:pPr>
      <w:r>
        <w:t xml:space="preserve">5.4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189" w:name="fig-capvsthru"/>
          <w:p>
            <w:pPr>
              <w:pStyle w:val="Compact"/>
              <w:jc w:val="center"/>
            </w:pPr>
            <w:r>
              <w:drawing>
                <wp:inline>
                  <wp:extent cx="5334000" cy="4267200"/>
                  <wp:effectExtent b="0" l="0" r="0" t="0"/>
                  <wp:docPr descr="" title="" id="187" name="Picture"/>
                  <a:graphic>
                    <a:graphicData uri="http://schemas.openxmlformats.org/drawingml/2006/picture">
                      <pic:pic>
                        <pic:nvPicPr>
                          <pic:cNvPr descr="05-capacity_and_throughput_files/figure-docx/fig-capvsthru-1.png" id="188" name="Picture"/>
                          <pic:cNvPicPr>
                            <a:picLocks noChangeArrowheads="1" noChangeAspect="1"/>
                          </pic:cNvPicPr>
                        </pic:nvPicPr>
                        <pic:blipFill>
                          <a:blip r:embed="rId1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Comparison of declared capacity and throughput for arrival phase.</w:t>
            </w:r>
          </w:p>
          <w:bookmarkEnd w:id="189"/>
        </w:tc>
      </w:tr>
    </w:tbl>
    <w:p>
      <w:pPr>
        <w:pStyle w:val="BodyText"/>
      </w:pPr>
      <w:r>
        <w:t xml:space="preserve">Comparing the peak declared (arrival) capacity and throughput serviced at the differnt airports reveals a varying picture.</w:t>
      </w:r>
      <w:r>
        <w:t xml:space="preserve"> </w:t>
      </w:r>
      <w:r>
        <w:t xml:space="preserve">On average,</w:t>
      </w:r>
      <w:r>
        <w:t xml:space="preserve"> </w:t>
      </w:r>
      <w:hyperlink w:anchor="fig-capvsthru">
        <w:r>
          <w:rPr>
            <w:rStyle w:val="Hyperlink"/>
          </w:rPr>
          <w:t xml:space="preserve">Figure 5.5</w:t>
        </w:r>
      </w:hyperlink>
      <w:r>
        <w:t xml:space="preserve"> </w:t>
      </w:r>
      <w:r>
        <w:t xml:space="preserve">evidences that operations at the majority of the airports do not yet observe capacity constraints.</w:t>
      </w:r>
      <w:r>
        <w:t xml:space="preserve"> </w:t>
      </w:r>
      <w:r>
        <w:t xml:space="preserve">In many instances, the achieved throughput ranges about 10 flights per hour below the maximum declared capacity.</w:t>
      </w:r>
      <w:r>
        <w:t xml:space="preserve"> </w:t>
      </w:r>
      <w:r>
        <w:t xml:space="preserve">In 2024, a low utilisation was observed at Galeão (SBGL), Brasilia (SBBR), and Paris Charles de Gaule (LFPG).</w:t>
      </w:r>
      <w:r>
        <w:t xml:space="preserve"> </w:t>
      </w:r>
      <w:r>
        <w:t xml:space="preserve">Here the observed the spread between declared capacity and peak throughput exceeds 15 flights per hour.</w:t>
      </w:r>
      <w:r>
        <w:t xml:space="preserve"> </w:t>
      </w:r>
      <w:r>
        <w:t xml:space="preserve">It is also noteworthy, that a subset of airport services operate at their maximum declared capacity (e.g. SBGR, LSZH, EDDF).</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Higher peak throughput rates than the declared capacity were observed at Amsterdam (EHAM), Congonhas (SBSP), and marginally at Lisbon (LPPT).</w:t>
      </w:r>
      <w:r>
        <w:t xml:space="preserve"> </w:t>
      </w:r>
      <w:r>
        <w:t xml:space="preserve">The offset at EHAM and SBSP suggest that declared capacity might be too conservative.</w:t>
      </w:r>
      <w:r>
        <w:t xml:space="preserve"> </w:t>
      </w:r>
      <w:r>
        <w:t xml:space="preserve">In the case of Amsterdam (EHAM) there is a political cap on the number of operations per year. This may result in a determined (and declared) hourly rate that does strictly speaking not apply to the operational peak situations.</w:t>
      </w:r>
    </w:p>
    <w:p>
      <w:pPr>
        <w:pStyle w:val="BodyText"/>
      </w:pPr>
      <w:r>
        <w:t xml:space="preserve">The analysis of the spread of the declared capacity vs achieved throughput is useful.</w:t>
      </w:r>
      <w:r>
        <w:t xml:space="preserve"> </w:t>
      </w:r>
      <w:r>
        <w:t xml:space="preserve">However, it gives not indication on how often the demand reaches the declared capacity level.</w:t>
      </w:r>
      <w:r>
        <w:t xml:space="preserve"> </w:t>
      </w:r>
      <w:r>
        <w:t xml:space="preserve">For this purpose, this report determines two characteristics points, i.e., the</w:t>
      </w:r>
      <w:r>
        <w:t xml:space="preserve"> </w:t>
      </w:r>
      <w:r>
        <w:rPr>
          <w:iCs/>
          <w:i/>
        </w:rPr>
        <w:t xml:space="preserve">BLI</w:t>
      </w:r>
      <w:r>
        <w:t xml:space="preserve"> </w:t>
      </w:r>
      <w:r>
        <w:t xml:space="preserve">base load index, and the peak load index</w:t>
      </w:r>
      <w:r>
        <w:t xml:space="preserve"> </w:t>
      </w:r>
      <w:r>
        <w:rPr>
          <w:iCs/>
          <w:i/>
        </w:rPr>
        <w:t xml:space="preserve">PLI</w:t>
      </w:r>
      <w:r>
        <w:t xml:space="preserve">.</w:t>
      </w:r>
    </w:p>
    <w:tbl>
      <w:tblPr>
        <w:tblStyle w:val="Table"/>
        <w:tblW w:type="pct" w:w="5000"/>
        <w:tblLook w:firstRow="0" w:lastRow="0" w:firstColumn="0" w:lastColumn="0" w:noHBand="0" w:noVBand="0" w:val="0000"/>
        <w:jc w:val="start"/>
        <w:tblLayout w:type="fixed"/>
      </w:tblPr>
      <w:tblGrid>
        <w:gridCol w:w="4356"/>
        <w:gridCol w:w="3564"/>
      </w:tblGrid>
      <w:tr>
        <w:tc>
          <w:tcPr/>
          <w:tbl>
            <w:tblPr>
              <w:tblStyle w:val="Table"/>
              <w:tblW w:type="pct" w:w="5000"/>
              <w:tblLook w:firstRow="0" w:lastRow="0" w:firstColumn="0" w:lastColumn="0" w:noHBand="0" w:noVBand="0" w:val="0000"/>
              <w:jc w:val="start"/>
              <w:tblLayout w:type="fixed"/>
            </w:tblPr>
            <w:tblGrid>
              <w:gridCol w:w="7920"/>
            </w:tblGrid>
            <w:tr>
              <w:tc>
                <w:tcPr/>
                <w:bookmarkStart w:id="193" w:name="fig-bli-pli-example"/>
                <w:p>
                  <w:pPr>
                    <w:pStyle w:val="Compact"/>
                    <w:jc w:val="center"/>
                    <w:jc w:val="left"/>
                  </w:pPr>
                  <w:r>
                    <w:drawing>
                      <wp:inline>
                        <wp:extent cx="5334000" cy="4000500"/>
                        <wp:effectExtent b="0" l="0" r="0" t="0"/>
                        <wp:docPr descr="" title="" id="191" name="Picture"/>
                        <a:graphic>
                          <a:graphicData uri="http://schemas.openxmlformats.org/drawingml/2006/picture">
                            <pic:pic>
                              <pic:nvPicPr>
                                <pic:cNvPr descr="figures/bli-pli-example.png" id="192" name="Picture"/>
                                <pic:cNvPicPr>
                                  <a:picLocks noChangeArrowheads="1" noChangeAspect="1"/>
                                </pic:cNvPicPr>
                              </pic:nvPicPr>
                              <pic:blipFill>
                                <a:blip r:embed="rId190"/>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5.6: Example of ordered hourly throughout in different years</w:t>
                  </w:r>
                </w:p>
                <w:bookmarkEnd w:id="193"/>
              </w:tc>
            </w:tr>
          </w:tbl>
          <w:p/>
        </w:tc>
        <w:tc>
          <w:tcPr/>
          <w:p>
            <w:pPr>
              <w:numPr>
                <w:ilvl w:val="0"/>
                <w:numId w:val="1006"/>
              </w:numPr>
              <w:pStyle w:val="Compact"/>
              <w:jc w:val="left"/>
            </w:pPr>
            <w:hyperlink w:anchor="fig-bli-pli-example">
              <w:r>
                <w:rPr>
                  <w:rStyle w:val="Hyperlink"/>
                </w:rPr>
                <w:t xml:space="preserve">Figure 5.6</w:t>
              </w:r>
            </w:hyperlink>
            <w:r>
              <w:t xml:space="preserve"> </w:t>
            </w:r>
            <w:r>
              <w:t xml:space="preserve">shows the ordered set of hourly throughputs for the past years.</w:t>
            </w:r>
          </w:p>
          <w:p>
            <w:pPr>
              <w:numPr>
                <w:ilvl w:val="0"/>
                <w:numId w:val="1006"/>
              </w:numPr>
              <w:pStyle w:val="Compact"/>
              <w:jc w:val="left"/>
            </w:pPr>
            <w:r>
              <w:t xml:space="preserve">this allows to identify when the achieved total throughput ranges above characteristics levels (i.e. base load index := 20% of max capcaity, peak load index := 80% of max capacity)</w:t>
            </w:r>
          </w:p>
        </w:tc>
      </w:tr>
    </w:tbl>
    <w:tbl>
      <w:tblPr>
        <w:tblStyle w:val="Table"/>
        <w:tblW w:type="pct" w:w="5000"/>
        <w:tblLook w:firstRow="0" w:lastRow="0" w:firstColumn="0" w:lastColumn="0" w:noHBand="0" w:noVBand="0" w:val="0000"/>
        <w:jc w:val="start"/>
        <w:tblLayout w:type="fixed"/>
      </w:tblPr>
      <w:tblGrid>
        <w:gridCol w:w="7920"/>
      </w:tblGrid>
      <w:tr>
        <w:tc>
          <w:tcPr/>
          <w:bookmarkStart w:id="197" w:name="fig-bli-pli"/>
          <w:p>
            <w:pPr>
              <w:pStyle w:val="Compact"/>
              <w:jc w:val="center"/>
            </w:pPr>
            <w:r>
              <w:drawing>
                <wp:inline>
                  <wp:extent cx="5334000" cy="4267200"/>
                  <wp:effectExtent b="0" l="0" r="0" t="0"/>
                  <wp:docPr descr="" title="" id="195" name="Picture"/>
                  <a:graphic>
                    <a:graphicData uri="http://schemas.openxmlformats.org/drawingml/2006/picture">
                      <pic:pic>
                        <pic:nvPicPr>
                          <pic:cNvPr descr="05-capacity_and_throughput_files/figure-docx/fig-bli-pli-1.png" id="196" name="Picture"/>
                          <pic:cNvPicPr>
                            <a:picLocks noChangeArrowheads="1" noChangeAspect="1"/>
                          </pic:cNvPicPr>
                        </pic:nvPicPr>
                        <pic:blipFill>
                          <a:blip r:embed="rId19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Capacity utilisation (base load index vs peak load index)</w:t>
            </w:r>
          </w:p>
          <w:bookmarkEnd w:id="197"/>
        </w:tc>
      </w:tr>
    </w:tbl>
    <w:p>
      <w:pPr>
        <w:pStyle w:val="BodyText"/>
      </w:pPr>
      <w:hyperlink w:anchor="fig-bli-pli">
        <w:r>
          <w:rPr>
            <w:rStyle w:val="Hyperlink"/>
          </w:rPr>
          <w:t xml:space="preserve">Figure 5.7</w:t>
        </w:r>
      </w:hyperlink>
      <w:r>
        <w:t xml:space="preserve"> </w:t>
      </w:r>
      <w:r>
        <w:t xml:space="preserve">provides an overview of the utilisation of the available capacity during the course of a year.</w:t>
      </w:r>
      <w:r>
        <w:t xml:space="preserve"> </w:t>
      </w:r>
      <w:r>
        <w:t xml:space="preserve">In Brazil, we observe a high utilisation of the capacity at Sao Paulo (SBSP) and Rio de Janeiro (SBRJ) in 2023 compared to earlier years (e.g. 2022).</w:t>
      </w:r>
      <w:r>
        <w:t xml:space="preserve"> </w:t>
      </w:r>
      <w:r>
        <w:t xml:space="preserve">However, it must be noted 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The associated values for 2022 or 2023 still range below the pre-pandemic performance.</w:t>
      </w:r>
      <w:r>
        <w:t xml:space="preserve"> </w:t>
      </w:r>
      <w:r>
        <w:t xml:space="preserve">Within the European context, a high utilisation of the available system capacity was observed for London Heathrow, Frankfurt, and Gatwick in 2019 with a BLI above 0.8 and the associated PLI above 0.4 (top right quadrant).</w:t>
      </w:r>
      <w:r>
        <w:t xml:space="preserve"> </w:t>
      </w:r>
      <w:r>
        <w:t xml:space="preserve">It is noteworthy that in the European region in 2023 only London Heathrow returned to similar levels of capacity utilisation.</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have not yet seen a return to pre-pandemic patterns.</w:t>
      </w:r>
      <w:r>
        <w:t xml:space="preserve"> </w:t>
      </w:r>
      <w:r>
        <w:t xml:space="preserve">Using a regression analysis, we can also see a difference in the trend in Europe in comparison to Brazil.</w:t>
      </w:r>
      <w:r>
        <w:t xml:space="preserve"> </w:t>
      </w:r>
      <w:r>
        <w:t xml:space="preserve">Amongst the study airports, there is a higher share of airports with a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198"/>
    <w:bookmarkStart w:id="199" w:name="summary-3"/>
    <w:p>
      <w:pPr>
        <w:pStyle w:val="Heading2"/>
      </w:pPr>
      <w:r>
        <w:t xml:space="preserve">5.5 Summary</w:t>
      </w:r>
    </w:p>
    <w:p>
      <w:pPr>
        <w:pStyle w:val="FirstParagraph"/>
      </w:pPr>
      <w:r>
        <w:t xml:space="preserve">This chapter analyzed the relationship between airport capacity, throughput, and demand management across Brazilian and European airports.</w:t>
      </w:r>
    </w:p>
    <w:p>
      <w:pPr>
        <w:pStyle w:val="BodyText"/>
      </w:pPr>
      <w:r>
        <w:t xml:space="preserve">On average, declared peak capacities at Brazilian airports tend to be lower than in Europe, suggesting greater flexibility to accommodate future traffic growth at major Brazilian hubs.</w:t>
      </w:r>
      <w:r>
        <w:t xml:space="preserve"> </w:t>
      </w:r>
      <w:r>
        <w:t xml:space="preserve">In contrast, many European airports will increasingly depend on novel operational concepts to achieve further gains, as their existing runway infrastructure and separation standards already impose operational limits.</w:t>
      </w:r>
    </w:p>
    <w:p>
      <w:pPr>
        <w:pStyle w:val="BodyText"/>
      </w:pPr>
      <w:r>
        <w:t xml:space="preserve">Comparing the utilisation of capacity based on a new indicator revealed interesting patterns. Most airports currently operate with a margin between declared capacity and observed peak throughput, suggesting that, at present, runway system capacities are not a limiting factor in either region.</w:t>
      </w:r>
    </w:p>
    <w:p>
      <w:pPr>
        <w:pStyle w:val="BodyText"/>
      </w:pPr>
      <w:r>
        <w:t xml:space="preserve">Notably, in 2024, low utilisation was observed at Galeão (SBGL), Brasília (SBBR), Rome Fiumicino (LIRF), and Paris Charles de Gaulle (LFPG), where the spread between capacity and peak throughput exceeded 15 flights per hour. Conversely, São Paulo Congonhas (SBSP) emerged as one of the most constrained facilities, servicing peak arrival rates close to or slightly above its declared capacity.</w:t>
      </w:r>
    </w:p>
    <w:p>
      <w:pPr>
        <w:pStyle w:val="BodyText"/>
      </w:pPr>
      <w:r>
        <w:t xml:space="preserve">Overall, the findings highlight that while current capacities are sufficient, maintaining system performance amid projected air traffic growth will increasingly depend on operational innovations and efficient management strategies in both regions.</w:t>
      </w:r>
    </w:p>
    <w:bookmarkEnd w:id="199"/>
    <w:bookmarkEnd w:id="200"/>
    <w:bookmarkStart w:id="246" w:name="efficiency"/>
    <w:p>
      <w:pPr>
        <w:pStyle w:val="Heading1"/>
      </w:pPr>
      <w:r>
        <w:t xml:space="preserve">6.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15" w:name="additional-taxi-in-time"/>
    <w:p>
      <w:pPr>
        <w:pStyle w:val="Heading2"/>
      </w:pPr>
      <w:r>
        <w:t xml:space="preserve">6.1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205" w:name="X21738602aae6a38840c6e2d433da543fd5349f7"/>
    <w:p>
      <w:pPr>
        <w:pStyle w:val="Heading3"/>
      </w:pPr>
      <w:r>
        <w:t xml:space="preserve">6.1.1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4" w:name="fig-txit-annual"/>
          <w:p>
            <w:pPr>
              <w:pStyle w:val="Compact"/>
              <w:jc w:val="center"/>
            </w:pPr>
            <w:r>
              <w:drawing>
                <wp:inline>
                  <wp:extent cx="5334000" cy="4267200"/>
                  <wp:effectExtent b="0" l="0" r="0" t="0"/>
                  <wp:docPr descr="" title="" id="202" name="Picture"/>
                  <a:graphic>
                    <a:graphicData uri="http://schemas.openxmlformats.org/drawingml/2006/picture">
                      <pic:pic>
                        <pic:nvPicPr>
                          <pic:cNvPr descr="06-efficiency_files/figure-docx/fig-txit-annual-1.png" id="203" name="Picture"/>
                          <pic:cNvPicPr>
                            <a:picLocks noChangeArrowheads="1" noChangeAspect="1"/>
                          </pic:cNvPicPr>
                        </pic:nvPicPr>
                        <pic:blipFill>
                          <a:blip r:embed="rId2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Additional taxi-in time [min/arr] (2023-2024)</w:t>
            </w:r>
          </w:p>
          <w:bookmarkEnd w:id="204"/>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6.1</w:t>
        </w:r>
      </w:hyperlink>
      <w:r>
        <w:t xml:space="preserve">.</w:t>
      </w:r>
    </w:p>
    <w:p>
      <w:pPr>
        <w:pStyle w:val="BodyText"/>
      </w:pPr>
      <w:r>
        <w:t xml:space="preserve">The 2-minute threshold per arrival continues to serve as a practical reference point for evaluating taxi-in efficiency.</w:t>
      </w:r>
    </w:p>
    <w:p>
      <w:pPr>
        <w:pStyle w:val="BodyText"/>
      </w:pPr>
      <w:r>
        <w:t xml:space="preserve">In Brazil, taxi-in performance in 2024 remained generally good, with most airports maintaining values close to or below 2 minutes. Notable exceptions were Congonhas (SBSP), which recorded the highest average additional taxi-in time, reaching approximately 3 minutes per arrival, followed closely by Guarulhos (SBGR), also nearing 3 minutes. Outside these two major hubs, all other studied Brazilian airports displayed taxi-in times well controlled around or below the 2-minute threshold. A particular highlight was Santos Dumont (SBRJ), which achieved a significant reduction in taxi-in times compared to the previous year.</w:t>
      </w:r>
    </w:p>
    <w:p>
      <w:pPr>
        <w:pStyle w:val="BodyText"/>
      </w:pPr>
      <w:r>
        <w:t xml:space="preserve">In Europe, the patterns were slightly more varied. London Heathrow (EGLL) remained the airport with the highest additional taxi-in time, approaching 4 minutes per arrival in 2024, underlining persistent surface congestion challenges. Lisbon (LPPT) and Frankfurt (EDDF) also surpassed the 2-minute threshold, though only slightly. All other European airports maintained taxi-in times below 2 minutes. A remarkable highlight was Barcelona (LEBL), where taxi-in efficiency improved notably, with average additional taxi-in times dropping to below 1 minute per arrival.</w:t>
      </w:r>
    </w:p>
    <w:p>
      <w:pPr>
        <w:pStyle w:val="BodyText"/>
      </w:pPr>
      <w:r>
        <w:t xml:space="preserve">Compared to 2023, taxi-in times remained relatively stable in both regions, although slight deteriorations were observed at some of the busiest hubs. These results emphasize the continued importance of optimizing surface management procedures to maintain overall predictability, particularly as traffic volumes increase at major airports.</w:t>
      </w:r>
    </w:p>
    <w:bookmarkEnd w:id="205"/>
    <w:bookmarkStart w:id="214" w:name="X37d572d25279968581e7fe5f14c7b9cabd407f7"/>
    <w:p>
      <w:pPr>
        <w:pStyle w:val="Heading3"/>
      </w:pPr>
      <w:r>
        <w:t xml:space="preserve">6.1.2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9" w:name="fig-bra-txit-timeline"/>
          <w:p>
            <w:pPr>
              <w:pStyle w:val="Compact"/>
              <w:jc w:val="center"/>
            </w:pPr>
            <w:r>
              <w:drawing>
                <wp:inline>
                  <wp:extent cx="5334000" cy="4267200"/>
                  <wp:effectExtent b="0" l="0" r="0" t="0"/>
                  <wp:docPr descr="" title="" id="207" name="Picture"/>
                  <a:graphic>
                    <a:graphicData uri="http://schemas.openxmlformats.org/drawingml/2006/picture">
                      <pic:pic>
                        <pic:nvPicPr>
                          <pic:cNvPr descr="06-efficiency_files/figure-docx/fig-bra-txit-timeline-1.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Evolution of average additional taxi-in time at Brazilian airports</w:t>
            </w:r>
          </w:p>
          <w:bookmarkEnd w:id="209"/>
        </w:tc>
      </w:tr>
    </w:tbl>
    <w:tbl>
      <w:tblPr>
        <w:tblStyle w:val="Table"/>
        <w:tblW w:type="pct" w:w="5000"/>
        <w:tblLook w:firstRow="0" w:lastRow="0" w:firstColumn="0" w:lastColumn="0" w:noHBand="0" w:noVBand="0" w:val="0000"/>
        <w:jc w:val="start"/>
        <w:tblLayout w:type="fixed"/>
      </w:tblPr>
      <w:tblGrid>
        <w:gridCol w:w="7920"/>
      </w:tblGrid>
      <w:tr>
        <w:tc>
          <w:tcPr/>
          <w:bookmarkStart w:id="213" w:name="fig-eur-txit-timeline"/>
          <w:p>
            <w:pPr>
              <w:pStyle w:val="Compact"/>
              <w:jc w:val="center"/>
            </w:pPr>
            <w:r>
              <w:drawing>
                <wp:inline>
                  <wp:extent cx="5334000" cy="4267200"/>
                  <wp:effectExtent b="0" l="0" r="0" t="0"/>
                  <wp:docPr descr="" title="" id="211" name="Picture"/>
                  <a:graphic>
                    <a:graphicData uri="http://schemas.openxmlformats.org/drawingml/2006/picture">
                      <pic:pic>
                        <pic:nvPicPr>
                          <pic:cNvPr descr="06-efficiency_files/figure-docx/fig-eur-txit-timeline-1.png" id="212" name="Picture"/>
                          <pic:cNvPicPr>
                            <a:picLocks noChangeArrowheads="1" noChangeAspect="1"/>
                          </pic:cNvPicPr>
                        </pic:nvPicPr>
                        <pic:blipFill>
                          <a:blip r:embed="rId21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average additional taxi-in time at European airports</w:t>
            </w:r>
          </w:p>
          <w:bookmarkEnd w:id="213"/>
        </w:tc>
      </w:tr>
    </w:tbl>
    <w:p>
      <w:pPr>
        <w:pStyle w:val="BodyText"/>
      </w:pPr>
      <w:r>
        <w:t xml:space="preserve">The evolution of the taxi-in time at the study airports, shown in</w:t>
      </w:r>
      <w:r>
        <w:t xml:space="preserve"> </w:t>
      </w:r>
      <w:hyperlink w:anchor="fig-bra-txit-timeline">
        <w:r>
          <w:rPr>
            <w:rStyle w:val="Hyperlink"/>
          </w:rPr>
          <w:t xml:space="preserve">Figure 6.2</w:t>
        </w:r>
      </w:hyperlink>
      <w:r>
        <w:t xml:space="preserve"> </w:t>
      </w:r>
      <w:r>
        <w:t xml:space="preserve">and</w:t>
      </w:r>
      <w:r>
        <w:t xml:space="preserve"> </w:t>
      </w:r>
      <w:hyperlink w:anchor="fig-eur-txit-timeline">
        <w:r>
          <w:rPr>
            <w:rStyle w:val="Hyperlink"/>
          </w:rPr>
          <w:t xml:space="preserve">Figure 6.3</w:t>
        </w:r>
      </w:hyperlink>
      <w:r>
        <w:t xml:space="preserve">, reinforces the findings presented in the previous analysis.</w:t>
      </w:r>
      <w:r>
        <w:t xml:space="preserve"> </w:t>
      </w:r>
      <w:r>
        <w:t xml:space="preserve">In Brazil, the figures clearly illustrate the increase in average taxi-in times at Porto Alegre (SBPA), Congonhas (SBSP), Salvador (SBSV), and Galeão (SBGL) throughout 2024. Congonhas and Guarulhos consistently maintained the highest levels within the Brazilian group, while Santos Dumont (SBRJ) stands out with a significant improvement, reducing its taxi-in times compared to previous years.</w:t>
      </w:r>
    </w:p>
    <w:p>
      <w:pPr>
        <w:pStyle w:val="BodyText"/>
      </w:pPr>
      <w:r>
        <w:t xml:space="preserve">In Europe, the data reveal a relatively stable pattern over the two-year period. Most airports maintained consistent taxi-in times, with minor variations. Lisbon (LPPT) showed a slight upward trend, while Barcelona (LEBL) remained a highlight, sustaining very low taxi-in times, well below 1 minute per arrival.</w:t>
      </w:r>
    </w:p>
    <w:p>
      <w:pPr>
        <w:pStyle w:val="BodyText"/>
      </w:pPr>
      <w:r>
        <w:t xml:space="preserve">These trends emphasize the importance of continuous monitoring of ground operations efficiency, especially as traffic demand grows.</w:t>
      </w:r>
    </w:p>
    <w:bookmarkEnd w:id="214"/>
    <w:bookmarkEnd w:id="215"/>
    <w:bookmarkStart w:id="230" w:name="taxi-out-times"/>
    <w:p>
      <w:pPr>
        <w:pStyle w:val="Heading2"/>
      </w:pPr>
      <w:r>
        <w:t xml:space="preserve">6.2 Taxi-Out Times</w:t>
      </w:r>
    </w:p>
    <w:bookmarkStart w:id="220" w:name="Xdcb196a398b0789fbb7c0fb5a8fa33a7aed408c"/>
    <w:p>
      <w:pPr>
        <w:pStyle w:val="Heading3"/>
      </w:pPr>
      <w:r>
        <w:t xml:space="preserve">6.2.1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19" w:name="fig-txot-annual"/>
          <w:p>
            <w:pPr>
              <w:pStyle w:val="Compact"/>
              <w:jc w:val="center"/>
            </w:pPr>
            <w:r>
              <w:drawing>
                <wp:inline>
                  <wp:extent cx="5334000" cy="4267200"/>
                  <wp:effectExtent b="0" l="0" r="0" t="0"/>
                  <wp:docPr descr="" title="" id="217" name="Picture"/>
                  <a:graphic>
                    <a:graphicData uri="http://schemas.openxmlformats.org/drawingml/2006/picture">
                      <pic:pic>
                        <pic:nvPicPr>
                          <pic:cNvPr descr="06-efficiency_files/figure-docx/fig-txot-annual-1.png" id="218" name="Picture"/>
                          <pic:cNvPicPr>
                            <a:picLocks noChangeArrowheads="1" noChangeAspect="1"/>
                          </pic:cNvPicPr>
                        </pic:nvPicPr>
                        <pic:blipFill>
                          <a:blip r:embed="rId21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Average additional taxi-out time [min/dep] (2023-2024)</w:t>
            </w:r>
          </w:p>
          <w:bookmarkEnd w:id="219"/>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6.4</w:t>
        </w:r>
      </w:hyperlink>
      <w:r>
        <w:t xml:space="preserve">).</w:t>
      </w:r>
    </w:p>
    <w:p>
      <w:pPr>
        <w:pStyle w:val="BodyText"/>
      </w:pPr>
      <w:r>
        <w:t xml:space="preserve">In Brazil, Santos Dumont (SBRJ) showed a notable improvement, with a reduction of more than 2 minutes compared to 2023. For the remaining airports, only minor variations were observed, including slight increases at Curitiba (SBCT) and Galeão (SBGL). Congonhas (SBSP) continues to record the highest additional taxi-out times among Brazilian airports, reaching approximately 7 minutes.</w:t>
      </w:r>
    </w:p>
    <w:p>
      <w:pPr>
        <w:pStyle w:val="BodyText"/>
      </w:pPr>
      <w:r>
        <w:t xml:space="preserve">In Europe, a significant reduction in taxi-out times was observed across most airports. Zurich (LSZH) particularly stands out, achieving a reduction of about 2 minutes. Lisbon (LPPT) registered the highest taxi-out time among the European airports, nearing 7 minutes. Except for Lisbon, which saw a slight increase, all other European airports improved their taxi-out performance between 2023 and 2024.</w:t>
      </w:r>
    </w:p>
    <w:bookmarkEnd w:id="220"/>
    <w:bookmarkStart w:id="229" w:name="X2ec65bbe6e24384a7cd30d4ee4a38ae6090c5a5"/>
    <w:p>
      <w:pPr>
        <w:pStyle w:val="Heading3"/>
      </w:pPr>
      <w:r>
        <w:t xml:space="preserve">6.2.2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24" w:name="fig-txot-monthly"/>
          <w:p>
            <w:pPr>
              <w:pStyle w:val="Compact"/>
              <w:jc w:val="center"/>
            </w:pPr>
            <w:r>
              <w:drawing>
                <wp:inline>
                  <wp:extent cx="5334000" cy="4267200"/>
                  <wp:effectExtent b="0" l="0" r="0" t="0"/>
                  <wp:docPr descr="" title="" id="222" name="Picture"/>
                  <a:graphic>
                    <a:graphicData uri="http://schemas.openxmlformats.org/drawingml/2006/picture">
                      <pic:pic>
                        <pic:nvPicPr>
                          <pic:cNvPr descr="06-efficiency_files/figure-docx/fig-txot-monthly-1.png" id="223" name="Picture"/>
                          <pic:cNvPicPr>
                            <a:picLocks noChangeArrowheads="1" noChangeAspect="1"/>
                          </pic:cNvPicPr>
                        </pic:nvPicPr>
                        <pic:blipFill>
                          <a:blip r:embed="rId2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Brazil - Monthly Evolution of taxi-out times</w:t>
            </w:r>
          </w:p>
          <w:bookmarkEnd w:id="224"/>
        </w:tc>
      </w:tr>
    </w:tbl>
    <w:tbl>
      <w:tblPr>
        <w:tblStyle w:val="Table"/>
        <w:tblW w:type="pct" w:w="5000"/>
        <w:tblLook w:firstRow="0" w:lastRow="0" w:firstColumn="0" w:lastColumn="0" w:noHBand="0" w:noVBand="0" w:val="0000"/>
        <w:jc w:val="start"/>
        <w:tblLayout w:type="fixed"/>
      </w:tblPr>
      <w:tblGrid>
        <w:gridCol w:w="7920"/>
      </w:tblGrid>
      <w:tr>
        <w:tc>
          <w:tcPr/>
          <w:bookmarkStart w:id="228" w:name="fig-txot-eur-monthly"/>
          <w:p>
            <w:pPr>
              <w:pStyle w:val="Compact"/>
              <w:jc w:val="center"/>
            </w:pPr>
            <w:r>
              <w:drawing>
                <wp:inline>
                  <wp:extent cx="5334000" cy="4267200"/>
                  <wp:effectExtent b="0" l="0" r="0" t="0"/>
                  <wp:docPr descr="" title="" id="226" name="Picture"/>
                  <a:graphic>
                    <a:graphicData uri="http://schemas.openxmlformats.org/drawingml/2006/picture">
                      <pic:pic>
                        <pic:nvPicPr>
                          <pic:cNvPr descr="06-efficiency_files/figure-docx/fig-txot-eur-monthly-1.png" id="227" name="Picture"/>
                          <pic:cNvPicPr>
                            <a:picLocks noChangeArrowheads="1" noChangeAspect="1"/>
                          </pic:cNvPicPr>
                        </pic:nvPicPr>
                        <pic:blipFill>
                          <a:blip r:embed="rId2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Europe - Monthly Evolution of taxi-out times</w:t>
            </w:r>
          </w:p>
          <w:bookmarkEnd w:id="228"/>
        </w:tc>
      </w:tr>
    </w:tbl>
    <w:p>
      <w:pPr>
        <w:pStyle w:val="BodyText"/>
      </w:pPr>
      <w:r>
        <w:t xml:space="preserve">The trends reinforce the observations from the annual figures.</w:t>
      </w:r>
    </w:p>
    <w:p>
      <w:pPr>
        <w:pStyle w:val="BodyText"/>
      </w:pPr>
      <w:r>
        <w:t xml:space="preserve">In Brazil, Santos Dumont (SBRJ) showed a significant improvement in 2024, with taxi-out times decreasing by more than two minutes. For the other airports, monthly variations were relatively small, although a gradual increase can be seen at Curitiba (SBCT) and Galeão (SBGL).</w:t>
      </w:r>
      <w:r>
        <w:t xml:space="preserve"> </w:t>
      </w:r>
      <w:r>
        <w:t xml:space="preserve">Congonhas (SBSP) continues to register the highest additional taxi-out times among Brazilian airports, reaching nearly 7 minutes in 2024.</w:t>
      </w:r>
    </w:p>
    <w:p>
      <w:pPr>
        <w:pStyle w:val="BodyText"/>
      </w:pPr>
      <w:r>
        <w:t xml:space="preserve">In Europe, the overall trend is one of improvement, with most airports reducing their taxi-out times between 2023 and 2024. Zurich (LSZH) achieved a notable reduction of about two minutes. Lisbon (LPPT) stands out with the highest taxi-out time, close to 7 minutes. Except for Lisbon, which saw a slight increase, all other European study airports experienced reductions in taxi-out times, confirming a broad regional effort to improve surface efficiency.</w:t>
      </w:r>
    </w:p>
    <w:bookmarkEnd w:id="229"/>
    <w:bookmarkEnd w:id="230"/>
    <w:bookmarkStart w:id="235" w:name="X5428b4d268e295a48553862ed4f343a527093d0"/>
    <w:p>
      <w:pPr>
        <w:pStyle w:val="Heading2"/>
      </w:pPr>
      <w:r>
        <w:t xml:space="preserve">6.3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34" w:name="fig-txot-txit-mapping"/>
          <w:p>
            <w:pPr>
              <w:pStyle w:val="Compact"/>
              <w:jc w:val="center"/>
            </w:pPr>
            <w:r>
              <w:drawing>
                <wp:inline>
                  <wp:extent cx="5334000" cy="4267200"/>
                  <wp:effectExtent b="0" l="0" r="0" t="0"/>
                  <wp:docPr descr="" title="" id="232" name="Picture"/>
                  <a:graphic>
                    <a:graphicData uri="http://schemas.openxmlformats.org/drawingml/2006/picture">
                      <pic:pic>
                        <pic:nvPicPr>
                          <pic:cNvPr descr="06-efficiency_files/figure-docx/fig-txot-txit-mapping-1.png" id="233" name="Picture"/>
                          <pic:cNvPicPr>
                            <a:picLocks noChangeArrowheads="1" noChangeAspect="1"/>
                          </pic:cNvPicPr>
                        </pic:nvPicPr>
                        <pic:blipFill>
                          <a:blip r:embed="rId2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Mapping of additional taxi-in and taxi-out times</w:t>
            </w:r>
          </w:p>
          <w:bookmarkEnd w:id="234"/>
        </w:tc>
      </w:tr>
    </w:tbl>
    <w:p>
      <w:pPr>
        <w:pStyle w:val="BodyText"/>
      </w:pPr>
      <w:r>
        <w:t xml:space="preserve">This analysis builds on the previous sections.</w:t>
      </w:r>
      <w:r>
        <w:t xml:space="preserve"> </w:t>
      </w:r>
      <w:hyperlink w:anchor="fig-txot-txit-mapping">
        <w:r>
          <w:rPr>
            <w:rStyle w:val="Hyperlink"/>
          </w:rPr>
          <w:t xml:space="preserve">Figure 6.7</w:t>
        </w:r>
      </w:hyperlink>
      <w:r>
        <w:t xml:space="preserve"> </w:t>
      </w:r>
      <w:r>
        <w:t xml:space="preserve">compares the relationship between the taxi-in and taxi-out performance observed.</w:t>
      </w:r>
    </w:p>
    <w:p>
      <w:pPr>
        <w:pStyle w:val="BodyText"/>
      </w:pPr>
      <w:r>
        <w:t xml:space="preserve">It also shows that on average taxi-out operations accrued more additional time than taxi-in operations (data points range below the dotted unit line, and as shown in the previous sections).</w:t>
      </w:r>
    </w:p>
    <w:p>
      <w:pPr>
        <w:pStyle w:val="BodyText"/>
      </w:pPr>
      <w:r>
        <w:t xml:space="preserve">For most of the European airports, the overall performance shows a reduction in additional taxi-out times (i.e. characterised by a leftshift along the x-axis). The noteable exemption is Lisbon (LPPT) that observed an increase in taxi-out time in 2024.</w:t>
      </w:r>
    </w:p>
    <w:p>
      <w:pPr>
        <w:pStyle w:val="BodyText"/>
      </w:pPr>
      <w:r>
        <w:t xml:space="preserve">A varied picture of taxi-in performance can be obsered in Brazil across all study airports (i.e. decreasing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The noteworthy exemption is London Heathrow (EGLL).</w:t>
      </w:r>
      <w:r>
        <w:t xml:space="preserve"> </w:t>
      </w:r>
      <w:r>
        <w:t xml:space="preserve">EGLL faced a significant increase in average additional taxi-in time in 2023 in comparison to the pre-pandemic performance level observed in 2019.</w:t>
      </w:r>
      <w:r>
        <w:t xml:space="preserve"> </w:t>
      </w:r>
      <w:r>
        <w:t xml:space="preserve">The lower performance in terms of taxi-in is observed in</w:t>
      </w:r>
      <w:r>
        <w:t xml:space="preserve"> </w:t>
      </w:r>
      <w:hyperlink w:anchor="fig-eur-txit-timeline">
        <w:r>
          <w:rPr>
            <w:rStyle w:val="Hyperlink"/>
          </w:rPr>
          <w:t xml:space="preserve">Figure 6.3</w:t>
        </w:r>
      </w:hyperlink>
      <w:r>
        <w:t xml:space="preserve"> </w:t>
      </w:r>
      <w:r>
        <w:t xml:space="preserve">which shows a strong increase in the second half of 2023.</w:t>
      </w:r>
      <w:r>
        <w:t xml:space="preserve"> </w:t>
      </w:r>
      <w:hyperlink w:anchor="fig-txot-txit-mapping">
        <w:r>
          <w:rPr>
            <w:rStyle w:val="Hyperlink"/>
          </w:rPr>
          <w:t xml:space="preserve">Figure 6.7</w:t>
        </w:r>
      </w:hyperlink>
      <w:r>
        <w:t xml:space="preserve"> </w:t>
      </w:r>
      <w:r>
        <w:t xml:space="preserve">also shows that the overall taxi-performance in Europe tends to show lower levels of variation between pre-pandemic and post-pandemic.</w:t>
      </w:r>
      <w:r>
        <w:t xml:space="preserve"> </w:t>
      </w:r>
      <w:r>
        <w:t xml:space="preserve">Exemptions are London Heathrow (EGLL) and Rome Fiumincino (LIRF) that saw a discernible rise in taxi-in inefficiencies and exceeding the levels observed at Brazilian study airports.</w:t>
      </w:r>
    </w:p>
    <w:bookmarkEnd w:id="235"/>
    <w:bookmarkStart w:id="244" w:name="additional-time-in-terminal-airspace"/>
    <w:p>
      <w:pPr>
        <w:pStyle w:val="Heading2"/>
      </w:pPr>
      <w:r>
        <w:t xml:space="preserve">6.4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suggests that reference time can be build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39" w:name="fig-asma"/>
          <w:p>
            <w:pPr>
              <w:pStyle w:val="Compact"/>
              <w:jc w:val="center"/>
            </w:pPr>
            <w:r>
              <w:drawing>
                <wp:inline>
                  <wp:extent cx="5334000" cy="4267200"/>
                  <wp:effectExtent b="0" l="0" r="0" t="0"/>
                  <wp:docPr descr="" title="" id="237" name="Picture"/>
                  <a:graphic>
                    <a:graphicData uri="http://schemas.openxmlformats.org/drawingml/2006/picture">
                      <pic:pic>
                        <pic:nvPicPr>
                          <pic:cNvPr descr="06-efficiency_files/figure-docx/fig-asma-1.png" id="238" name="Picture"/>
                          <pic:cNvPicPr>
                            <a:picLocks noChangeArrowheads="1" noChangeAspect="1"/>
                          </pic:cNvPicPr>
                        </pic:nvPicPr>
                        <pic:blipFill>
                          <a:blip r:embed="rId2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Additional time in terminal airspace</w:t>
            </w:r>
          </w:p>
          <w:bookmarkEnd w:id="239"/>
        </w:tc>
      </w:tr>
    </w:tbl>
    <w:p>
      <w:pPr>
        <w:pStyle w:val="BodyText"/>
      </w:pPr>
      <w:hyperlink w:anchor="fig-asma">
        <w:r>
          <w:rPr>
            <w:rStyle w:val="Hyperlink"/>
          </w:rPr>
          <w:t xml:space="preserve">Figure 6.8</w:t>
        </w:r>
      </w:hyperlink>
      <w:r>
        <w:t xml:space="preserve"> </w:t>
      </w:r>
      <w:r>
        <w:t xml:space="preserve">compares the annual average of additional times in terminal airspace across the study airports.</w:t>
      </w:r>
      <w:r>
        <w:t xml:space="preserve"> </w:t>
      </w:r>
      <w:r>
        <w:t xml:space="preserve">On average, the arrival flows in Brazil appear to be less constraint than in Europe.</w:t>
      </w:r>
    </w:p>
    <w:p>
      <w:pPr>
        <w:pStyle w:val="BodyText"/>
      </w:pPr>
      <w:r>
        <w:t xml:space="preserve">For most Brazilian airports, a reduction in additional times in the terminal airspace was observed, which is a positive development.</w:t>
      </w:r>
      <w:r>
        <w:t xml:space="preserve"> </w:t>
      </w:r>
      <w:r>
        <w:t xml:space="preserve">A particular highlight is Santos Dumont (SBRJ), where the average additional time decreased by more than one minute compared to the previous year.</w:t>
      </w:r>
    </w:p>
    <w:p>
      <w:pPr>
        <w:pStyle w:val="BodyText"/>
      </w:pPr>
      <w:r>
        <w:t xml:space="preserve">In contrast, European airports generally experienced a slight increase in their additional times in the terminal airspace between 2023 and 2024.</w:t>
      </w:r>
      <w:r>
        <w:t xml:space="preserve"> </w:t>
      </w:r>
      <w:r>
        <w:t xml:space="preserve">This appears to be related to the on-going increase in traffic numbers that put pressure on the arrival management.</w:t>
      </w:r>
      <w:r>
        <w:t xml:space="preserve"> </w:t>
      </w:r>
      <w:r>
        <w:t xml:space="preserve">With observing record years of ATFM delay, flows were generally impacted across the European network in 2023 and 2024.</w:t>
      </w:r>
      <w:r>
        <w:t xml:space="preserve"> </w:t>
      </w:r>
      <w:r>
        <w:t xml:space="preserve">This may have amplified the arrival flow as flows generally were disrupted in light of the constraints.</w:t>
      </w:r>
    </w:p>
    <w:tbl>
      <w:tblPr>
        <w:tblStyle w:val="Table"/>
        <w:tblW w:type="pct" w:w="5000"/>
        <w:tblLook w:firstRow="0" w:lastRow="0" w:firstColumn="0" w:lastColumn="0" w:noHBand="0" w:noVBand="0" w:val="0000"/>
        <w:jc w:val="start"/>
        <w:tblLayout w:type="fixed"/>
      </w:tblPr>
      <w:tblGrid>
        <w:gridCol w:w="7920"/>
      </w:tblGrid>
      <w:tr>
        <w:tc>
          <w:tcPr/>
          <w:bookmarkStart w:id="243" w:name="fig-asma-vs-traffic-volume"/>
          <w:p>
            <w:pPr>
              <w:pStyle w:val="Compact"/>
              <w:jc w:val="center"/>
            </w:pPr>
            <w:r>
              <w:drawing>
                <wp:inline>
                  <wp:extent cx="5334000" cy="4267200"/>
                  <wp:effectExtent b="0" l="0" r="0" t="0"/>
                  <wp:docPr descr="" title="" id="241" name="Picture"/>
                  <a:graphic>
                    <a:graphicData uri="http://schemas.openxmlformats.org/drawingml/2006/picture">
                      <pic:pic>
                        <pic:nvPicPr>
                          <pic:cNvPr descr="06-efficiency_files/figure-docx/fig-asma-vs-traffic-volume-1.png" id="242" name="Picture"/>
                          <pic:cNvPicPr>
                            <a:picLocks noChangeArrowheads="1" noChangeAspect="1"/>
                          </pic:cNvPicPr>
                        </pic:nvPicPr>
                        <pic:blipFill>
                          <a:blip r:embed="rId2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Comparison of additional time in terminal airspace</w:t>
            </w:r>
          </w:p>
          <w:bookmarkEnd w:id="243"/>
        </w:tc>
      </w:tr>
    </w:tbl>
    <w:p>
      <w:pPr>
        <w:pStyle w:val="BodyText"/>
      </w:pPr>
      <w:hyperlink w:anchor="fig-asma-vs-traffic-volume">
        <w:r>
          <w:rPr>
            <w:rStyle w:val="Hyperlink"/>
          </w:rPr>
          <w:t xml:space="preserve">Figure 6.9</w:t>
        </w:r>
      </w:hyperlink>
      <w:r>
        <w:t xml:space="preserve"> </w:t>
      </w:r>
      <w:r>
        <w:t xml:space="preserve">depicts the change in terms of the average additional time in terminal airspace comparing 2023 and 2024.</w:t>
      </w:r>
    </w:p>
    <w:p>
      <w:pPr>
        <w:pStyle w:val="BodyText"/>
      </w:pPr>
      <w:r>
        <w:t xml:space="preserve">The comparison shows the effect of the variation of air traffic on the performance in the both region.</w:t>
      </w:r>
      <w:r>
        <w:t xml:space="preserve"> </w:t>
      </w:r>
      <w:r>
        <w:t xml:space="preserve">In general Brazil observed an increase in arrival efficiency evidenced by the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p>
      <w:pPr>
        <w:pStyle w:val="BodyText"/>
      </w:pPr>
      <w:r>
        <w:t xml:space="preserve">The European region shows saturation effects characterised by the increasing number of flights.</w:t>
      </w:r>
      <w:r>
        <w:t xml:space="preserve"> </w:t>
      </w:r>
      <w:r>
        <w:t xml:space="preserve">On average a shallow increase was observed from 2023 to 2024.</w:t>
      </w:r>
      <w:r>
        <w:t xml:space="preserve"> </w:t>
      </w:r>
      <w:r>
        <w:t xml:space="preserve">This requires attention as future traffic demand will increase the pressure on the constraint arrival management processes.</w:t>
      </w:r>
    </w:p>
    <w:bookmarkEnd w:id="244"/>
    <w:bookmarkStart w:id="245" w:name="summary-4"/>
    <w:p>
      <w:pPr>
        <w:pStyle w:val="Heading2"/>
      </w:pPr>
      <w:r>
        <w:t xml:space="preserve">6.5 Summary</w:t>
      </w:r>
    </w:p>
    <w:p>
      <w:pPr>
        <w:pStyle w:val="FirstParagraph"/>
      </w:pPr>
      <w:r>
        <w:t xml:space="preserve">This chapter analysed operational efficiency through the assessment of additional taxi-in and taxi-out times, as well as additional time in terminal airspace.</w:t>
      </w:r>
      <w:r>
        <w:t xml:space="preserve"> </w:t>
      </w:r>
      <w:r>
        <w:t xml:space="preserve">These indicators provide important insights into how air traffic management systems handle surface and arrival flow operations in the face of increasing demand.</w:t>
      </w:r>
    </w:p>
    <w:p>
      <w:pPr>
        <w:pStyle w:val="BodyText"/>
      </w:pPr>
      <w:r>
        <w:t xml:space="preserve">The 2-minute threshold remains a useful reference for taxi-in performance. In 2024, Brazilian airports generally maintained good levels of taxi-in efficiency, with most airports close to or below this threshold, except for Congonhas (SBSP) and Guarulhos (SBGR). Santos Dumont (SBRJ) notably improved its taxi-in performance. In Europe, while most airports kept taxi-in times under control, challenges persisted at London Heathrow (EGLL) and Lisbon (LPPT).</w:t>
      </w:r>
    </w:p>
    <w:p>
      <w:pPr>
        <w:pStyle w:val="BodyText"/>
      </w:pPr>
      <w:r>
        <w:t xml:space="preserve">Regarding taxi-out times, Brazilian airports showed a mixed trend. While Santos Dumont (SBRJ) registered a remarkable improvement, other airports such as Congonhas (SBSP) continued to experience high taxi-out times. In Europe, most airports achieved reductions in taxi-out times, except Lisbon (LPPT), where a slight increase was observed.</w:t>
      </w:r>
    </w:p>
    <w:p>
      <w:pPr>
        <w:pStyle w:val="BodyText"/>
      </w:pPr>
      <w:r>
        <w:t xml:space="preserve">The mapping of taxi-in and taxi-out times confirmed that overall taxi-out inefficiencies remain more significant than taxi-in inefficiencies. Improvements were more pronounced in Brazil for taxi-in operations, whereas Europe showed stability with exceptions like Heathrow (EGLL), which still faced increased inefficiencies.</w:t>
      </w:r>
    </w:p>
    <w:p>
      <w:pPr>
        <w:pStyle w:val="BodyText"/>
      </w:pPr>
      <w:r>
        <w:t xml:space="preserve">The analysis of additional time in terminal airspace further indicated that European arrivals at European airports observe a slightly higher additional time.</w:t>
      </w:r>
      <w:r>
        <w:t xml:space="preserve"> </w:t>
      </w:r>
      <w:r>
        <w:t xml:space="preserve">Less constraint European arrival sectors manage their arrivals with slightly less delay compared to Brazilian airports. However, Brazilian airports showed positive trends, with reductions observed at most locations—highlighted again by the strong improvement at Santos Dumont.</w:t>
      </w:r>
    </w:p>
    <w:p>
      <w:pPr>
        <w:pStyle w:val="BodyText"/>
      </w:pPr>
      <w:r>
        <w:t xml:space="preserve">These findings underscore the ongoing need for continuous monitoring and improvements in ground and arrival management, especially in the context of increasing air traffic demand.</w:t>
      </w:r>
    </w:p>
    <w:bookmarkEnd w:id="245"/>
    <w:bookmarkEnd w:id="246"/>
    <w:bookmarkStart w:id="292" w:name="studies"/>
    <w:p>
      <w:pPr>
        <w:pStyle w:val="Heading1"/>
      </w:pPr>
      <w:r>
        <w:t xml:space="preserve">7. Studies</w:t>
      </w:r>
    </w:p>
    <w:p>
      <w:pPr>
        <w:pStyle w:val="FirstParagraph"/>
      </w:pPr>
      <w:r>
        <w:t xml:space="preserve">Throughout 2024, joint work between DECEA and EUROCONTROL involved the preparatory action for assessing the operational performance benefits of point-merge operations and comparing service provision within two units.</w:t>
      </w:r>
      <w:r>
        <w:t xml:space="preserve"> </w:t>
      </w:r>
      <w:r>
        <w:t xml:space="preserve">This chapter provides a first summary of the work to help refine the future work.</w:t>
      </w:r>
    </w:p>
    <w:bookmarkStart w:id="275" w:name="point-merge-operations"/>
    <w:p>
      <w:pPr>
        <w:pStyle w:val="Heading2"/>
      </w:pPr>
      <w:r>
        <w:t xml:space="preserve">7.1 Point-Merge Operations</w:t>
      </w:r>
    </w:p>
    <w:p>
      <w:pPr>
        <w:pStyle w:val="FirstParagraph"/>
      </w:pPr>
      <w:r>
        <w:t xml:space="preserve">Point Merge System (PMS) is an innovative air traffic sequencing technique designed to optimise aircraft arrival sequences, and enhance operational safety and workload.</w:t>
      </w:r>
      <w:r>
        <w:t xml:space="preserve"> </w:t>
      </w:r>
      <w:r>
        <w:t xml:space="preserve">PMS operates efficiently under high traffic loads without the need for radar vectoring.</w:t>
      </w:r>
      <w:r>
        <w:t xml:space="preserve"> </w:t>
      </w:r>
      <w:r>
        <w:t xml:space="preserve">It relies on a specific Precision-Area Navigation (P-RNAV) route structure, comprising a merge point and equidistant pre-defined sequencing legs.</w:t>
      </w:r>
      <w:r>
        <w:t xml:space="preserve"> </w:t>
      </w:r>
      <w:r>
        <w:t xml:space="preserve">Traffic sequencing is achieved through a</w:t>
      </w:r>
      <w:r>
        <w:t xml:space="preserve"> </w:t>
      </w:r>
      <w:r>
        <w:t xml:space="preserve">“</w:t>
      </w:r>
      <w:r>
        <w:t xml:space="preserve">direct-to</w:t>
      </w:r>
      <w:r>
        <w:t xml:space="preserve">”</w:t>
      </w:r>
      <w:r>
        <w:t xml:space="preserve"> </w:t>
      </w:r>
      <w:r>
        <w:t xml:space="preserve">instruction to the merge point at the appropriate time.</w:t>
      </w:r>
      <w:r>
        <w:t xml:space="preserve"> </w:t>
      </w:r>
      <w:r>
        <w:t xml:space="preserve">The sequencing legs are used to extend the flight path of an aircraft along the leg only when necessary.</w:t>
      </w:r>
      <w:r>
        <w:t xml:space="preserve"> </w:t>
      </w:r>
      <w:r>
        <w:t xml:space="preserve">The length of these legs reflects the required delay absorption capacity, ensuring a streamlined and predictable arrival flow.</w:t>
      </w:r>
      <w:r>
        <w:t xml:space="preserve"> </w:t>
      </w:r>
      <w:r>
        <w:t xml:space="preserve"> </w:t>
      </w:r>
      <w:r>
        <w:t xml:space="preserve">This method simplifies controller tasks, reduces communication and workload, enhances pilot situational awareness, and improves the predictability and efficiency of flight trajectories.</w:t>
      </w:r>
      <w:r>
        <w:t xml:space="preserve"> </w:t>
      </w:r>
      <w:hyperlink w:anchor="fig-point-merge">
        <w:r>
          <w:rPr>
            <w:rStyle w:val="Hyperlink"/>
          </w:rPr>
          <w:t xml:space="preserve">Figure 7.1</w:t>
        </w:r>
      </w:hyperlink>
      <w:r>
        <w:t xml:space="preserve"> </w:t>
      </w:r>
      <w:r>
        <w:t xml:space="preserve">illustrates the Point Merge system and its components.</w:t>
      </w:r>
    </w:p>
    <w:tbl>
      <w:tblPr>
        <w:tblStyle w:val="Table"/>
        <w:tblW w:type="pct" w:w="5000"/>
        <w:tblLook w:firstRow="0" w:lastRow="0" w:firstColumn="0" w:lastColumn="0" w:noHBand="0" w:noVBand="0" w:val="0000"/>
        <w:jc w:val="start"/>
        <w:tblLayout w:type="fixed"/>
      </w:tblPr>
      <w:tblGrid>
        <w:gridCol w:w="7920"/>
      </w:tblGrid>
      <w:tr>
        <w:tc>
          <w:tcPr/>
          <w:bookmarkStart w:id="250" w:name="fig-point-merge"/>
          <w:p>
            <w:pPr>
              <w:pStyle w:val="Compact"/>
              <w:jc w:val="center"/>
            </w:pPr>
            <w:r>
              <w:drawing>
                <wp:inline>
                  <wp:extent cx="2560320" cy="2098307"/>
                  <wp:effectExtent b="0" l="0" r="0" t="0"/>
                  <wp:docPr descr="" title="" id="248" name="Picture"/>
                  <a:graphic>
                    <a:graphicData uri="http://schemas.openxmlformats.org/drawingml/2006/picture">
                      <pic:pic>
                        <pic:nvPicPr>
                          <pic:cNvPr descr="./figures/Point%20Merge%20Structure.png" id="249" name="Picture"/>
                          <pic:cNvPicPr>
                            <a:picLocks noChangeArrowheads="1" noChangeAspect="1"/>
                          </pic:cNvPicPr>
                        </pic:nvPicPr>
                        <pic:blipFill>
                          <a:blip r:embed="rId247"/>
                          <a:stretch>
                            <a:fillRect/>
                          </a:stretch>
                        </pic:blipFill>
                        <pic:spPr bwMode="auto">
                          <a:xfrm>
                            <a:off x="0" y="0"/>
                            <a:ext cx="2560320" cy="20983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Point-merge overview</w:t>
            </w:r>
          </w:p>
          <w:bookmarkEnd w:id="250"/>
        </w:tc>
      </w:tr>
    </w:tbl>
    <w:p>
      <w:pPr>
        <w:pStyle w:val="BodyText"/>
      </w:pPr>
      <w:r>
        <w:t xml:space="preserve">The Point Merge System has been successfully implemented at various airports worldwide, demonstrating its effectiveness in enhancing airspace efficiency and reducing the environmental impact of fuel consumption.</w:t>
      </w:r>
      <w:r>
        <w:t xml:space="preserve"> </w:t>
      </w:r>
      <w:r>
        <w:t xml:space="preserve">In Brazil, Guarulhos International Airport (SBGR) — one of the busiest hubs in Latin America — faces daily challenges related to high traffic density.</w:t>
      </w:r>
      <w:r>
        <w:t xml:space="preserve"> </w:t>
      </w:r>
      <w:r>
        <w:t xml:space="preserve">To address these issues, PMS was implemented for arrival procedures at SBGR in May 2021.</w:t>
      </w:r>
      <w:r>
        <w:t xml:space="preserve"> </w:t>
      </w:r>
      <w:r>
        <w:t xml:space="preserve">With a recent deployment in 2024, PMS was introduced at Lisbon Airport (LPPT).</w:t>
      </w:r>
      <w:r>
        <w:t xml:space="preserve"> </w:t>
      </w:r>
      <w:r>
        <w:t xml:space="preserve">The following is an illustration of flight trajectories at SBGR and LPPT during periods before and after the implementation of the Point Merge System (PMS).</w:t>
      </w:r>
    </w:p>
    <w:tbl>
      <w:tblPr>
        <w:tblStyle w:val="Table"/>
        <w:tblW w:type="pct" w:w="5000"/>
        <w:tblLook w:firstRow="0" w:lastRow="0" w:firstColumn="0" w:lastColumn="0" w:noHBand="0" w:noVBand="0" w:val="0000"/>
        <w:jc w:val="start"/>
        <w:tblLayout w:type="fixed"/>
      </w:tblPr>
      <w:tblGrid>
        <w:gridCol w:w="7920"/>
      </w:tblGrid>
      <w:tr>
        <w:tc>
          <w:tcPr/>
          <w:bookmarkStart w:id="254" w:name="fig-pms-sbgr-2019-2024"/>
          <w:p>
            <w:pPr>
              <w:pStyle w:val="Compact"/>
              <w:jc w:val="center"/>
            </w:pPr>
            <w:r>
              <w:drawing>
                <wp:inline>
                  <wp:extent cx="3561347" cy="2521818"/>
                  <wp:effectExtent b="0" l="0" r="0" t="0"/>
                  <wp:docPr descr="" title="" id="252" name="Picture"/>
                  <a:graphic>
                    <a:graphicData uri="http://schemas.openxmlformats.org/drawingml/2006/picture">
                      <pic:pic>
                        <pic:nvPicPr>
                          <pic:cNvPr descr="./figures/trajectory%202019_2024_SBGR.png" id="253" name="Picture"/>
                          <pic:cNvPicPr>
                            <a:picLocks noChangeArrowheads="1" noChangeAspect="1"/>
                          </pic:cNvPicPr>
                        </pic:nvPicPr>
                        <pic:blipFill>
                          <a:blip r:embed="rId251"/>
                          <a:stretch>
                            <a:fillRect/>
                          </a:stretch>
                        </pic:blipFill>
                        <pic:spPr bwMode="auto">
                          <a:xfrm>
                            <a:off x="0" y="0"/>
                            <a:ext cx="3561347" cy="25218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Point-merge operations at Guarulhos (SBGR) (2019 vs 2024)</w:t>
            </w:r>
          </w:p>
          <w:bookmarkEnd w:id="254"/>
        </w:tc>
      </w:tr>
    </w:tbl>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4976261" cy="3455469"/>
                  <wp:effectExtent b="0" l="0" r="0" t="0"/>
                  <wp:docPr descr="LPPT runway 02 - before point-merge" title="" id="256" name="Picture"/>
                  <a:graphic>
                    <a:graphicData uri="http://schemas.openxmlformats.org/drawingml/2006/picture">
                      <pic:pic>
                        <pic:nvPicPr>
                          <pic:cNvPr descr="./figures/beforePMS_rwy02.png" id="257" name="Picture"/>
                          <pic:cNvPicPr>
                            <a:picLocks noChangeArrowheads="1" noChangeAspect="1"/>
                          </pic:cNvPicPr>
                        </pic:nvPicPr>
                        <pic:blipFill>
                          <a:blip r:embed="rId255"/>
                          <a:stretch>
                            <a:fillRect/>
                          </a:stretch>
                        </pic:blipFill>
                        <pic:spPr bwMode="auto">
                          <a:xfrm>
                            <a:off x="0" y="0"/>
                            <a:ext cx="4976261" cy="3455469"/>
                          </a:xfrm>
                          <a:prstGeom prst="rect">
                            <a:avLst/>
                          </a:prstGeom>
                          <a:noFill/>
                          <a:ln w="9525">
                            <a:noFill/>
                            <a:headEnd/>
                            <a:tailEnd/>
                          </a:ln>
                        </pic:spPr>
                      </pic:pic>
                    </a:graphicData>
                  </a:graphic>
                </wp:inline>
              </w:drawing>
            </w:r>
          </w:p>
          <w:p>
            <w:pPr>
              <w:pStyle w:val="ImageCaption"/>
              <w:jc w:val="left"/>
            </w:pPr>
            <w:r>
              <w:t xml:space="preserve">LPPT runway 02 - before point-merge</w:t>
            </w:r>
          </w:p>
        </w:tc>
        <w:tc>
          <w:tcPr/>
          <w:p>
            <w:pPr>
              <w:pStyle w:val="CaptionedFigure"/>
              <w:jc w:val="left"/>
            </w:pPr>
            <w:r>
              <w:drawing>
                <wp:inline>
                  <wp:extent cx="4957010" cy="3551722"/>
                  <wp:effectExtent b="0" l="0" r="0" t="0"/>
                  <wp:docPr descr="- post point-merge deployment" title="" id="259" name="Picture"/>
                  <a:graphic>
                    <a:graphicData uri="http://schemas.openxmlformats.org/drawingml/2006/picture">
                      <pic:pic>
                        <pic:nvPicPr>
                          <pic:cNvPr descr="./figures/afterPMS_rwy02.png" id="260" name="Picture"/>
                          <pic:cNvPicPr>
                            <a:picLocks noChangeArrowheads="1" noChangeAspect="1"/>
                          </pic:cNvPicPr>
                        </pic:nvPicPr>
                        <pic:blipFill>
                          <a:blip r:embed="rId258"/>
                          <a:stretch>
                            <a:fillRect/>
                          </a:stretch>
                        </pic:blipFill>
                        <pic:spPr bwMode="auto">
                          <a:xfrm>
                            <a:off x="0" y="0"/>
                            <a:ext cx="4957010" cy="3551722"/>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5265018" cy="3647974"/>
                  <wp:effectExtent b="0" l="0" r="0" t="0"/>
                  <wp:docPr descr="LPPT runway 20 - before point-merge" title="" id="262" name="Picture"/>
                  <a:graphic>
                    <a:graphicData uri="http://schemas.openxmlformats.org/drawingml/2006/picture">
                      <pic:pic>
                        <pic:nvPicPr>
                          <pic:cNvPr descr="./figures/beforePMS_rwy20.png" id="263" name="Picture"/>
                          <pic:cNvPicPr>
                            <a:picLocks noChangeArrowheads="1" noChangeAspect="1"/>
                          </pic:cNvPicPr>
                        </pic:nvPicPr>
                        <pic:blipFill>
                          <a:blip r:embed="rId261"/>
                          <a:stretch>
                            <a:fillRect/>
                          </a:stretch>
                        </pic:blipFill>
                        <pic:spPr bwMode="auto">
                          <a:xfrm>
                            <a:off x="0" y="0"/>
                            <a:ext cx="5265018" cy="3647974"/>
                          </a:xfrm>
                          <a:prstGeom prst="rect">
                            <a:avLst/>
                          </a:prstGeom>
                          <a:noFill/>
                          <a:ln w="9525">
                            <a:noFill/>
                            <a:headEnd/>
                            <a:tailEnd/>
                          </a:ln>
                        </pic:spPr>
                      </pic:pic>
                    </a:graphicData>
                  </a:graphic>
                </wp:inline>
              </w:drawing>
            </w:r>
          </w:p>
          <w:p>
            <w:pPr>
              <w:pStyle w:val="ImageCaption"/>
              <w:jc w:val="left"/>
            </w:pPr>
            <w:r>
              <w:t xml:space="preserve">LPPT runway 20 - before point-merge</w:t>
            </w:r>
          </w:p>
        </w:tc>
        <w:tc>
          <w:tcPr/>
          <w:p>
            <w:pPr>
              <w:pStyle w:val="CaptionedFigure"/>
              <w:jc w:val="left"/>
            </w:pPr>
            <w:r>
              <w:drawing>
                <wp:inline>
                  <wp:extent cx="5226517" cy="3715351"/>
                  <wp:effectExtent b="0" l="0" r="0" t="0"/>
                  <wp:docPr descr="- post point-merge deployment" title="" id="265" name="Picture"/>
                  <a:graphic>
                    <a:graphicData uri="http://schemas.openxmlformats.org/drawingml/2006/picture">
                      <pic:pic>
                        <pic:nvPicPr>
                          <pic:cNvPr descr="./figures/afterPMS_rwy20.png" id="266" name="Picture"/>
                          <pic:cNvPicPr>
                            <a:picLocks noChangeArrowheads="1" noChangeAspect="1"/>
                          </pic:cNvPicPr>
                        </pic:nvPicPr>
                        <pic:blipFill>
                          <a:blip r:embed="rId264"/>
                          <a:stretch>
                            <a:fillRect/>
                          </a:stretch>
                        </pic:blipFill>
                        <pic:spPr bwMode="auto">
                          <a:xfrm>
                            <a:off x="0" y="0"/>
                            <a:ext cx="5226517" cy="3715351"/>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tbl>
      <w:tblPr>
        <w:tblStyle w:val="Table"/>
        <w:tblW w:type="pct" w:w="5000"/>
        <w:tblLook w:firstRow="0" w:lastRow="0" w:firstColumn="0" w:lastColumn="0" w:noHBand="0" w:noVBand="0" w:val="0000"/>
        <w:jc w:val="start"/>
        <w:tblLayout w:type="fixed"/>
      </w:tblPr>
      <w:tblGrid>
        <w:gridCol w:w="7920"/>
      </w:tblGrid>
      <w:tr>
        <w:tc>
          <w:tcPr/>
          <w:bookmarkStart w:id="270" w:name="fig-lppt-asma-monthly"/>
          <w:p>
            <w:pPr>
              <w:pStyle w:val="Compact"/>
              <w:jc w:val="center"/>
            </w:pPr>
            <w:r>
              <w:drawing>
                <wp:inline>
                  <wp:extent cx="5334000" cy="4267200"/>
                  <wp:effectExtent b="0" l="0" r="0" t="0"/>
                  <wp:docPr descr="" title="" id="268" name="Picture"/>
                  <a:graphic>
                    <a:graphicData uri="http://schemas.openxmlformats.org/drawingml/2006/picture">
                      <pic:pic>
                        <pic:nvPicPr>
                          <pic:cNvPr descr="09-studies_files/figure-docx/fig-lppt-asma-monthly-1.png" id="269" name="Picture"/>
                          <pic:cNvPicPr>
                            <a:picLocks noChangeArrowheads="1" noChangeAspect="1"/>
                          </pic:cNvPicPr>
                        </pic:nvPicPr>
                        <pic:blipFill>
                          <a:blip r:embed="rId26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Monthly evolution of the additional time in terminal airspace in LPPT</w:t>
            </w:r>
          </w:p>
          <w:bookmarkEnd w:id="270"/>
        </w:tc>
      </w:tr>
    </w:tbl>
    <w:tbl>
      <w:tblPr>
        <w:tblStyle w:val="Table"/>
        <w:tblW w:type="pct" w:w="5000"/>
        <w:tblLook w:firstRow="0" w:lastRow="0" w:firstColumn="0" w:lastColumn="0" w:noHBand="0" w:noVBand="0" w:val="0000"/>
        <w:jc w:val="start"/>
        <w:tblLayout w:type="fixed"/>
      </w:tblPr>
      <w:tblGrid>
        <w:gridCol w:w="7920"/>
      </w:tblGrid>
      <w:tr>
        <w:tc>
          <w:tcPr/>
          <w:bookmarkStart w:id="274" w:name="fig-sbgr-asma-monthly"/>
          <w:p>
            <w:pPr>
              <w:pStyle w:val="Compact"/>
              <w:jc w:val="center"/>
            </w:pPr>
            <w:r>
              <w:drawing>
                <wp:inline>
                  <wp:extent cx="5334000" cy="4267200"/>
                  <wp:effectExtent b="0" l="0" r="0" t="0"/>
                  <wp:docPr descr="" title="" id="272" name="Picture"/>
                  <a:graphic>
                    <a:graphicData uri="http://schemas.openxmlformats.org/drawingml/2006/picture">
                      <pic:pic>
                        <pic:nvPicPr>
                          <pic:cNvPr descr="09-studies_files/figure-docx/fig-sbgr-asma-monthly-1.png" id="273" name="Picture"/>
                          <pic:cNvPicPr>
                            <a:picLocks noChangeArrowheads="1" noChangeAspect="1"/>
                          </pic:cNvPicPr>
                        </pic:nvPicPr>
                        <pic:blipFill>
                          <a:blip r:embed="rId2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Monthly evolution of the additional time in terminal airspace in SBGR</w:t>
            </w:r>
          </w:p>
          <w:bookmarkEnd w:id="274"/>
        </w:tc>
      </w:tr>
    </w:tbl>
    <w:p>
      <w:pPr>
        <w:pStyle w:val="BodyText"/>
      </w:pPr>
      <w:r>
        <w:t xml:space="preserve">The results presented in</w:t>
      </w:r>
      <w:r>
        <w:t xml:space="preserve"> </w:t>
      </w:r>
      <w:hyperlink w:anchor="fig-lppt-asma-monthly">
        <w:r>
          <w:rPr>
            <w:rStyle w:val="Hyperlink"/>
          </w:rPr>
          <w:t xml:space="preserve">Figure 7.3</w:t>
        </w:r>
      </w:hyperlink>
      <w:r>
        <w:t xml:space="preserve"> </w:t>
      </w:r>
      <w:r>
        <w:t xml:space="preserve">indicate an increase in additional time in the arrival airspace at LPPT.</w:t>
      </w:r>
      <w:r>
        <w:t xml:space="preserve"> </w:t>
      </w:r>
      <w:r>
        <w:t xml:space="preserve">The additional time is shown for the period following the deployment of the point merge operations covering March through August focussing on the last 40NM around Lisbon.</w:t>
      </w:r>
      <w:r>
        <w:t xml:space="preserve"> </w:t>
      </w:r>
      <w:r>
        <w:t xml:space="preserve">The results are also broken out to showcase the behaviour for both landing directions at Lisbonm, i.e., runway 02 and runway 20.</w:t>
      </w:r>
      <w:r>
        <w:t xml:space="preserve"> </w:t>
      </w:r>
      <w:r>
        <w:t xml:space="preserve">For both runways, an increase in the additional time can be observed. Aside the results for March that represents the transition to point merge operations, the observed additional time increased on average by about a minute when compared to the pre-deployment year 2023.</w:t>
      </w:r>
      <w:r>
        <w:t xml:space="preserve"> </w:t>
      </w:r>
      <w:r>
        <w:t xml:space="preserve">It must be noted that the results for LPPT are point-in-time snapshots and influenced by the start of operations.</w:t>
      </w:r>
      <w:r>
        <w:t xml:space="preserve"> </w:t>
      </w:r>
      <w:r>
        <w:t xml:space="preserve">There might be additional flow control measures in place to support the transition, including additional buffers or alignment patterns.</w:t>
      </w:r>
      <w:r>
        <w:t xml:space="preserve"> </w:t>
      </w:r>
      <w:r>
        <w:t xml:space="preserve">Future work could explore how the actual arrival routes changed based on the newly arrival management technique.</w:t>
      </w:r>
    </w:p>
    <w:p>
      <w:pPr>
        <w:pStyle w:val="BodyText"/>
      </w:pPr>
      <w:r>
        <w:t xml:space="preserve">The operations at SBGR show a clear trend when comparing pre-pandemic traffic levels to the current arrival flows, c.f.</w:t>
      </w:r>
      <w:r>
        <w:t xml:space="preserve"> </w:t>
      </w:r>
      <w:hyperlink w:anchor="fig-sbgr-asma-monthly">
        <w:r>
          <w:rPr>
            <w:rStyle w:val="Hyperlink"/>
          </w:rPr>
          <w:t xml:space="preserve">Figure 7.4</w:t>
        </w:r>
      </w:hyperlink>
      <w:r>
        <w:t xml:space="preserve">.</w:t>
      </w:r>
      <w:r>
        <w:t xml:space="preserve"> </w:t>
      </w:r>
      <w:r>
        <w:t xml:space="preserve">A mild seasonal pattern is observable, with the monthly average additional time in terminal airspace ranging post the point-merge implementation lower than in 2019.</w:t>
      </w:r>
      <w:r>
        <w:t xml:space="preserve"> </w:t>
      </w:r>
      <w:r>
        <w:t xml:space="preserve">With the summer months a more varied behaviour is observed seen a fluctuation of the obsered additional times.</w:t>
      </w:r>
    </w:p>
    <w:p>
      <w:pPr>
        <w:pStyle w:val="BodyText"/>
      </w:pPr>
      <w:r>
        <w:t xml:space="preserve">For the implementation of the PMS, the following observations can be made.</w:t>
      </w:r>
      <w:r>
        <w:t xml:space="preserve"> </w:t>
      </w:r>
      <w:r>
        <w:t xml:space="preserve">Operationally, the PMS enabled a higher occupancy rate within the terminal airspace.</w:t>
      </w:r>
      <w:r>
        <w:t xml:space="preserve"> </w:t>
      </w:r>
      <w:r>
        <w:t xml:space="preserve">By design, the PMS enhances the terminal’s capacity to manage and organise inbound traffic more efficiently.</w:t>
      </w:r>
      <w:r>
        <w:t xml:space="preserve"> </w:t>
      </w:r>
      <w:r>
        <w:t xml:space="preserve">However, the runway throughput remained unchanged, as increasing runway capacity would require physical infrastructure modifications or change of the operational concept (i.e., separation minima).</w:t>
      </w:r>
      <w:r>
        <w:t xml:space="preserve"> </w:t>
      </w:r>
      <w:r>
        <w:t xml:space="preserve">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bookmarkEnd w:id="275"/>
    <w:bookmarkStart w:id="290" w:name="Xd65a7dea772a3ad7bf7f354dcd576b8deed54d7"/>
    <w:p>
      <w:pPr>
        <w:pStyle w:val="Heading2"/>
      </w:pPr>
      <w:r>
        <w:t xml:space="preserve">7.2 Air Traffic Services at Curitiba and Lisbon Continental</w:t>
      </w:r>
    </w:p>
    <w:bookmarkStart w:id="284" w:name="overview-curitiba-acc"/>
    <w:p>
      <w:pPr>
        <w:pStyle w:val="Heading3"/>
      </w:pPr>
      <w:r>
        <w:t xml:space="preserve">7.2.1 Overview Curitiba ACC</w:t>
      </w:r>
    </w:p>
    <w:p>
      <w:pPr>
        <w:pStyle w:val="FirstParagraph"/>
      </w:pPr>
      <w:r>
        <w:t xml:space="preserve">The Curitiba Area Control Center (ACC-CW) is one of four Area Control Centers strategically distributed across Brazil.</w:t>
      </w:r>
      <w:r>
        <w:t xml:space="preserve"> </w:t>
      </w:r>
      <w:r>
        <w:t xml:space="preserve">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 (c.f.</w:t>
      </w:r>
      <w:r>
        <w:t xml:space="preserve"> </w:t>
      </w:r>
      <w:hyperlink w:anchor="fig-bra-acc-tfc">
        <w:r>
          <w:rPr>
            <w:rStyle w:val="Hyperlink"/>
          </w:rPr>
          <w:t xml:space="preserve">Figure 7.5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9" w:name="fig-bra-acc-tfc"/>
          <w:p>
            <w:pPr>
              <w:pStyle w:val="Compact"/>
              <w:jc w:val="center"/>
            </w:pPr>
            <w:r>
              <w:drawing>
                <wp:inline>
                  <wp:extent cx="4267200" cy="3413760"/>
                  <wp:effectExtent b="0" l="0" r="0" t="0"/>
                  <wp:docPr descr="" title="" id="277" name="Picture"/>
                  <a:graphic>
                    <a:graphicData uri="http://schemas.openxmlformats.org/drawingml/2006/picture">
                      <pic:pic>
                        <pic:nvPicPr>
                          <pic:cNvPr descr="09-studies_files/figure-docx/fig-bra-acc-tfc-1.png" id="278" name="Picture"/>
                          <pic:cNvPicPr>
                            <a:picLocks noChangeArrowheads="1" noChangeAspect="1"/>
                          </pic:cNvPicPr>
                        </pic:nvPicPr>
                        <pic:blipFill>
                          <a:blip r:embed="rId276"/>
                          <a:stretch>
                            <a:fillRect/>
                          </a:stretch>
                        </pic:blipFill>
                        <pic:spPr bwMode="auto">
                          <a:xfrm>
                            <a:off x="0" y="0"/>
                            <a:ext cx="42672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Traffic figures for Brazilian ACCs</w:t>
            </w:r>
          </w:p>
          <w:bookmarkEnd w:id="279"/>
        </w:tc>
      </w:tr>
    </w:tbl>
    <w:p>
      <w:pPr>
        <w:pStyle w:val="BodyText"/>
      </w:pPr>
      <w:r>
        <w:t xml:space="preserve">The FIR-CW encompasses the Terminal Control Areas (TMA) of São Paulo, Rio de Janeiro, Curitiba, Florianópolis, Porto Alegre, Foz do Iguaçu, Campo Grande, Santa Maria, Macaé, Londrina, and Presidente Prudente.</w:t>
      </w:r>
      <w:r>
        <w:t xml:space="preserve"> </w:t>
      </w:r>
      <w:r>
        <w:t xml:space="preserve">One of the objectives of the cooperation agreement established between DECEA and MUAC—the Rostering Philosophies and Tools Agreement—is to support the implementation of the TOTAL ATM philosophy.</w:t>
      </w:r>
      <w:r>
        <w:t xml:space="preserve"> </w:t>
      </w:r>
      <w:r>
        <w:t xml:space="preserve">ACC-CW was selected to be the first operational unit in Brazil to implement changes related to new philosophies and methodologies for operational staff rostering. It was also chosen to develop and implement, with the support of MUAC, the Air Traffic Support System for the Use of Human Resources in Operational Needs, known as SATURNO.</w:t>
      </w:r>
    </w:p>
    <w:p>
      <w:pPr>
        <w:pStyle w:val="BodyText"/>
      </w:pPr>
      <w:r>
        <w:t xml:space="preserve">The implementation of SATURNO began in March 2025 and is being carried out in phases, with completion expected by the end of the year.</w:t>
      </w:r>
      <w:r>
        <w:t xml:space="preserve"> </w:t>
      </w:r>
      <w:r>
        <w:t xml:space="preserve">To improve planning for operational position configurations and the allocation of air traffic controllers during shifts, the ACC-CW airspace, currently, is divided into 18 sectors and two regions: North and South.</w:t>
      </w:r>
    </w:p>
    <w:tbl>
      <w:tblPr>
        <w:tblStyle w:val="Table"/>
        <w:tblW w:type="pct" w:w="5000"/>
        <w:tblLook w:firstRow="0" w:lastRow="0" w:firstColumn="0" w:lastColumn="0" w:noHBand="0" w:noVBand="0" w:val="0000"/>
        <w:jc w:val="start"/>
        <w:tblLayout w:type="fixed"/>
      </w:tblPr>
      <w:tblGrid>
        <w:gridCol w:w="7920"/>
      </w:tblGrid>
      <w:tr>
        <w:tc>
          <w:tcPr/>
          <w:bookmarkStart w:id="283" w:name="fig-ctb-northsouth"/>
          <w:p>
            <w:pPr>
              <w:pStyle w:val="Compact"/>
              <w:jc w:val="center"/>
            </w:pPr>
            <w:r>
              <w:drawing>
                <wp:inline>
                  <wp:extent cx="3849432" cy="3497739"/>
                  <wp:effectExtent b="0" l="0" r="0" t="0"/>
                  <wp:docPr descr="" title="" id="281" name="Picture"/>
                  <a:graphic>
                    <a:graphicData uri="http://schemas.openxmlformats.org/drawingml/2006/picture">
                      <pic:pic>
                        <pic:nvPicPr>
                          <pic:cNvPr descr="./figures/acc_ctb_northsouth.png" id="282" name="Picture"/>
                          <pic:cNvPicPr>
                            <a:picLocks noChangeArrowheads="1" noChangeAspect="1"/>
                          </pic:cNvPicPr>
                        </pic:nvPicPr>
                        <pic:blipFill>
                          <a:blip r:embed="rId280"/>
                          <a:stretch>
                            <a:fillRect/>
                          </a:stretch>
                        </pic:blipFill>
                        <pic:spPr bwMode="auto">
                          <a:xfrm>
                            <a:off x="0" y="0"/>
                            <a:ext cx="3849432" cy="34977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ACC-CW area of responsibility</w:t>
            </w:r>
          </w:p>
          <w:bookmarkEnd w:id="283"/>
        </w:tc>
      </w:tr>
    </w:tbl>
    <w:bookmarkEnd w:id="284"/>
    <w:bookmarkStart w:id="289" w:name="Xbe0cb98765cf6065020a9b48d4e5ebd94a0d9ae"/>
    <w:p>
      <w:pPr>
        <w:pStyle w:val="Heading3"/>
      </w:pPr>
      <w:r>
        <w:t xml:space="preserve">7.2.2 Center-level comparision Curitiba ACC and Lisbon Continental</w:t>
      </w:r>
    </w:p>
    <w:tbl>
      <w:tblPr>
        <w:tblStyle w:val="Table"/>
        <w:tblW w:type="pct" w:w="5000"/>
        <w:tblLook w:firstRow="0" w:lastRow="0" w:firstColumn="0" w:lastColumn="0" w:noHBand="0" w:noVBand="0" w:val="0000"/>
        <w:jc w:val="start"/>
        <w:tblLayout w:type="fixed"/>
      </w:tblPr>
      <w:tblGrid>
        <w:gridCol w:w="7920"/>
      </w:tblGrid>
      <w:tr>
        <w:tc>
          <w:tcPr/>
          <w:bookmarkStart w:id="288" w:name="fig-HLC-Curitiba-Lisbon"/>
          <w:p>
            <w:pPr>
              <w:pStyle w:val="Compact"/>
              <w:jc w:val="center"/>
            </w:pPr>
            <w:r>
              <w:drawing>
                <wp:inline>
                  <wp:extent cx="5227320" cy="772809"/>
                  <wp:effectExtent b="0" l="0" r="0" t="0"/>
                  <wp:docPr descr="" title="" id="286" name="Picture"/>
                  <a:graphic>
                    <a:graphicData uri="http://schemas.openxmlformats.org/drawingml/2006/picture">
                      <pic:pic>
                        <pic:nvPicPr>
                          <pic:cNvPr descr="./figures/comp_acc.png" id="287" name="Picture"/>
                          <pic:cNvPicPr>
                            <a:picLocks noChangeArrowheads="1" noChangeAspect="1"/>
                          </pic:cNvPicPr>
                        </pic:nvPicPr>
                        <pic:blipFill>
                          <a:blip r:embed="rId285"/>
                          <a:stretch>
                            <a:fillRect/>
                          </a:stretch>
                        </pic:blipFill>
                        <pic:spPr bwMode="auto">
                          <a:xfrm>
                            <a:off x="0" y="0"/>
                            <a:ext cx="5227320" cy="7728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High-level comparison ACC Curitiba and Lisbon</w:t>
            </w:r>
          </w:p>
          <w:bookmarkEnd w:id="288"/>
        </w:tc>
      </w:tr>
    </w:tbl>
    <w:p>
      <w:pPr>
        <w:pStyle w:val="BodyText"/>
      </w:pPr>
      <w:r>
        <w:t xml:space="preserve">In light of this report</w:t>
      </w:r>
      <w:r>
        <w:t xml:space="preserve"> </w:t>
      </w:r>
      <w:hyperlink w:anchor="fig-HLC-Curitiba-Lisbon">
        <w:r>
          <w:rPr>
            <w:rStyle w:val="Hyperlink"/>
          </w:rPr>
          <w:t xml:space="preserve">Figure 7.7</w:t>
        </w:r>
      </w:hyperlink>
      <w:r>
        <w:t xml:space="preserve"> </w:t>
      </w:r>
      <w:r>
        <w:t xml:space="preserve">provides an initial side-by-side comparison between DECEA and NAV Portugal (Continental) regarding selected operational characteristics of their Area Control Centers (ACCs).</w:t>
      </w:r>
      <w:r>
        <w:t xml:space="preserve"> </w:t>
      </w:r>
      <w:r>
        <w:t xml:space="preserve">While each organisation operates within its own regional and structural context, some key characteristics are worth highlighting.</w:t>
      </w:r>
    </w:p>
    <w:p>
      <w:pPr>
        <w:pStyle w:val="BodyText"/>
      </w:pPr>
      <w:r>
        <w:t xml:space="preserve">Despite operating within a smaller controlled airspace, NAV Portugal managed a higher volume of IFR ACC movements than DECEA during the same period while handling nearly 25% fewer flight hours.</w:t>
      </w:r>
      <w:r>
        <w:t xml:space="preserve"> </w:t>
      </w:r>
      <w:r>
        <w:t xml:space="preserve">This points to a denser and more concentrated traffic environment, likely driven by Portugal’s geographical location within Europe and the structure of its flight corridors.</w:t>
      </w:r>
    </w:p>
    <w:p>
      <w:pPr>
        <w:pStyle w:val="BodyText"/>
      </w:pPr>
      <w:r>
        <w:t xml:space="preserve">Another relevant aspect is the number of air traffic controllers (ATCOs) assigned to the operations room.</w:t>
      </w:r>
      <w:r>
        <w:t xml:space="preserve"> </w:t>
      </w:r>
      <w:r>
        <w:t xml:space="preserve">NAV Portugal handles its operational workload in a larger OPS room with only 71 ATCOs, highlighting distinct differences in operational concepts, levels of automation, and staffing philosophies between the two organizations.</w:t>
      </w:r>
    </w:p>
    <w:p>
      <w:pPr>
        <w:pStyle w:val="BodyText"/>
      </w:pPr>
      <w:r>
        <w:t xml:space="preserve">In terms of sector configuration, Curitiba operated up to 13 sectors at the end of 2024, compared to a maximum of 9 sectors in Portugal.</w:t>
      </w:r>
      <w:r>
        <w:t xml:space="preserve"> </w:t>
      </w:r>
      <w:r>
        <w:t xml:space="preserve">For the year as a whole, the total number of sector hours was similar, with Portugal recording approximately 2,000 more hours.</w:t>
      </w:r>
    </w:p>
    <w:p>
      <w:pPr>
        <w:pStyle w:val="BodyText"/>
      </w:pPr>
      <w:r>
        <w:t xml:space="preserve">This characterisation underscores the importance of accounting for regional characteristics and operational context when interpreting air navigation service metrics or designing systems such as staffing models or control room layouts.</w:t>
      </w:r>
      <w:r>
        <w:t xml:space="preserve"> </w:t>
      </w:r>
      <w:r>
        <w:t xml:space="preserve">It will be interesting to expand this initial topic study by addressing the traffic characteristics on the basis of trajectory, flow and sequencing measures applied to handle the traffic within the respective areas of responsibility.</w:t>
      </w:r>
      <w:r>
        <w:t xml:space="preserve"> </w:t>
      </w:r>
      <w:r>
        <w:t xml:space="preserve">This will support a refined assessment of the performance benefits from the implemented concept of operations.</w:t>
      </w:r>
    </w:p>
    <w:bookmarkEnd w:id="289"/>
    <w:bookmarkEnd w:id="290"/>
    <w:bookmarkStart w:id="291" w:name="summary-5"/>
    <w:p>
      <w:pPr>
        <w:pStyle w:val="Heading2"/>
      </w:pPr>
      <w:r>
        <w:t xml:space="preserve">7.3 Summary</w:t>
      </w:r>
    </w:p>
    <w:p>
      <w:pPr>
        <w:pStyle w:val="FirstParagraph"/>
      </w:pPr>
      <w:r>
        <w:t xml:space="preserve">This chapter highlighted two topics of interest for both parties.</w:t>
      </w:r>
      <w:r>
        <w:t xml:space="preserve"> </w:t>
      </w:r>
      <w:r>
        <w:t xml:space="preserve">It offers a first insight into operational concepts, their implementation, and observed performance benefits.</w:t>
      </w:r>
    </w:p>
    <w:p>
      <w:pPr>
        <w:pStyle w:val="BodyText"/>
      </w:pPr>
      <w:r>
        <w:t xml:space="preserve">Point merge is a sequencing technique that gained higher visibility over the past years.</w:t>
      </w:r>
      <w:r>
        <w:t xml:space="preserve"> </w:t>
      </w:r>
      <w:r>
        <w:t xml:space="preserve">This initial comparison comprises a snapshot at the system deployed at SBGR and - a recent implementation at - LPPT.</w:t>
      </w:r>
    </w:p>
    <w:p>
      <w:pPr>
        <w:pStyle w:val="BodyText"/>
      </w:pPr>
      <w:r>
        <w:t xml:space="preserve">Both groups are interested in advancing the state-of-the-art in assessing network- and center-level aspects.</w:t>
      </w:r>
      <w:r>
        <w:t xml:space="preserve"> </w:t>
      </w:r>
      <w:r>
        <w:t xml:space="preserve">To move towards a more granular comparison, this report showcases two broadly comparable air traffic service units in Brazil and Europe.</w:t>
      </w:r>
      <w:r>
        <w:t xml:space="preserve"> </w:t>
      </w:r>
      <w:r>
        <w:t xml:space="preserve">The comparison allowed for a high-level comparison on a set of harmonised indicators suitable to describe the scope of the service provision.</w:t>
      </w:r>
      <w:r>
        <w:t xml:space="preserve"> </w:t>
      </w:r>
      <w:r>
        <w:t xml:space="preserve">This was useful to characterise the similarities and differences between both units.</w:t>
      </w:r>
      <w:r>
        <w:t xml:space="preserve"> </w:t>
      </w:r>
      <w:r>
        <w:t xml:space="preserve">Future work will revolve around addressing the operational aspects within the respective areas of responsibility and deployed operational flow and sequencing concepts.</w:t>
      </w:r>
    </w:p>
    <w:bookmarkEnd w:id="291"/>
    <w:bookmarkEnd w:id="292"/>
    <w:bookmarkStart w:id="293" w:name="conclusions"/>
    <w:p>
      <w:pPr>
        <w:pStyle w:val="Heading1"/>
      </w:pPr>
      <w:r>
        <w:t xml:space="preserve">8. Conclusions</w:t>
      </w:r>
    </w:p>
    <w:p>
      <w:pPr>
        <w:pStyle w:val="FirstParagraph"/>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BodyText"/>
      </w:pPr>
      <w:r>
        <w:t xml:space="preserve">This iteration also comprised the integration of additional data source and topics.</w:t>
      </w:r>
      <w:r>
        <w:t xml:space="preserve"> </w:t>
      </w:r>
      <w:r>
        <w:t xml:space="preserve">A first characterisation of the different networks was introduced, and two additional topics studied.</w:t>
      </w:r>
      <w:r>
        <w:t xml:space="preserve"> </w:t>
      </w:r>
      <w:r>
        <w:t xml:space="preserve">The new data sources offer to perform more fine-grained analyses of the observed operational efficiency performance.</w:t>
      </w:r>
      <w:r>
        <w:t xml:space="preserve"> </w:t>
      </w:r>
      <w:r>
        <w:t xml:space="preserve">This will allow to further develop and complement the framework.</w:t>
      </w:r>
      <w:r>
        <w:t xml:space="preserve"> </w:t>
      </w:r>
      <w:r>
        <w:t xml:space="preserve">The report also identified several observations and ideas for future research which pave the way ahead for augmenting the associated set of comparison analyses.</w:t>
      </w:r>
    </w:p>
    <w:p>
      <w:pPr>
        <w:pStyle w:val="BodyText"/>
      </w:pPr>
      <w:r>
        <w:t xml:space="preserve">This report kicked off by examining the commonalities and differences in terms of the organisation of air navigation services in both regions.</w:t>
      </w:r>
      <w:r>
        <w:t xml:space="preserve"> </w:t>
      </w:r>
      <w:r>
        <w:t xml:space="preserve">This was complemented by investigating the air traffic demand to better understand the factors influencing operational performance.</w:t>
      </w:r>
      <w:r>
        <w:t xml:space="preserve"> </w:t>
      </w:r>
      <w:r>
        <w:t xml:space="preserve">The air navigation service provision is less fragmented in Brazil than in Europe.</w:t>
      </w:r>
      <w:r>
        <w:t xml:space="preserve"> </w:t>
      </w:r>
      <w:r>
        <w:t xml:space="preserve">This plays out in the total number of air traffic service units.</w:t>
      </w:r>
      <w:r>
        <w:t xml:space="preserve"> </w:t>
      </w:r>
      <w:r>
        <w:t xml:space="preserve">Both regions operate a central flow management function to ensure network wide flow management.</w:t>
      </w:r>
    </w:p>
    <w:p>
      <w:pPr>
        <w:pStyle w:val="BodyText"/>
      </w:pPr>
      <w:r>
        <w:t xml:space="preserve">In terms of air traffic demand, both regions were impacted by the unprecedented decline of air traffic.</w:t>
      </w:r>
      <w:r>
        <w:t xml:space="preserve"> </w:t>
      </w:r>
      <w:r>
        <w:t xml:space="preserve">Regional and global traffic restrictions resulted in different patterns.</w:t>
      </w:r>
      <w:r>
        <w:t xml:space="preserve"> </w:t>
      </w:r>
      <w:r>
        <w:t xml:space="preserve">With Europe zooming in on pre-pandemic traffic levels and Brazil consistently ranging above the pre-pandemic traffic, this report also marks the new reference for future iterations.</w:t>
      </w:r>
      <w:r>
        <w:t xml:space="preserve"> </w:t>
      </w:r>
      <w:r>
        <w:t xml:space="preserve">Both regions - while having their separate challenges - have certainly completed the pandemic phase.</w:t>
      </w:r>
      <w:r>
        <w:t xml:space="preserve"> </w:t>
      </w:r>
      <w:r>
        <w:t xml:space="preserve">The traffic situation is also reflected by the demand at the study airports.</w:t>
      </w:r>
      <w:r>
        <w:t xml:space="preserve"> </w:t>
      </w:r>
      <w:r>
        <w:t xml:space="preserve">There is also a higher level of diversity in terms of air traffic evidenced by the share of light types serviced at the comparison airports.</w:t>
      </w:r>
      <w:r>
        <w:t xml:space="preserve"> </w:t>
      </w:r>
      <w:r>
        <w:t xml:space="preserve">International traffic is more centralised in Brazil than in Europe.</w:t>
      </w:r>
    </w:p>
    <w:p>
      <w:pPr>
        <w:pStyle w:val="BodyText"/>
      </w:pPr>
      <w:r>
        <w:t xml:space="preserve">The observed punctuality in both regions was strongly influenced by the prevailing network effects.</w:t>
      </w:r>
      <w:r>
        <w:t xml:space="preserve"> </w:t>
      </w:r>
      <w:r>
        <w:t xml:space="preserve">Particularly, Europe suffered strongly from the impact of two years of record ATFM delays that further rippled down and amplified local constraint issues. This is evidenced by the high share of departure delays.</w:t>
      </w:r>
      <w:r>
        <w:t xml:space="preserve"> </w:t>
      </w:r>
      <w:r>
        <w:t xml:space="preserve">The reactionary knock-on effect amplified further the overall punctuality performance.</w:t>
      </w:r>
    </w:p>
    <w:p>
      <w:pPr>
        <w:pStyle w:val="BodyText"/>
      </w:pPr>
      <w:r>
        <w:t xml:space="preserve">The utilisation of available runway system capacities is a fundamental enabler for high levels of operational performance.</w:t>
      </w:r>
      <w:r>
        <w:t xml:space="preserve"> </w:t>
      </w:r>
      <w:r>
        <w:t xml:space="preserve">This report showed that associated capacities are commensurate with the current traffic levels.</w:t>
      </w:r>
      <w:r>
        <w:t xml:space="preserve"> </w:t>
      </w:r>
      <w:r>
        <w:t xml:space="preserve">For the majority of airports, the realised throughput ranges still below the maximum declared capacities.</w:t>
      </w:r>
    </w:p>
    <w:p>
      <w:pPr>
        <w:pStyle w:val="BodyText"/>
      </w:pPr>
      <w:r>
        <w:t xml:space="preserve">Operational efficiency is measured in this report in the form of the additional time during the surface movement phases and the terminal arrival phase.</w:t>
      </w:r>
      <w:r>
        <w:t xml:space="preserve"> </w:t>
      </w:r>
      <w:r>
        <w:t xml:space="preserve">On average, taxi-in operations are less constrained than taxi-out operations.</w:t>
      </w:r>
      <w:r>
        <w:t xml:space="preserve"> </w:t>
      </w:r>
      <w:r>
        <w:t xml:space="preserve">The observed performance varies across the airports and timeframe.</w:t>
      </w:r>
      <w:r>
        <w:t xml:space="preserve"> </w:t>
      </w:r>
      <w:r>
        <w:t xml:space="preserve">In terms of arrival management, air traffic in Brazil observed higher additional times in the terminal airspace.</w:t>
      </w:r>
      <w:r>
        <w:t xml:space="preserve"> </w:t>
      </w:r>
      <w:r>
        <w:t xml:space="preserve">This report showed that the scale effect of lower air traffic are potentially masked by the effects of airspace redesign in Brazil.</w:t>
      </w:r>
      <w:r>
        <w:t xml:space="preserve"> </w:t>
      </w:r>
      <w:r>
        <w:t xml:space="preserve">In the European region, it appears that the higher level of air traffic demand puts pressure on the arrival management and sequencing, and 2022 marks a return to higher additional times within the terminal airspace.</w:t>
      </w:r>
      <w:r>
        <w:t xml:space="preserve"> </w:t>
      </w:r>
      <w:r>
        <w:t xml:space="preserve">Further research can help to identify drivers and performance enablers.</w:t>
      </w:r>
    </w:p>
    <w:p>
      <w:pPr>
        <w:pStyle w:val="BodyText"/>
      </w:pPr>
      <w:r>
        <w:t xml:space="preserve">The joint work also helped to promote the approach and state-of-the-art with the international community.</w:t>
      </w:r>
      <w:r>
        <w:t xml:space="preserve"> </w:t>
      </w:r>
      <w:r>
        <w:t xml:space="preserve">Both groups are contributing to the ICAO GANP Performance Expert Group and the multi-national Performance Benchmarking Working Group.</w:t>
      </w:r>
      <w:r>
        <w:t xml:space="preserve"> </w:t>
      </w:r>
      <w:r>
        <w:t xml:space="preserve">The wider harmonisation of performance related data and joint refinement of the guidance material and application of the performance framework start paying dividends.</w:t>
      </w:r>
      <w:r>
        <w:t xml:space="preserve"> </w:t>
      </w:r>
      <w:r>
        <w:t xml:space="preserve">For example, PBWG concluded in its most recent meeting to collaborate on topics of mutual interest for which this report supported the initial research and validation.</w:t>
      </w:r>
    </w:p>
    <w:p>
      <w:pPr>
        <w:pStyle w:val="BodyText"/>
      </w:pPr>
      <w:r>
        <w:t xml:space="preserve">A further outcome of the project is the close technical collaboration.</w:t>
      </w:r>
      <w:r>
        <w:t xml:space="preserve"> </w:t>
      </w:r>
      <w:r>
        <w:t xml:space="preserve">It is planned to augment the report and its future editions with a rolling web-based monitoring, including regular updates of the underlying data.</w:t>
      </w:r>
      <w:r>
        <w:t xml:space="preserve"> </w:t>
      </w:r>
      <w:r>
        <w:t xml:space="preserve">This and future reports will help to complement the time series of the measures tracked.</w:t>
      </w:r>
    </w:p>
    <w:bookmarkEnd w:id="293"/>
    <w:bookmarkStart w:id="301" w:name="references"/>
    <w:p>
      <w:pPr>
        <w:pStyle w:val="Heading1"/>
      </w:pPr>
      <w:r>
        <w:t xml:space="preserve">References</w:t>
      </w:r>
    </w:p>
    <w:bookmarkStart w:id="300" w:name="refs"/>
    <w:bookmarkStart w:id="295"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94">
        <w:r>
          <w:rPr>
            <w:rStyle w:val="Hyperlink"/>
          </w:rPr>
          <w:t xml:space="preserve">https://www.eurocontrol.int/publication/eurocontrol-specification-operational-ans-performance-monitoring</w:t>
        </w:r>
      </w:hyperlink>
      <w:r>
        <w:t xml:space="preserve">.</w:t>
      </w:r>
    </w:p>
    <w:bookmarkEnd w:id="295"/>
    <w:bookmarkStart w:id="297"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96">
        <w:r>
          <w:rPr>
            <w:rStyle w:val="Hyperlink"/>
          </w:rPr>
          <w:t xml:space="preserve">https://www.eurocontrol.int/publication/all-causes-delays-air-transport-europe-annual-2022</w:t>
        </w:r>
      </w:hyperlink>
      <w:r>
        <w:t xml:space="preserve">.</w:t>
      </w:r>
    </w:p>
    <w:bookmarkEnd w:id="297"/>
    <w:bookmarkStart w:id="298"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98"/>
    <w:bookmarkStart w:id="299"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299"/>
    <w:bookmarkEnd w:id="300"/>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bookmarkEnd w:id="3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4">
    <w:p>
      <w:pPr>
        <w:pStyle w:val="FootnoteText"/>
      </w:pPr>
      <w:r>
        <w:rPr>
          <w:rStyle w:val="FootnoteReference"/>
        </w:rPr>
        <w:footnoteRef/>
      </w:r>
      <w:r>
        <w:t xml:space="preserve"> </w:t>
      </w:r>
      <w:r>
        <w:t xml:space="preserve">Enhanced Traffic Flow Management System</w:t>
      </w:r>
    </w:p>
  </w:footnote>
  <w:footnote w:id="146">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38" Target="media/rId38.png" /><Relationship Type="http://schemas.openxmlformats.org/officeDocument/2006/relationships/image" Id="rId24" Target="media/rId24.jp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image" Id="rId247" Target="media/rId247.png" /><Relationship Type="http://schemas.openxmlformats.org/officeDocument/2006/relationships/image" Id="rId47" Target="media/rId47.png" /><Relationship Type="http://schemas.openxmlformats.org/officeDocument/2006/relationships/image" Id="rId280" Target="media/rId280.png" /><Relationship Type="http://schemas.openxmlformats.org/officeDocument/2006/relationships/image" Id="rId258" Target="media/rId258.png" /><Relationship Type="http://schemas.openxmlformats.org/officeDocument/2006/relationships/image" Id="rId264" Target="media/rId264.png" /><Relationship Type="http://schemas.openxmlformats.org/officeDocument/2006/relationships/image" Id="rId255" Target="media/rId255.png" /><Relationship Type="http://schemas.openxmlformats.org/officeDocument/2006/relationships/image" Id="rId261" Target="media/rId261.png" /><Relationship Type="http://schemas.openxmlformats.org/officeDocument/2006/relationships/image" Id="rId285" Target="media/rId285.png" /><Relationship Type="http://schemas.openxmlformats.org/officeDocument/2006/relationships/image" Id="rId30" Target="media/rId30.png" /><Relationship Type="http://schemas.openxmlformats.org/officeDocument/2006/relationships/image" Id="rId251" Target="media/rId251.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8" Target="media/rId118.png" /><Relationship Type="http://schemas.openxmlformats.org/officeDocument/2006/relationships/image" Id="rId114" Target="media/rId114.png" /><Relationship Type="http://schemas.openxmlformats.org/officeDocument/2006/relationships/image" Id="rId98" Target="media/rId98.png" /><Relationship Type="http://schemas.openxmlformats.org/officeDocument/2006/relationships/image" Id="rId134" Target="media/rId134.png" /><Relationship Type="http://schemas.openxmlformats.org/officeDocument/2006/relationships/image" Id="rId130" Target="media/rId130.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42" Target="media/rId142.png" /><Relationship Type="http://schemas.openxmlformats.org/officeDocument/2006/relationships/image" Id="rId160" Target="media/rId160.png" /><Relationship Type="http://schemas.openxmlformats.org/officeDocument/2006/relationships/image" Id="rId138" Target="media/rId138.png" /><Relationship Type="http://schemas.openxmlformats.org/officeDocument/2006/relationships/image" Id="rId156" Target="media/rId156.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167" Target="media/rId167.png" /><Relationship Type="http://schemas.openxmlformats.org/officeDocument/2006/relationships/image" Id="rId186" Target="media/rId186.png" /><Relationship Type="http://schemas.openxmlformats.org/officeDocument/2006/relationships/image" Id="rId181" Target="media/rId181.png" /><Relationship Type="http://schemas.openxmlformats.org/officeDocument/2006/relationships/image" Id="rId171" Target="media/rId171.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01" Target="media/rId201.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31" Target="media/rId231.png" /><Relationship Type="http://schemas.openxmlformats.org/officeDocument/2006/relationships/image" Id="rId276" Target="media/rId276.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190" Target="media/rId190.png" /><Relationship Type="http://schemas.openxmlformats.org/officeDocument/2006/relationships/image" Id="rId21" Target="media/rId21.png" /><Relationship Type="http://schemas.openxmlformats.org/officeDocument/2006/relationships/hyperlink" Id="rId28" Target="https://ansperformance.eu/global/brazil" TargetMode="External" /><Relationship Type="http://schemas.openxmlformats.org/officeDocument/2006/relationships/hyperlink" Id="rId85"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96" Target="https://www.eurocontrol.int/publication/all-causes-delays-air-transport-europe-annual-2022" TargetMode="External" /><Relationship Type="http://schemas.openxmlformats.org/officeDocument/2006/relationships/hyperlink" Id="rId294"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8" Target="https://ansperformance.eu/global/brazil" TargetMode="External" /><Relationship Type="http://schemas.openxmlformats.org/officeDocument/2006/relationships/hyperlink" Id="rId85"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96" Target="https://www.eurocontrol.int/publication/all-causes-delays-air-transport-europe-annual-2022" TargetMode="External" /><Relationship Type="http://schemas.openxmlformats.org/officeDocument/2006/relationships/hyperlink" Id="rId294"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2025-06-06T15:35:19Z</dcterms:created>
  <dcterms:modified xsi:type="dcterms:W3CDTF">2025-06-06T15:35:19Z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2025-06-06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