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35.png" ContentType="image/png"/>
  <Override PartName="/word/media/rId39.png" ContentType="image/png"/>
  <Override PartName="/word/media/rId56.png" ContentType="image/png"/>
  <Override PartName="/word/media/rId244.png" ContentType="image/png"/>
  <Override PartName="/word/media/rId44.png" ContentType="image/png"/>
  <Override PartName="/word/media/rId277.png" ContentType="image/png"/>
  <Override PartName="/word/media/rId255.png" ContentType="image/png"/>
  <Override PartName="/word/media/rId261.png" ContentType="image/png"/>
  <Override PartName="/word/media/rId252.png" ContentType="image/png"/>
  <Override PartName="/word/media/rId258.png" ContentType="image/png"/>
  <Override PartName="/word/media/rId282.png" ContentType="image/png"/>
  <Override PartName="/word/media/rId27.png" ContentType="image/png"/>
  <Override PartName="/word/media/rId273.png" ContentType="image/png"/>
  <Override PartName="/word/media/rId248.png" ContentType="image/png"/>
  <Override PartName="/word/media/rId77.png" ContentType="image/png"/>
  <Override PartName="/word/media/rId61.png" ContentType="image/png"/>
  <Override PartName="/word/media/rId65.png" ContentType="image/png"/>
  <Override PartName="/word/media/rId69.png" ContentType="image/png"/>
  <Override PartName="/word/media/rId90.png" ContentType="image/png"/>
  <Override PartName="/word/media/rId86.png" ContentType="image/png"/>
  <Override PartName="/word/media/rId102.png" ContentType="image/png"/>
  <Override PartName="/word/media/rId98.png" ContentType="image/png"/>
  <Override PartName="/word/media/rId120.png" ContentType="image/png"/>
  <Override PartName="/word/media/rId106.png" ContentType="image/png"/>
  <Override PartName="/word/media/rId115.png" ContentType="image/png"/>
  <Override PartName="/word/media/rId111.png" ContentType="image/png"/>
  <Override PartName="/word/media/rId95.png" ContentType="image/png"/>
  <Override PartName="/word/media/rId131.png" ContentType="image/png"/>
  <Override PartName="/word/media/rId127.png" ContentType="image/png"/>
  <Override PartName="/word/media/rId149.png" ContentType="image/png"/>
  <Override PartName="/word/media/rId145.png" ContentType="image/png"/>
  <Override PartName="/word/media/rId139.png" ContentType="image/png"/>
  <Override PartName="/word/media/rId157.png" ContentType="image/png"/>
  <Override PartName="/word/media/rId135.png" ContentType="image/png"/>
  <Override PartName="/word/media/rId153.png" ContentType="image/png"/>
  <Override PartName="/word/media/rId173.png" ContentType="image/png"/>
  <Override PartName="/word/media/rId191.png" ContentType="image/png"/>
  <Override PartName="/word/media/rId164.png" ContentType="image/png"/>
  <Override PartName="/word/media/rId183.png" ContentType="image/png"/>
  <Override PartName="/word/media/rId178.png" ContentType="image/png"/>
  <Override PartName="/word/media/rId168.png" ContentType="image/png"/>
  <Override PartName="/word/media/rId233.png" ContentType="image/png"/>
  <Override PartName="/word/media/rId237.png" ContentType="image/png"/>
  <Override PartName="/word/media/rId203.png" ContentType="image/png"/>
  <Override PartName="/word/media/rId207.png" ContentType="image/png"/>
  <Override PartName="/word/media/rId198.png" ContentType="image/png"/>
  <Override PartName="/word/media/rId213.png" ContentType="image/png"/>
  <Override PartName="/word/media/rId222.png" ContentType="image/png"/>
  <Override PartName="/word/media/rId218.png" ContentType="image/png"/>
  <Override PartName="/word/media/rId228.png" ContentType="image/png"/>
  <Override PartName="/word/media/rId264.png" ContentType="image/png"/>
  <Override PartName="/word/media/rId268.png" ContentType="image/png"/>
  <Override PartName="/word/media/rId18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2025-05-26</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4"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bookmarkEnd w:id="24"/>
    <w:bookmarkStart w:id="31"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5">
        <w:r>
          <w:rPr>
            <w:rStyle w:val="Hyperlink"/>
          </w:rPr>
          <w:t xml:space="preserve">https://ansperformance.eu/global/brazil</w:t>
        </w:r>
      </w:hyperlink>
      <w:r>
        <w:t xml:space="preserve"> </w:t>
      </w:r>
      <w:r>
        <w:t xml:space="preserve">or</w:t>
      </w:r>
    </w:p>
    <w:p>
      <w:pPr>
        <w:numPr>
          <w:ilvl w:val="0"/>
          <w:numId w:val="1001"/>
        </w:numPr>
        <w:pStyle w:val="Compact"/>
      </w:pPr>
      <w:hyperlink r:id="rId26">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 and an initial characterisation is provided.</w:t>
      </w:r>
      <w:r>
        <w:t xml:space="preserve"> </w:t>
      </w:r>
      <w:r>
        <w:t xml:space="preserve">On the center level, this edition also looks into comparing Curitiba and Lisbon ACC.</w:t>
      </w:r>
      <w:r>
        <w:t xml:space="preserve"> </w:t>
      </w:r>
      <w:r>
        <w:t xml:space="preserve">These focussed topics allow to address discussions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0" w:name="fig-scope-KPAs-KPIs"/>
          <w:p>
            <w:pPr>
              <w:pStyle w:val="Compact"/>
              <w:jc w:val="center"/>
            </w:pPr>
            <w:r>
              <w:drawing>
                <wp:inline>
                  <wp:extent cx="3200400" cy="1685893"/>
                  <wp:effectExtent b="0" l="0" r="0" t="0"/>
                  <wp:docPr descr="" title="" id="28" name="Picture"/>
                  <a:graphic>
                    <a:graphicData uri="http://schemas.openxmlformats.org/drawingml/2006/picture">
                      <pic:pic>
                        <pic:nvPicPr>
                          <pic:cNvPr descr="./figures/scope-KPA-and-KPI.png" id="29" name="Picture"/>
                          <pic:cNvPicPr>
                            <a:picLocks noChangeArrowheads="1" noChangeAspect="1"/>
                          </pic:cNvPicPr>
                        </pic:nvPicPr>
                        <pic:blipFill>
                          <a:blip r:embed="rId27"/>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0"/>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1"/>
    <w:bookmarkStart w:id="54" w:name="introduction"/>
    <w:p>
      <w:pPr>
        <w:pStyle w:val="Heading1"/>
      </w:pPr>
      <w:r>
        <w:t xml:space="preserve">1. Introduction</w:t>
      </w:r>
    </w:p>
    <w:bookmarkStart w:id="32"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2"/>
    <w:bookmarkStart w:id="34"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3"/>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4"/>
    <w:bookmarkStart w:id="50"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fig-BRA-airspace"/>
          <w:p>
            <w:pPr>
              <w:pStyle w:val="Compact"/>
              <w:jc w:val="center"/>
            </w:pPr>
            <w:r>
              <w:drawing>
                <wp:inline>
                  <wp:extent cx="5334000" cy="3026111"/>
                  <wp:effectExtent b="0" l="0" r="0" t="0"/>
                  <wp:docPr descr="" title="" id="36" name="Picture"/>
                  <a:graphic>
                    <a:graphicData uri="http://schemas.openxmlformats.org/drawingml/2006/picture">
                      <pic:pic>
                        <pic:nvPicPr>
                          <pic:cNvPr descr="./figures/BRAZIL_CINDACTA_AND_CRCEA.png" id="37" name="Picture"/>
                          <pic:cNvPicPr>
                            <a:picLocks noChangeArrowheads="1" noChangeAspect="1"/>
                          </pic:cNvPicPr>
                        </pic:nvPicPr>
                        <pic:blipFill>
                          <a:blip r:embed="rId35"/>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38"/>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2" w:name="fig-EUR-airspace"/>
          <w:p>
            <w:pPr>
              <w:pStyle w:val="Compact"/>
              <w:jc w:val="center"/>
            </w:pPr>
            <w:r>
              <w:drawing>
                <wp:inline>
                  <wp:extent cx="4800600" cy="3990372"/>
                  <wp:effectExtent b="0" l="0" r="0" t="0"/>
                  <wp:docPr descr="" title="" id="40" name="Picture"/>
                  <a:graphic>
                    <a:graphicData uri="http://schemas.openxmlformats.org/drawingml/2006/picture">
                      <pic:pic>
                        <pic:nvPicPr>
                          <pic:cNvPr descr="./figures/Europe-ECTRL.png" id="41" name="Picture"/>
                          <pic:cNvPicPr>
                            <a:picLocks noChangeArrowheads="1" noChangeAspect="1"/>
                          </pic:cNvPicPr>
                        </pic:nvPicPr>
                        <pic:blipFill>
                          <a:blip r:embed="rId39"/>
                          <a:stretch>
                            <a:fillRect/>
                          </a:stretch>
                        </pic:blipFill>
                        <pic:spPr bwMode="auto">
                          <a:xfrm>
                            <a:off x="0" y="0"/>
                            <a:ext cx="4800600" cy="39903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2"/>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48"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3"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scope-airports"/>
          <w:p>
            <w:pPr>
              <w:pStyle w:val="Compact"/>
              <w:jc w:val="center"/>
            </w:pPr>
            <w:r>
              <w:drawing>
                <wp:inline>
                  <wp:extent cx="4800600" cy="3000375"/>
                  <wp:effectExtent b="0" l="0" r="0" t="0"/>
                  <wp:docPr descr="" title="" id="45" name="Picture"/>
                  <a:graphic>
                    <a:graphicData uri="http://schemas.openxmlformats.org/drawingml/2006/picture">
                      <pic:pic>
                        <pic:nvPicPr>
                          <pic:cNvPr descr="./figures/_scope-airports-map.png" id="46" name="Picture"/>
                          <pic:cNvPicPr>
                            <a:picLocks noChangeArrowheads="1" noChangeAspect="1"/>
                          </pic:cNvPicPr>
                        </pic:nvPicPr>
                        <pic:blipFill>
                          <a:blip r:embed="rId44"/>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47"/>
        </w:tc>
      </w:tr>
    </w:tbl>
    <w:bookmarkEnd w:id="48"/>
    <w:bookmarkStart w:id="49"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49"/>
    <w:bookmarkEnd w:id="50"/>
    <w:bookmarkStart w:id="52"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1"/>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2"/>
    <w:bookmarkStart w:id="53"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3"/>
    <w:bookmarkEnd w:id="54"/>
    <w:bookmarkStart w:id="85"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5" w:name="organisation-of-air-navigation-services"/>
    <w:p>
      <w:pPr>
        <w:pStyle w:val="Heading2"/>
      </w:pPr>
      <w:r>
        <w:t xml:space="preserve">2.1 Organisation of Air Navigation Services</w:t>
      </w:r>
    </w:p>
    <w:p>
      <w:pPr>
        <w:pStyle w:val="FirstParagraph"/>
      </w:pPr>
      <w:r>
        <w:t xml:space="preserve">One of the major differences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associated FIR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5"/>
    <w:bookmarkStart w:id="60"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59" w:name="tbl-HLC"/>
          <w:p>
            <w:pPr>
              <w:jc w:val="center"/>
            </w:pPr>
            <w:pPr>
              <w:jc w:val="start"/>
              <w:spacing w:before="200"/>
              <w:pStyle w:val="ImageCaption"/>
            </w:pPr>
            <w:r>
              <w:t xml:space="preserve">Table 2.1: High Level Comparison 2024</w:t>
            </w:r>
          </w:p>
          <w:p>
            <w:pPr>
              <w:jc w:val="center"/>
            </w:pPr>
            <w:r>
              <w:drawing>
                <wp:inline>
                  <wp:extent cx="5067300" cy="3568995"/>
                  <wp:effectExtent b="0" l="0" r="0" t="0"/>
                  <wp:docPr descr="" title="" id="57" name="Picture"/>
                  <a:graphic>
                    <a:graphicData uri="http://schemas.openxmlformats.org/drawingml/2006/picture">
                      <pic:pic>
                        <pic:nvPicPr>
                          <pic:cNvPr descr="./figures/HLC-table1.png" id="58" name="Picture"/>
                          <pic:cNvPicPr>
                            <a:picLocks noChangeArrowheads="1" noChangeAspect="1"/>
                          </pic:cNvPicPr>
                        </pic:nvPicPr>
                        <pic:blipFill>
                          <a:blip r:embed="rId56"/>
                          <a:stretch>
                            <a:fillRect/>
                          </a:stretch>
                        </pic:blipFill>
                        <pic:spPr bwMode="auto">
                          <a:xfrm>
                            <a:off x="0" y="0"/>
                            <a:ext cx="5067300" cy="3568995"/>
                          </a:xfrm>
                          <a:prstGeom prst="rect">
                            <a:avLst/>
                          </a:prstGeom>
                          <a:noFill/>
                          <a:ln w="9525">
                            <a:noFill/>
                            <a:headEnd/>
                            <a:tailEnd/>
                          </a:ln>
                        </pic:spPr>
                      </pic:pic>
                    </a:graphicData>
                  </a:graphic>
                </wp:inline>
              </w:drawing>
            </w:r>
          </w:p>
          <w:bookmarkEnd w:id="59"/>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pre-pandemc air traffic, and with 2024 the gap is closing to about 96%.</w:t>
      </w:r>
      <w:r>
        <w:t xml:space="preserve"> </w:t>
      </w:r>
      <w:r>
        <w:t xml:space="preserve">These recovery numbers are impacted by the geo-political developments.</w:t>
      </w:r>
      <w:r>
        <w:t xml:space="preserve"> </w:t>
      </w:r>
      <w:r>
        <w:t xml:space="preserve">Due to the Russion invasion of Ukraine, a certain share of flights are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adress operational constraints and service the current demand.</w:t>
      </w:r>
    </w:p>
    <w:bookmarkEnd w:id="60"/>
    <w:bookmarkStart w:id="81"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4" w:name="fig-apt-rank-comparison-2024"/>
          <w:p>
            <w:pPr>
              <w:pStyle w:val="Compact"/>
              <w:jc w:val="center"/>
            </w:pPr>
            <w:r>
              <w:drawing>
                <wp:inline>
                  <wp:extent cx="4800600" cy="3840480"/>
                  <wp:effectExtent b="0" l="0" r="0" t="0"/>
                  <wp:docPr descr="" title="" id="62" name="Picture"/>
                  <a:graphic>
                    <a:graphicData uri="http://schemas.openxmlformats.org/drawingml/2006/picture">
                      <pic:pic>
                        <pic:nvPicPr>
                          <pic:cNvPr descr="02-system-overview_files/figure-docx/fig-apt-rank-comparison-2024-1.png" id="63" name="Picture"/>
                          <pic:cNvPicPr>
                            <a:picLocks noChangeArrowheads="1" noChangeAspect="1"/>
                          </pic:cNvPicPr>
                        </pic:nvPicPr>
                        <pic:blipFill>
                          <a:blip r:embed="rId61"/>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4"/>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w:t>
      </w:r>
      <w:r>
        <w:t xml:space="preserve"> </w:t>
      </w:r>
      <w:r>
        <w:t xml:space="preserve">It now includes 100 airport locations instead of only the top 34, ensuring that almost all flights are included in the analysis.</w:t>
      </w:r>
      <w:r>
        <w:t xml:space="preserve"> </w:t>
      </w:r>
      <w:r>
        <w:t xml:space="preserve">This distribution shows that many aerodromes operate with low traffic volumes.</w:t>
      </w:r>
      <w:r>
        <w:t xml:space="preserve"> </w:t>
      </w:r>
      <w:r>
        <w:t xml:space="preserve">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 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68" w:name="fig-share-intnl-regional"/>
                <w:p>
                  <w:pPr>
                    <w:pStyle w:val="Compact"/>
                    <w:jc w:val="center"/>
                    <w:jc w:val="left"/>
                  </w:pPr>
                  <w:r>
                    <w:drawing>
                      <wp:inline>
                        <wp:extent cx="5334000" cy="4267200"/>
                        <wp:effectExtent b="0" l="0" r="0" t="0"/>
                        <wp:docPr descr="" title="" id="66" name="Picture"/>
                        <a:graphic>
                          <a:graphicData uri="http://schemas.openxmlformats.org/drawingml/2006/picture">
                            <pic:pic>
                              <pic:nvPicPr>
                                <pic:cNvPr descr="02-system-overview_files/figure-docx/fig-share-intnl-regional-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68"/>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r>
              <w:t xml:space="preserve"> </w:t>
            </w:r>
            <w:r>
              <w:t xml:space="preserve">The majority of flights operate within the region, i.e., within the domestic Brazilian network and conversely the European network spanning across EUROCONTROL Member States.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2" w:name="fig-share-intnl-regions"/>
                <w:p>
                  <w:pPr>
                    <w:pStyle w:val="Compact"/>
                    <w:jc w:val="center"/>
                    <w:jc w:val="left"/>
                  </w:pPr>
                  <w:r>
                    <w:drawing>
                      <wp:inline>
                        <wp:extent cx="5334000" cy="4267200"/>
                        <wp:effectExtent b="0" l="0" r="0" t="0"/>
                        <wp:docPr descr="" title="" id="70" name="Picture"/>
                        <a:graphic>
                          <a:graphicData uri="http://schemas.openxmlformats.org/drawingml/2006/picture">
                            <pic:pic>
                              <pic:nvPicPr>
                                <pic:cNvPr descr="02-system-overview_files/figure-docx/fig-share-intnl-regions-1.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destinations in 2024</w:t>
                  </w:r>
                </w:p>
                <w:bookmarkEnd w:id="72"/>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in Brazil.</w:t>
            </w:r>
            <w:r>
              <w:t xml:space="preserve"> </w:t>
            </w:r>
            <w:r>
              <w:t xml:space="preserve">Connections to other Southern America states represent the major international destinations accounting for about 5%.</w:t>
            </w:r>
            <w:r>
              <w:t xml:space="preserve"> </w:t>
            </w:r>
            <w:r>
              <w:t xml:space="preserve">Europe has a shallow share of flights going to Southern America, including Brazil.</w:t>
            </w:r>
            <w:r>
              <w:t xml:space="preserve"> </w:t>
            </w:r>
            <w:r>
              <w:t xml:space="preserve">The Middle East, Nothern America, and Africa represent the biggest international markets ranging between 2.3-3.3% of all departures in Europe.</w:t>
            </w:r>
          </w:p>
        </w:tc>
      </w:tr>
    </w:tbl>
    <w:tbl>
      <w:tblPr>
        <w:tblStyle w:val="Table"/>
        <w:tblW w:type="pct" w:w="5000"/>
        <w:tblLook w:firstRow="0" w:lastRow="0" w:firstColumn="0" w:lastColumn="0" w:noHBand="0" w:noVBand="0" w:val="0000"/>
        <w:jc w:val="start"/>
        <w:tblLayout w:type="fixed"/>
      </w:tblPr>
      <w:tblGrid>
        <w:gridCol w:w="7920"/>
      </w:tblGrid>
      <w:tr>
        <w:tc>
          <w:tcPr/>
          <w:bookmarkStart w:id="76" w:name="fig-BRA-upset-connection"/>
          <w:p>
            <w:pPr>
              <w:pStyle w:val="Compact"/>
              <w:jc w:val="center"/>
            </w:pPr>
            <w:r>
              <w:drawing>
                <wp:inline>
                  <wp:extent cx="4800600" cy="3000375"/>
                  <wp:effectExtent b="0" l="0" r="0" t="0"/>
                  <wp:docPr descr="" title="" id="74" name="Picture"/>
                  <a:graphic>
                    <a:graphicData uri="http://schemas.openxmlformats.org/drawingml/2006/picture">
                      <pic:pic>
                        <pic:nvPicPr>
                          <pic:cNvPr descr="./figures/BRA-upset-national-connections.png" id="75" name="Picture"/>
                          <pic:cNvPicPr>
                            <a:picLocks noChangeArrowheads="1" noChangeAspect="1"/>
                          </pic:cNvPicPr>
                        </pic:nvPicPr>
                        <pic:blipFill>
                          <a:blip r:embed="rId7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6"/>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flights to Colombia and Uruguay from the study airports account for a smaller fraction, and there is a multitude of other connections to South America and the Carribean.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0" w:name="fig-BRA-EUR-connections-parallel"/>
          <w:p>
            <w:pPr>
              <w:pStyle w:val="Compact"/>
              <w:jc w:val="center"/>
            </w:pPr>
            <w:r>
              <w:drawing>
                <wp:inline>
                  <wp:extent cx="5334000" cy="7467600"/>
                  <wp:effectExtent b="0" l="0" r="0" t="0"/>
                  <wp:docPr descr="" title="" id="78" name="Picture"/>
                  <a:graphic>
                    <a:graphicData uri="http://schemas.openxmlformats.org/drawingml/2006/picture">
                      <pic:pic>
                        <pic:nvPicPr>
                          <pic:cNvPr descr="02-system-overview_files/figure-docx/fig-BRA-EUR-connections-parallel-1.png" id="79" name="Picture"/>
                          <pic:cNvPicPr>
                            <a:picLocks noChangeArrowheads="1" noChangeAspect="1"/>
                          </pic:cNvPicPr>
                        </pic:nvPicPr>
                        <pic:blipFill>
                          <a:blip r:embed="rId7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0"/>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reflect to a large extent individual flights (e.g. State flights, specific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1"/>
    <w:bookmarkStart w:id="83"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2">
        <w:r>
          <w:rPr>
            <w:rStyle w:val="Hyperlink"/>
          </w:rPr>
          <w:t xml:space="preserve">https://ansperformance.eu/global/brazil/</w:t>
        </w:r>
      </w:hyperlink>
      <w:r>
        <w:t xml:space="preserve"> </w:t>
      </w:r>
      <w:r>
        <w:t xml:space="preserve">or</w:t>
      </w:r>
      <w:r>
        <w:t xml:space="preserve"> </w:t>
      </w:r>
      <w:hyperlink r:id="rId26">
        <w:r>
          <w:rPr>
            <w:rStyle w:val="Hyperlink"/>
          </w:rPr>
          <w:t xml:space="preserve">https://performance.decea.mil.br/</w:t>
        </w:r>
      </w:hyperlink>
      <w:r>
        <w:t xml:space="preserve">.</w:t>
      </w:r>
    </w:p>
    <w:bookmarkEnd w:id="83"/>
    <w:bookmarkStart w:id="84"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defense.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in line with the overall traffic growth.</w:t>
      </w:r>
      <w:r>
        <w:t xml:space="preserve"> </w:t>
      </w:r>
      <w:r>
        <w:t xml:space="preserve">ATCO numbers in Europe marginally increased in comparison to 2019 in 2023.</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with varying organisational setups (public vs private organisation, unions).</w:t>
      </w:r>
      <w:r>
        <w:t xml:space="preserve"> </w:t>
      </w:r>
      <w:r>
        <w:t xml:space="preserve">Adjustments of the ATCO workforce tend to be more conservative..</w:t>
      </w:r>
    </w:p>
    <w:p>
      <w:pPr>
        <w:pStyle w:val="BodyText"/>
      </w:pPr>
      <w:r>
        <w:t xml:space="preserve">The distribution of commercial flights in 2022 indicated that only a subset of airports handled 80% of commercial take-offs.</w:t>
      </w:r>
      <w:r>
        <w:t xml:space="preserve"> </w:t>
      </w:r>
      <w:r>
        <w:t xml:space="preserve">In 2024 - with the stabilising air traffic levels - the top-10 airports in Europe handled 19% of the network departures, while in Brazil the top-10 accounted for 61%; considering the top-100 airports in both regions, this group handled 67% of all departures in Europe, and 97% in Brazil.</w:t>
      </w:r>
      <w:r>
        <w:t xml:space="preserve"> </w:t>
      </w:r>
      <w:r>
        <w:t xml:space="preserve">The concentration effect is higher in Brazil than in Europe.</w:t>
      </w:r>
      <w:r>
        <w:t xml:space="preserve"> </w:t>
      </w:r>
      <w:r>
        <w:t xml:space="preserve">On the other hand, the distribution also showed that a significant number of airports operating commercial flights handle only a marginal share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4"/>
    <w:bookmarkEnd w:id="85"/>
    <w:bookmarkStart w:id="126" w:name="traffic-characterisation"/>
    <w:p>
      <w:pPr>
        <w:pStyle w:val="Heading1"/>
      </w:pPr>
      <w:r>
        <w:t xml:space="preserve">3. Traffic Characterisation</w:t>
      </w:r>
    </w:p>
    <w:p>
      <w:pPr>
        <w:pStyle w:val="FirstParagraph"/>
      </w:pPr>
      <w:r>
        <w:t xml:space="preserve">To facilitate operational benchmarking comparisons, it is crucial to have a good understanding of the level and composition of air traffic.</w:t>
      </w:r>
      <w:r>
        <w:t xml:space="preserve"> </w:t>
      </w:r>
      <w:r>
        <w:t xml:space="preserve">The preceding section provided an overview of the context and organisation of air navigation services in Brazil and Europe, and the overall network characteristics.</w:t>
      </w:r>
      <w:r>
        <w:t xml:space="preserve"> </w:t>
      </w:r>
      <w:r>
        <w:t xml:space="preserve">This chapter presents some air traffic characteristics for both regions to provide a framework for the observed operational performance in subsequent parts of the report.</w:t>
      </w:r>
    </w:p>
    <w:bookmarkStart w:id="94"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 for the period 2019 to 2024.</w:t>
      </w:r>
    </w:p>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89" w:name="fig-annual-traffic-timeline"/>
          <w:p>
            <w:pPr>
              <w:pStyle w:val="Compact"/>
              <w:jc w:val="center"/>
            </w:pPr>
            <w:r>
              <w:drawing>
                <wp:inline>
                  <wp:extent cx="5334000" cy="4267200"/>
                  <wp:effectExtent b="0" l="0" r="0" t="0"/>
                  <wp:docPr descr="" title="" id="87" name="Picture"/>
                  <a:graphic>
                    <a:graphicData uri="http://schemas.openxmlformats.org/drawingml/2006/picture">
                      <pic:pic>
                        <pic:nvPicPr>
                          <pic:cNvPr descr="03-traffic_characterisation_files/figure-docx/fig-annual-traffic-timeline-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89"/>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shows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3" w:name="fig-annual-network"/>
          <w:p>
            <w:pPr>
              <w:pStyle w:val="Compact"/>
              <w:jc w:val="center"/>
            </w:pPr>
            <w:r>
              <w:drawing>
                <wp:inline>
                  <wp:extent cx="5334000" cy="4267200"/>
                  <wp:effectExtent b="0" l="0" r="0" t="0"/>
                  <wp:docPr descr="" title="" id="91" name="Picture"/>
                  <a:graphic>
                    <a:graphicData uri="http://schemas.openxmlformats.org/drawingml/2006/picture">
                      <pic:pic>
                        <pic:nvPicPr>
                          <pic:cNvPr descr="03-traffic_characterisation_files/figure-docx/fig-annual-network-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3"/>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visualised more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r>
        <w:t xml:space="preserve"> </w:t>
      </w:r>
      <w:r>
        <w:t xml:space="preserve">While there is a general growth trend during the post-pandemic phase, a clear step change took place between 2022 and 2023. Comparing 2023 to 2024 reveals a shallow, but continual, growth across the year signalling a certain level of saturation in terms of network connections.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4"/>
    <w:bookmarkStart w:id="110"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6" name="Picture"/>
            <a:graphic>
              <a:graphicData uri="http://schemas.openxmlformats.org/drawingml/2006/picture">
                <pic:pic>
                  <pic:nvPicPr>
                    <pic:cNvPr descr="03-traffic_characterisation_files/figure-docx/unnamed-chunk-4-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1" w:name="fig-eur-apt-level-tfc"/>
          <w:p>
            <w:pPr>
              <w:pStyle w:val="Compact"/>
              <w:jc w:val="center"/>
            </w:pPr>
            <w:r>
              <w:drawing>
                <wp:inline>
                  <wp:extent cx="5334000" cy="4267200"/>
                  <wp:effectExtent b="0" l="0" r="0" t="0"/>
                  <wp:docPr descr="" title="" id="99" name="Picture"/>
                  <a:graphic>
                    <a:graphicData uri="http://schemas.openxmlformats.org/drawingml/2006/picture">
                      <pic:pic>
                        <pic:nvPicPr>
                          <pic:cNvPr descr="03-traffic_characterisation_files/figure-docx/fig-eur-apt-level-tfc-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European airport level traffic</w:t>
            </w:r>
          </w:p>
          <w:bookmarkEnd w:id="101"/>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observed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5" w:name="fig-apt-annual-change"/>
          <w:p>
            <w:pPr>
              <w:pStyle w:val="Compact"/>
              <w:jc w:val="center"/>
            </w:pPr>
            <w:r>
              <w:drawing>
                <wp:inline>
                  <wp:extent cx="5334000" cy="4267200"/>
                  <wp:effectExtent b="0" l="0" r="0" t="0"/>
                  <wp:docPr descr="" title="" id="103" name="Picture"/>
                  <a:graphic>
                    <a:graphicData uri="http://schemas.openxmlformats.org/drawingml/2006/picture">
                      <pic:pic>
                        <pic:nvPicPr>
                          <pic:cNvPr descr="03-traffic_characterisation_files/figure-docx/fig-apt-annual-change-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5"/>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09" w:name="fig-monthly-tfc-sbgr-lppt"/>
          <w:p>
            <w:pPr>
              <w:pStyle w:val="Compact"/>
              <w:jc w:val="center"/>
            </w:pPr>
            <w:r>
              <w:drawing>
                <wp:inline>
                  <wp:extent cx="5334000" cy="6400800"/>
                  <wp:effectExtent b="0" l="0" r="0" t="0"/>
                  <wp:docPr descr="" title="" id="107" name="Picture"/>
                  <a:graphic>
                    <a:graphicData uri="http://schemas.openxmlformats.org/drawingml/2006/picture">
                      <pic:pic>
                        <pic:nvPicPr>
                          <pic:cNvPr descr="03-traffic_characterisation_files/figure-docx/fig-monthly-tfc-sbgr-lppt-1.png" id="108" name="Picture"/>
                          <pic:cNvPicPr>
                            <a:picLocks noChangeArrowheads="1" noChangeAspect="1"/>
                          </pic:cNvPicPr>
                        </pic:nvPicPr>
                        <pic:blipFill>
                          <a:blip r:embed="rId10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09"/>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0"/>
    <w:bookmarkStart w:id="119"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4" w:name="fig-peak-day-3years"/>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3year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4"/>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18"/>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w:t>
      </w:r>
      <w:r>
        <w:t xml:space="preserve"> </w:t>
      </w:r>
      <w:r>
        <w:t xml:space="preserve">Such contraints reduce the available runway system capacity, and thus, 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19"/>
    <w:bookmarkStart w:id="124"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3" w:name="fig-fleet-mix"/>
          <w:p>
            <w:pPr>
              <w:pStyle w:val="Compact"/>
              <w:jc w:val="center"/>
            </w:pPr>
            <w:r>
              <w:drawing>
                <wp:inline>
                  <wp:extent cx="5334000" cy="5334000"/>
                  <wp:effectExtent b="0" l="0" r="0" t="0"/>
                  <wp:docPr descr="" title="" id="121" name="Picture"/>
                  <a:graphic>
                    <a:graphicData uri="http://schemas.openxmlformats.org/drawingml/2006/picture">
                      <pic:pic>
                        <pic:nvPicPr>
                          <pic:cNvPr descr="03-traffic_characterisation_files/figure-docx/fig-fleet-mix-1.pn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3"/>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4"/>
    <w:bookmarkStart w:id="125"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in Europe remain the exemption.</w:t>
      </w:r>
      <w:r>
        <w:t xml:space="preserve"> </w:t>
      </w:r>
      <w:r>
        <w:t xml:space="preserve">A higher share of heavy aircraft is observed at the top-European airport in this study.</w:t>
      </w:r>
      <w:r>
        <w:t xml:space="preserve"> </w:t>
      </w:r>
      <w:r>
        <w:t xml:space="preserve">The wider spread of internatinoal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5"/>
    <w:bookmarkEnd w:id="126"/>
    <w:bookmarkStart w:id="163"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4"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tbl>
      <w:tblPr>
        <w:tblStyle w:val="Table"/>
        <w:tblW w:type="pct" w:w="5000"/>
        <w:tblLook w:firstRow="0" w:lastRow="0" w:firstColumn="0" w:lastColumn="0" w:noHBand="0" w:noVBand="0" w:val="0000"/>
        <w:jc w:val="start"/>
        <w:tblLayout w:type="fixed"/>
      </w:tblPr>
      <w:tblGrid>
        <w:gridCol w:w="7920"/>
      </w:tblGrid>
      <w:tr>
        <w:tc>
          <w:tcPr/>
          <w:bookmarkStart w:id="130" w:name="fig-arrival-punc"/>
          <w:p>
            <w:pPr>
              <w:pStyle w:val="Compact"/>
              <w:jc w:val="center"/>
            </w:pPr>
            <w:r>
              <w:drawing>
                <wp:inline>
                  <wp:extent cx="5334000" cy="7467600"/>
                  <wp:effectExtent b="0" l="0" r="0" t="0"/>
                  <wp:docPr descr="" title="" id="128" name="Picture"/>
                  <a:graphic>
                    <a:graphicData uri="http://schemas.openxmlformats.org/drawingml/2006/picture">
                      <pic:pic>
                        <pic:nvPicPr>
                          <pic:cNvPr descr="04-predictability_files/figure-docx/fig-arrival-punc-1.png" id="129" name="Picture"/>
                          <pic:cNvPicPr>
                            <a:picLocks noChangeArrowheads="1" noChangeAspect="1"/>
                          </pic:cNvPicPr>
                        </pic:nvPicPr>
                        <pic:blipFill>
                          <a:blip r:embed="rId12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0"/>
        </w:tc>
      </w:tr>
    </w:tbl>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4" w:name="fig-arr-punc-comparison-apts"/>
          <w:p>
            <w:pPr>
              <w:pStyle w:val="Compact"/>
              <w:jc w:val="center"/>
            </w:pPr>
            <w:r>
              <w:drawing>
                <wp:inline>
                  <wp:extent cx="5334000" cy="4267200"/>
                  <wp:effectExtent b="0" l="0" r="0" t="0"/>
                  <wp:docPr descr="" title="" id="132" name="Picture"/>
                  <a:graphic>
                    <a:graphicData uri="http://schemas.openxmlformats.org/drawingml/2006/picture">
                      <pic:pic>
                        <pic:nvPicPr>
                          <pic:cNvPr descr="04-predictability_files/figure-docx/fig-arr-punc-comparison-apts-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Total flights and arrival punctuality at two comparison study airports</w:t>
            </w:r>
          </w:p>
          <w:bookmarkEnd w:id="134"/>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38" w:name="fig-puncvstfc"/>
          <w:p>
            <w:pPr>
              <w:pStyle w:val="Compact"/>
              <w:jc w:val="center"/>
            </w:pPr>
            <w:r>
              <w:drawing>
                <wp:inline>
                  <wp:extent cx="5334000" cy="7467600"/>
                  <wp:effectExtent b="0" l="0" r="0" t="0"/>
                  <wp:docPr descr="" title="" id="136" name="Picture"/>
                  <a:graphic>
                    <a:graphicData uri="http://schemas.openxmlformats.org/drawingml/2006/picture">
                      <pic:pic>
                        <pic:nvPicPr>
                          <pic:cNvPr descr="04-predictability_files/figure-docx/fig-puncvstfc-1.png" id="137" name="Picture"/>
                          <pic:cNvPicPr>
                            <a:picLocks noChangeArrowheads="1" noChangeAspect="1"/>
                          </pic:cNvPicPr>
                        </pic:nvPicPr>
                        <pic:blipFill>
                          <a:blip r:embed="rId13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arrival traffic</w:t>
            </w:r>
          </w:p>
          <w:bookmarkEnd w:id="138"/>
        </w:tc>
      </w:tr>
    </w:tbl>
    <w:p>
      <w:pPr>
        <w:pStyle w:val="BodyText"/>
      </w:pPr>
      <w:hyperlink w:anchor="fig-puncvstfc">
        <w:r>
          <w:rPr>
            <w:rStyle w:val="Hyperlink"/>
          </w:rPr>
          <w:t xml:space="preserve">Figure 4.3</w:t>
        </w:r>
      </w:hyperlink>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2" w:name="fig-early-vs-late-arrivals"/>
          <w:p>
            <w:pPr>
              <w:pStyle w:val="Compact"/>
              <w:jc w:val="center"/>
            </w:pPr>
            <w:r>
              <w:drawing>
                <wp:inline>
                  <wp:extent cx="5334000" cy="7467600"/>
                  <wp:effectExtent b="0" l="0" r="0" t="0"/>
                  <wp:docPr descr="" title="" id="140" name="Picture"/>
                  <a:graphic>
                    <a:graphicData uri="http://schemas.openxmlformats.org/drawingml/2006/picture">
                      <pic:pic>
                        <pic:nvPicPr>
                          <pic:cNvPr descr="04-predictability_files/figure-docx/fig-early-vs-late-arrivals-1.png" id="141" name="Picture"/>
                          <pic:cNvPicPr>
                            <a:picLocks noChangeArrowheads="1" noChangeAspect="1"/>
                          </pic:cNvPicPr>
                        </pic:nvPicPr>
                        <pic:blipFill>
                          <a:blip r:embed="rId13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(2023 vs 2024)</w:t>
            </w:r>
          </w:p>
          <w:bookmarkEnd w:id="142"/>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3"/>
      </w:r>
      <w:r>
        <w:t xml:space="preserve">.</w:t>
      </w:r>
    </w:p>
    <w:bookmarkEnd w:id="144"/>
    <w:bookmarkStart w:id="161"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48" w:name="fig-departure-punc"/>
          <w:p>
            <w:pPr>
              <w:pStyle w:val="Compact"/>
              <w:jc w:val="center"/>
            </w:pPr>
            <w:r>
              <w:drawing>
                <wp:inline>
                  <wp:extent cx="5334000" cy="7467600"/>
                  <wp:effectExtent b="0" l="0" r="0" t="0"/>
                  <wp:docPr descr="" title="" id="146" name="Picture"/>
                  <a:graphic>
                    <a:graphicData uri="http://schemas.openxmlformats.org/drawingml/2006/picture">
                      <pic:pic>
                        <pic:nvPicPr>
                          <pic:cNvPr descr="04-predictability_files/figure-docx/fig-departure-punc-1.png" id="147" name="Picture"/>
                          <pic:cNvPicPr>
                            <a:picLocks noChangeArrowheads="1" noChangeAspect="1"/>
                          </pic:cNvPicPr>
                        </pic:nvPicPr>
                        <pic:blipFill>
                          <a:blip r:embed="rId14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Evolution of departure punctuality at study airports (2023 vs 2024)</w:t>
            </w:r>
          </w:p>
          <w:bookmarkEnd w:id="148"/>
        </w:tc>
      </w:tr>
    </w:tbl>
    <w:p>
      <w:pPr>
        <w:pStyle w:val="BodyText"/>
      </w:pPr>
      <w:hyperlink w:anchor="fig-departure-punc">
        <w:r>
          <w:rPr>
            <w:rStyle w:val="Hyperlink"/>
          </w:rPr>
          <w:t xml:space="preserve">Figure 4.5</w:t>
        </w:r>
      </w:hyperlink>
      <w:r>
        <w:t xml:space="preserve"> </w:t>
      </w:r>
      <w:r>
        <w:t xml:space="preserve">presents the departure punctuality results for the study airports.</w:t>
      </w:r>
      <w:r>
        <w:t xml:space="preserve"> </w:t>
      </w:r>
      <w:r>
        <w:t xml:space="preserve">The 2024 data shows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2" w:name="fig-dep-punc-comparison-apts"/>
          <w:p>
            <w:pPr>
              <w:pStyle w:val="Compact"/>
              <w:jc w:val="center"/>
            </w:pPr>
            <w:r>
              <w:drawing>
                <wp:inline>
                  <wp:extent cx="5334000" cy="4267200"/>
                  <wp:effectExtent b="0" l="0" r="0" t="0"/>
                  <wp:docPr descr="" title="" id="150" name="Picture"/>
                  <a:graphic>
                    <a:graphicData uri="http://schemas.openxmlformats.org/drawingml/2006/picture">
                      <pic:pic>
                        <pic:nvPicPr>
                          <pic:cNvPr descr="04-predictability_files/figure-docx/fig-dep-punc-comparison-ap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Departure Punctuality at two comparison study airports</w:t>
            </w:r>
          </w:p>
          <w:bookmarkEnd w:id="152"/>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4.6</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56" w:name="fig-puncvstfc-dep"/>
          <w:p>
            <w:pPr>
              <w:pStyle w:val="Compact"/>
              <w:jc w:val="center"/>
            </w:pPr>
            <w:r>
              <w:drawing>
                <wp:inline>
                  <wp:extent cx="5334000" cy="7467600"/>
                  <wp:effectExtent b="0" l="0" r="0" t="0"/>
                  <wp:docPr descr="" title="" id="154" name="Picture"/>
                  <a:graphic>
                    <a:graphicData uri="http://schemas.openxmlformats.org/drawingml/2006/picture">
                      <pic:pic>
                        <pic:nvPicPr>
                          <pic:cNvPr descr="04-predictability_files/figure-docx/fig-puncvstfc-dep-1.png" id="155" name="Picture"/>
                          <pic:cNvPicPr>
                            <a:picLocks noChangeArrowheads="1" noChangeAspect="1"/>
                          </pic:cNvPicPr>
                        </pic:nvPicPr>
                        <pic:blipFill>
                          <a:blip r:embed="rId15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departure punctuality -/+15 min vs departure traffic</w:t>
            </w:r>
          </w:p>
          <w:bookmarkEnd w:id="156"/>
        </w:tc>
      </w:tr>
    </w:tbl>
    <w:p>
      <w:pPr>
        <w:pStyle w:val="BodyText"/>
      </w:pPr>
      <w:r>
        <w:t xml:space="preserve">In analogy to the previous section,</w:t>
      </w:r>
      <w:r>
        <w:t xml:space="preserve"> </w:t>
      </w:r>
      <w:hyperlink w:anchor="fig-puncvstfc-dep">
        <w:r>
          <w:rPr>
            <w:rStyle w:val="Hyperlink"/>
          </w:rPr>
          <w:t xml:space="preserve">Figure 4.7</w:t>
        </w:r>
      </w:hyperlink>
      <w:r>
        <w:t xml:space="preserve"> </w:t>
      </w:r>
      <w:r>
        <w:t xml:space="preserve">shows a side-by-side view of departure punctuality and movement evolution between 2023 and 2024 for each of the study airports.</w:t>
      </w:r>
    </w:p>
    <w:tbl>
      <w:tblPr>
        <w:tblStyle w:val="Table"/>
        <w:tblW w:type="pct" w:w="5000"/>
        <w:tblLook w:firstRow="0" w:lastRow="0" w:firstColumn="0" w:lastColumn="0" w:noHBand="0" w:noVBand="0" w:val="0000"/>
        <w:jc w:val="start"/>
        <w:tblLayout w:type="fixed"/>
      </w:tblPr>
      <w:tblGrid>
        <w:gridCol w:w="7920"/>
      </w:tblGrid>
      <w:tr>
        <w:tc>
          <w:tcPr/>
          <w:bookmarkStart w:id="160" w:name="fig-early-vs-late-departures"/>
          <w:p>
            <w:pPr>
              <w:pStyle w:val="Compact"/>
              <w:jc w:val="center"/>
            </w:pPr>
            <w:r>
              <w:drawing>
                <wp:inline>
                  <wp:extent cx="5334000" cy="7467600"/>
                  <wp:effectExtent b="0" l="0" r="0" t="0"/>
                  <wp:docPr descr="" title="" id="158" name="Picture"/>
                  <a:graphic>
                    <a:graphicData uri="http://schemas.openxmlformats.org/drawingml/2006/picture">
                      <pic:pic>
                        <pic:nvPicPr>
                          <pic:cNvPr descr="04-predictability_files/figure-docx/fig-early-vs-late-departures-1.png" id="159" name="Picture"/>
                          <pic:cNvPicPr>
                            <a:picLocks noChangeArrowheads="1" noChangeAspect="1"/>
                          </pic:cNvPicPr>
                        </pic:nvPicPr>
                        <pic:blipFill>
                          <a:blip r:embed="rId15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60"/>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4.8</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61"/>
    <w:bookmarkStart w:id="162"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62"/>
    <w:bookmarkEnd w:id="163"/>
    <w:bookmarkStart w:id="197" w:name="capacity-and-throughput"/>
    <w:p>
      <w:pPr>
        <w:pStyle w:val="Heading1"/>
      </w:pPr>
      <w:r>
        <w:t xml:space="preserve">5.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72"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67" w:name="fig-capsovertime"/>
          <w:p>
            <w:pPr>
              <w:pStyle w:val="Compact"/>
              <w:jc w:val="center"/>
            </w:pPr>
            <w:r>
              <w:drawing>
                <wp:inline>
                  <wp:extent cx="5334000" cy="7467600"/>
                  <wp:effectExtent b="0" l="0" r="0" t="0"/>
                  <wp:docPr descr="" title="" id="165" name="Picture"/>
                  <a:graphic>
                    <a:graphicData uri="http://schemas.openxmlformats.org/drawingml/2006/picture">
                      <pic:pic>
                        <pic:nvPicPr>
                          <pic:cNvPr descr="05-capacity_and_throughput_files/figure-docx/fig-capsovertime-1.png" id="166" name="Picture"/>
                          <pic:cNvPicPr>
                            <a:picLocks noChangeArrowheads="1" noChangeAspect="1"/>
                          </pic:cNvPicPr>
                        </pic:nvPicPr>
                        <pic:blipFill>
                          <a:blip r:embed="rId1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67"/>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71" w:name="fig-peak-declared-cpacity"/>
          <w:p>
            <w:pPr>
              <w:pStyle w:val="Compact"/>
              <w:jc w:val="center"/>
            </w:pPr>
            <w:r>
              <w:drawing>
                <wp:inline>
                  <wp:extent cx="5334000" cy="4267200"/>
                  <wp:effectExtent b="0" l="0" r="0" t="0"/>
                  <wp:docPr descr="" title="" id="169" name="Picture"/>
                  <a:graphic>
                    <a:graphicData uri="http://schemas.openxmlformats.org/drawingml/2006/picture">
                      <pic:pic>
                        <pic:nvPicPr>
                          <pic:cNvPr descr="05-capacity_and_throughput_files/figure-docx/fig-peak-declared-cpacity-1.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 [flights/hour]</w:t>
            </w:r>
          </w:p>
          <w:bookmarkEnd w:id="171"/>
        </w:tc>
      </w:tr>
    </w:tbl>
    <w:bookmarkEnd w:id="172"/>
    <w:bookmarkStart w:id="177"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6" w:name="fig-arrival-throughput"/>
          <w:p>
            <w:pPr>
              <w:pStyle w:val="Compact"/>
              <w:jc w:val="center"/>
            </w:pPr>
            <w:r>
              <w:drawing>
                <wp:inline>
                  <wp:extent cx="5334000" cy="4267200"/>
                  <wp:effectExtent b="0" l="0" r="0" t="0"/>
                  <wp:docPr descr="" title="" id="174" name="Picture"/>
                  <a:graphic>
                    <a:graphicData uri="http://schemas.openxmlformats.org/drawingml/2006/picture">
                      <pic:pic>
                        <pic:nvPicPr>
                          <pic:cNvPr descr="05-capacity_and_throughput_files/figure-docx/fig-arrival-throughput-1.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 at study airports</w:t>
            </w:r>
          </w:p>
          <w:bookmarkEnd w:id="176"/>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77"/>
    <w:bookmarkStart w:id="182"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mantained the same level as 2023. For others brazilians, the peak departure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revovery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81" w:name="fig-departure-throughput"/>
          <w:p>
            <w:pPr>
              <w:pStyle w:val="Compact"/>
              <w:jc w:val="center"/>
            </w:pPr>
            <w:r>
              <w:drawing>
                <wp:inline>
                  <wp:extent cx="5334000" cy="4267200"/>
                  <wp:effectExtent b="0" l="0" r="0" t="0"/>
                  <wp:docPr descr="" title="" id="179" name="Picture"/>
                  <a:graphic>
                    <a:graphicData uri="http://schemas.openxmlformats.org/drawingml/2006/picture">
                      <pic:pic>
                        <pic:nvPicPr>
                          <pic:cNvPr descr="05-capacity_and_throughput_files/figure-docx/fig-departure-throughput-1.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81"/>
        </w:tc>
      </w:tr>
    </w:tbl>
    <w:bookmarkEnd w:id="182"/>
    <w:bookmarkStart w:id="195"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6" w:name="fig-capvsthru"/>
          <w:p>
            <w:pPr>
              <w:pStyle w:val="Compact"/>
              <w:jc w:val="center"/>
            </w:pPr>
            <w:r>
              <w:drawing>
                <wp:inline>
                  <wp:extent cx="5334000" cy="4267200"/>
                  <wp:effectExtent b="0" l="0" r="0" t="0"/>
                  <wp:docPr descr="" title="" id="184" name="Picture"/>
                  <a:graphic>
                    <a:graphicData uri="http://schemas.openxmlformats.org/drawingml/2006/picture">
                      <pic:pic>
                        <pic:nvPicPr>
                          <pic:cNvPr descr="05-capacity_and_throughput_files/figure-docx/fig-capvsthru-1.png" id="185" name="Picture"/>
                          <pic:cNvPicPr>
                            <a:picLocks noChangeArrowheads="1" noChangeAspect="1"/>
                          </pic:cNvPicPr>
                        </pic:nvPicPr>
                        <pic:blipFill>
                          <a:blip r:embed="rId1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6"/>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vs achieved throughput is useful.</w:t>
      </w:r>
      <w:r>
        <w:t xml:space="preserve"> </w:t>
      </w:r>
      <w:r>
        <w:t xml:space="preserve">However, it gives not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190" w:name="fig-bli-pli-example"/>
                <w:p>
                  <w:pPr>
                    <w:pStyle w:val="Compact"/>
                    <w:jc w:val="center"/>
                    <w:jc w:val="left"/>
                  </w:pPr>
                  <w:r>
                    <w:drawing>
                      <wp:inline>
                        <wp:extent cx="5334000" cy="4000500"/>
                        <wp:effectExtent b="0" l="0" r="0" t="0"/>
                        <wp:docPr descr="" title="" id="188" name="Picture"/>
                        <a:graphic>
                          <a:graphicData uri="http://schemas.openxmlformats.org/drawingml/2006/picture">
                            <pic:pic>
                              <pic:nvPicPr>
                                <pic:cNvPr descr="figures/bli-pli-example.png" id="189" name="Picture"/>
                                <pic:cNvPicPr>
                                  <a:picLocks noChangeArrowheads="1" noChangeAspect="1"/>
                                </pic:cNvPicPr>
                              </pic:nvPicPr>
                              <pic:blipFill>
                                <a:blip r:embed="rId187"/>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5.6: Example of ordered hourly throughout in different years</w:t>
                  </w:r>
                </w:p>
                <w:bookmarkEnd w:id="190"/>
              </w:tc>
            </w:tr>
          </w:tbl>
          <w:p/>
        </w:tc>
        <w:tc>
          <w:tcPr/>
          <w:p>
            <w:pPr>
              <w:numPr>
                <w:ilvl w:val="0"/>
                <w:numId w:val="1006"/>
              </w:numPr>
              <w:pStyle w:val="Compact"/>
              <w:jc w:val="left"/>
            </w:pPr>
            <w:hyperlink w:anchor="fig-bli-pli-example">
              <w:r>
                <w:rPr>
                  <w:rStyle w:val="Hyperlink"/>
                </w:rPr>
                <w:t xml:space="preserve">Figure 5.6</w:t>
              </w:r>
            </w:hyperlink>
            <w:r>
              <w:t xml:space="preserve"> </w:t>
            </w:r>
            <w:r>
              <w:t xml:space="preserve">shows the ordered set of hourly throughputs for the past years.</w:t>
            </w:r>
          </w:p>
          <w:p>
            <w:pPr>
              <w:numPr>
                <w:ilvl w:val="0"/>
                <w:numId w:val="1006"/>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194" w:name="fig-bli-pli"/>
          <w:p>
            <w:pPr>
              <w:pStyle w:val="Compact"/>
              <w:jc w:val="center"/>
            </w:pPr>
            <w:r>
              <w:drawing>
                <wp:inline>
                  <wp:extent cx="5334000" cy="4267200"/>
                  <wp:effectExtent b="0" l="0" r="0" t="0"/>
                  <wp:docPr descr="" title="" id="192" name="Picture"/>
                  <a:graphic>
                    <a:graphicData uri="http://schemas.openxmlformats.org/drawingml/2006/picture">
                      <pic:pic>
                        <pic:nvPicPr>
                          <pic:cNvPr descr="05-capacity_and_throughput_files/figure-docx/fig-bli-pli-1.png" id="193" name="Picture"/>
                          <pic:cNvPicPr>
                            <a:picLocks noChangeArrowheads="1" noChangeAspect="1"/>
                          </pic:cNvPicPr>
                        </pic:nvPicPr>
                        <pic:blipFill>
                          <a:blip r:embed="rId19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4"/>
        </w:tc>
      </w:tr>
    </w:tbl>
    <w:p>
      <w:pPr>
        <w:pStyle w:val="BodyText"/>
      </w:pPr>
      <w:hyperlink w:anchor="fig-bli-pli">
        <w:r>
          <w:rPr>
            <w:rStyle w:val="Hyperlink"/>
          </w:rPr>
          <w:t xml:space="preserve">Figure 5.7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5"/>
    <w:bookmarkStart w:id="196" w:name="summary-3"/>
    <w:p>
      <w:pPr>
        <w:pStyle w:val="Heading2"/>
      </w:pPr>
      <w:r>
        <w:t xml:space="preserve">5.5 Summary</w:t>
      </w:r>
    </w:p>
    <w:p>
      <w:pPr>
        <w:pStyle w:val="FirstParagraph"/>
      </w:pPr>
      <w:r>
        <w:t xml:space="preserve">This chapter analyzed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6"/>
    <w:bookmarkEnd w:id="197"/>
    <w:bookmarkStart w:id="243"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12"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02"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1" w:name="fig-txit-annual"/>
          <w:p>
            <w:pPr>
              <w:pStyle w:val="Compact"/>
              <w:jc w:val="center"/>
            </w:pPr>
            <w:r>
              <w:drawing>
                <wp:inline>
                  <wp:extent cx="5334000" cy="4267200"/>
                  <wp:effectExtent b="0" l="0" r="0" t="0"/>
                  <wp:docPr descr="" title="" id="199" name="Picture"/>
                  <a:graphic>
                    <a:graphicData uri="http://schemas.openxmlformats.org/drawingml/2006/picture">
                      <pic:pic>
                        <pic:nvPicPr>
                          <pic:cNvPr descr="06-efficiency_files/figure-docx/fig-txit-annual-1.png" id="200" name="Picture"/>
                          <pic:cNvPicPr>
                            <a:picLocks noChangeArrowheads="1" noChangeAspect="1"/>
                          </pic:cNvPicPr>
                        </pic:nvPicPr>
                        <pic:blipFill>
                          <a:blip r:embed="rId1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201"/>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202"/>
    <w:bookmarkStart w:id="211"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6" w:name="fig-bra-txit-timeline"/>
          <w:p>
            <w:pPr>
              <w:pStyle w:val="Compact"/>
              <w:jc w:val="center"/>
            </w:pPr>
            <w:r>
              <w:drawing>
                <wp:inline>
                  <wp:extent cx="5334000" cy="4267200"/>
                  <wp:effectExtent b="0" l="0" r="0" t="0"/>
                  <wp:docPr descr="" title="" id="204" name="Picture"/>
                  <a:graphic>
                    <a:graphicData uri="http://schemas.openxmlformats.org/drawingml/2006/picture">
                      <pic:pic>
                        <pic:nvPicPr>
                          <pic:cNvPr descr="06-efficiency_files/figure-docx/fig-bra-txit-timelin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6"/>
        </w:tc>
      </w:tr>
    </w:tbl>
    <w:tbl>
      <w:tblPr>
        <w:tblStyle w:val="Table"/>
        <w:tblW w:type="pct" w:w="5000"/>
        <w:tblLook w:firstRow="0" w:lastRow="0" w:firstColumn="0" w:lastColumn="0" w:noHBand="0" w:noVBand="0" w:val="0000"/>
        <w:jc w:val="start"/>
        <w:tblLayout w:type="fixed"/>
      </w:tblPr>
      <w:tblGrid>
        <w:gridCol w:w="7920"/>
      </w:tblGrid>
      <w:tr>
        <w:tc>
          <w:tcPr/>
          <w:bookmarkStart w:id="210" w:name="fig-eur-txit-timeline"/>
          <w:p>
            <w:pPr>
              <w:pStyle w:val="Compact"/>
              <w:jc w:val="center"/>
            </w:pPr>
            <w:r>
              <w:drawing>
                <wp:inline>
                  <wp:extent cx="5334000" cy="4267200"/>
                  <wp:effectExtent b="0" l="0" r="0" t="0"/>
                  <wp:docPr descr="" title="" id="208" name="Picture"/>
                  <a:graphic>
                    <a:graphicData uri="http://schemas.openxmlformats.org/drawingml/2006/picture">
                      <pic:pic>
                        <pic:nvPicPr>
                          <pic:cNvPr descr="06-efficiency_files/figure-docx/fig-eur-txit-timeline-1.png" id="209" name="Picture"/>
                          <pic:cNvPicPr>
                            <a:picLocks noChangeArrowheads="1" noChangeAspect="1"/>
                          </pic:cNvPicPr>
                        </pic:nvPicPr>
                        <pic:blipFill>
                          <a:blip r:embed="rId20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10"/>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11"/>
    <w:bookmarkEnd w:id="212"/>
    <w:bookmarkStart w:id="227" w:name="taxi-out-times"/>
    <w:p>
      <w:pPr>
        <w:pStyle w:val="Heading2"/>
      </w:pPr>
      <w:r>
        <w:t xml:space="preserve">6.2 Taxi-Out Times</w:t>
      </w:r>
    </w:p>
    <w:bookmarkStart w:id="217"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6" w:name="fig-txot-annual"/>
          <w:p>
            <w:pPr>
              <w:pStyle w:val="Compact"/>
              <w:jc w:val="center"/>
            </w:pPr>
            <w:r>
              <w:drawing>
                <wp:inline>
                  <wp:extent cx="5334000" cy="4267200"/>
                  <wp:effectExtent b="0" l="0" r="0" t="0"/>
                  <wp:docPr descr="" title="" id="214" name="Picture"/>
                  <a:graphic>
                    <a:graphicData uri="http://schemas.openxmlformats.org/drawingml/2006/picture">
                      <pic:pic>
                        <pic:nvPicPr>
                          <pic:cNvPr descr="06-efficiency_files/figure-docx/fig-txot-annual-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6"/>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17"/>
    <w:bookmarkStart w:id="226"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21" w:name="fig-txot-monthly"/>
          <w:p>
            <w:pPr>
              <w:pStyle w:val="Compact"/>
              <w:jc w:val="center"/>
            </w:pPr>
            <w:r>
              <w:drawing>
                <wp:inline>
                  <wp:extent cx="5334000" cy="4267200"/>
                  <wp:effectExtent b="0" l="0" r="0" t="0"/>
                  <wp:docPr descr="" title="" id="219" name="Picture"/>
                  <a:graphic>
                    <a:graphicData uri="http://schemas.openxmlformats.org/drawingml/2006/picture">
                      <pic:pic>
                        <pic:nvPicPr>
                          <pic:cNvPr descr="06-efficiency_files/figure-docx/fig-txot-monthly-1.png" id="220" name="Picture"/>
                          <pic:cNvPicPr>
                            <a:picLocks noChangeArrowheads="1" noChangeAspect="1"/>
                          </pic:cNvPicPr>
                        </pic:nvPicPr>
                        <pic:blipFill>
                          <a:blip r:embed="rId2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21"/>
        </w:tc>
      </w:tr>
    </w:tbl>
    <w:tbl>
      <w:tblPr>
        <w:tblStyle w:val="Table"/>
        <w:tblW w:type="pct" w:w="5000"/>
        <w:tblLook w:firstRow="0" w:lastRow="0" w:firstColumn="0" w:lastColumn="0" w:noHBand="0" w:noVBand="0" w:val="0000"/>
        <w:jc w:val="start"/>
        <w:tblLayout w:type="fixed"/>
      </w:tblPr>
      <w:tblGrid>
        <w:gridCol w:w="7920"/>
      </w:tblGrid>
      <w:tr>
        <w:tc>
          <w:tcPr/>
          <w:bookmarkStart w:id="225" w:name="fig-txot-eur-monthly"/>
          <w:p>
            <w:pPr>
              <w:pStyle w:val="Compact"/>
              <w:jc w:val="center"/>
            </w:pPr>
            <w:r>
              <w:drawing>
                <wp:inline>
                  <wp:extent cx="5334000" cy="4267200"/>
                  <wp:effectExtent b="0" l="0" r="0" t="0"/>
                  <wp:docPr descr="" title="" id="223" name="Picture"/>
                  <a:graphic>
                    <a:graphicData uri="http://schemas.openxmlformats.org/drawingml/2006/picture">
                      <pic:pic>
                        <pic:nvPicPr>
                          <pic:cNvPr descr="06-efficiency_files/figure-docx/fig-txot-eur-monthly-1.png" id="224" name="Picture"/>
                          <pic:cNvPicPr>
                            <a:picLocks noChangeArrowheads="1" noChangeAspect="1"/>
                          </pic:cNvPicPr>
                        </pic:nvPicPr>
                        <pic:blipFill>
                          <a:blip r:embed="rId2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5"/>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6"/>
    <w:bookmarkEnd w:id="227"/>
    <w:bookmarkStart w:id="232"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31" w:name="fig-txot-txit-mapping"/>
          <w:p>
            <w:pPr>
              <w:pStyle w:val="Compact"/>
              <w:jc w:val="center"/>
            </w:pPr>
            <w:r>
              <w:drawing>
                <wp:inline>
                  <wp:extent cx="5334000" cy="4267200"/>
                  <wp:effectExtent b="0" l="0" r="0" t="0"/>
                  <wp:docPr descr="" title="" id="229" name="Picture"/>
                  <a:graphic>
                    <a:graphicData uri="http://schemas.openxmlformats.org/drawingml/2006/picture">
                      <pic:pic>
                        <pic:nvPicPr>
                          <pic:cNvPr descr="06-efficiency_files/figure-docx/fig-txot-txit-mapping-1.png" id="230" name="Picture"/>
                          <pic:cNvPicPr>
                            <a:picLocks noChangeArrowheads="1" noChangeAspect="1"/>
                          </pic:cNvPicPr>
                        </pic:nvPicPr>
                        <pic:blipFill>
                          <a:blip r:embed="rId2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31"/>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p>
    <w:p>
      <w:pPr>
        <w:pStyle w:val="BodyText"/>
      </w:pP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airports, the overall performance shows a reduction in additional taxi-out times (i.e. characterised by a leftshift along the x-axis).</w:t>
      </w:r>
    </w:p>
    <w:p>
      <w:pPr>
        <w:pStyle w:val="BodyText"/>
      </w:pP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6.3</w:t>
        </w:r>
      </w:hyperlink>
      <w:r>
        <w:t xml:space="preserve"> </w:t>
      </w:r>
      <w:r>
        <w:t xml:space="preserve">which shows a strong increase in the second half of 2023.</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32"/>
    <w:bookmarkStart w:id="241"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6" w:name="fig-asma"/>
          <w:p>
            <w:pPr>
              <w:pStyle w:val="Compact"/>
              <w:jc w:val="center"/>
            </w:pPr>
            <w:r>
              <w:drawing>
                <wp:inline>
                  <wp:extent cx="5334000" cy="4267200"/>
                  <wp:effectExtent b="0" l="0" r="0" t="0"/>
                  <wp:docPr descr="" title="" id="234" name="Picture"/>
                  <a:graphic>
                    <a:graphicData uri="http://schemas.openxmlformats.org/drawingml/2006/picture">
                      <pic:pic>
                        <pic:nvPicPr>
                          <pic:cNvPr descr="06-efficiency_files/figure-docx/fig-asma-1.png" id="235" name="Picture"/>
                          <pic:cNvPicPr>
                            <a:picLocks noChangeArrowheads="1" noChangeAspect="1"/>
                          </pic:cNvPicPr>
                        </pic:nvPicPr>
                        <pic:blipFill>
                          <a:blip r:embed="rId2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6"/>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40" w:name="fig-asma-vs-traffic-volume"/>
          <w:p>
            <w:pPr>
              <w:pStyle w:val="Compact"/>
              <w:jc w:val="center"/>
            </w:pPr>
            <w:r>
              <w:drawing>
                <wp:inline>
                  <wp:extent cx="5334000" cy="4267200"/>
                  <wp:effectExtent b="0" l="0" r="0" t="0"/>
                  <wp:docPr descr="" title="" id="238" name="Picture"/>
                  <a:graphic>
                    <a:graphicData uri="http://schemas.openxmlformats.org/drawingml/2006/picture">
                      <pic:pic>
                        <pic:nvPicPr>
                          <pic:cNvPr descr="06-efficiency_files/figure-docx/fig-asma-vs-traffic-volume-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40"/>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the both region.</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41"/>
    <w:bookmarkStart w:id="242"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42"/>
    <w:bookmarkEnd w:id="243"/>
    <w:bookmarkStart w:id="289"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72"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47" w:name="fig-point-merge"/>
          <w:p>
            <w:pPr>
              <w:pStyle w:val="Compact"/>
              <w:jc w:val="center"/>
            </w:pPr>
            <w:r>
              <w:drawing>
                <wp:inline>
                  <wp:extent cx="2560320" cy="2098307"/>
                  <wp:effectExtent b="0" l="0" r="0" t="0"/>
                  <wp:docPr descr="" title="" id="245" name="Picture"/>
                  <a:graphic>
                    <a:graphicData uri="http://schemas.openxmlformats.org/drawingml/2006/picture">
                      <pic:pic>
                        <pic:nvPicPr>
                          <pic:cNvPr descr="./figures/Point%20Merge%20Structure.png" id="246" name="Picture"/>
                          <pic:cNvPicPr>
                            <a:picLocks noChangeArrowheads="1" noChangeAspect="1"/>
                          </pic:cNvPicPr>
                        </pic:nvPicPr>
                        <pic:blipFill>
                          <a:blip r:embed="rId244"/>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47"/>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51" w:name="fig-pms-sbgr-2019-2024"/>
          <w:p>
            <w:pPr>
              <w:pStyle w:val="Compact"/>
              <w:jc w:val="center"/>
            </w:pPr>
            <w:r>
              <w:drawing>
                <wp:inline>
                  <wp:extent cx="3561347" cy="2521818"/>
                  <wp:effectExtent b="0" l="0" r="0" t="0"/>
                  <wp:docPr descr="" title="" id="249" name="Picture"/>
                  <a:graphic>
                    <a:graphicData uri="http://schemas.openxmlformats.org/drawingml/2006/picture">
                      <pic:pic>
                        <pic:nvPicPr>
                          <pic:cNvPr descr="./figures/trajectory%202019_2024_SBGR.png" id="250" name="Picture"/>
                          <pic:cNvPicPr>
                            <a:picLocks noChangeArrowheads="1" noChangeAspect="1"/>
                          </pic:cNvPicPr>
                        </pic:nvPicPr>
                        <pic:blipFill>
                          <a:blip r:embed="rId248"/>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51"/>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4976261" cy="3455469"/>
                  <wp:effectExtent b="0" l="0" r="0" t="0"/>
                  <wp:docPr descr="LPPT runway 02 - before point-merge" title="" id="253" name="Picture"/>
                  <a:graphic>
                    <a:graphicData uri="http://schemas.openxmlformats.org/drawingml/2006/picture">
                      <pic:pic>
                        <pic:nvPicPr>
                          <pic:cNvPr descr="./figures/beforePMS_rwy02.png" id="254" name="Picture"/>
                          <pic:cNvPicPr>
                            <a:picLocks noChangeArrowheads="1" noChangeAspect="1"/>
                          </pic:cNvPicPr>
                        </pic:nvPicPr>
                        <pic:blipFill>
                          <a:blip r:embed="rId252"/>
                          <a:stretch>
                            <a:fillRect/>
                          </a:stretch>
                        </pic:blipFill>
                        <pic:spPr bwMode="auto">
                          <a:xfrm>
                            <a:off x="0" y="0"/>
                            <a:ext cx="4976261" cy="3455469"/>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4957010" cy="3551722"/>
                  <wp:effectExtent b="0" l="0" r="0" t="0"/>
                  <wp:docPr descr="- post point-merge deployment" title="" id="256" name="Picture"/>
                  <a:graphic>
                    <a:graphicData uri="http://schemas.openxmlformats.org/drawingml/2006/picture">
                      <pic:pic>
                        <pic:nvPicPr>
                          <pic:cNvPr descr="./figures/afterPMS_rwy02.png" id="257" name="Picture"/>
                          <pic:cNvPicPr>
                            <a:picLocks noChangeArrowheads="1" noChangeAspect="1"/>
                          </pic:cNvPicPr>
                        </pic:nvPicPr>
                        <pic:blipFill>
                          <a:blip r:embed="rId255"/>
                          <a:stretch>
                            <a:fillRect/>
                          </a:stretch>
                        </pic:blipFill>
                        <pic:spPr bwMode="auto">
                          <a:xfrm>
                            <a:off x="0" y="0"/>
                            <a:ext cx="4957010" cy="3551722"/>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5265018" cy="3647974"/>
                  <wp:effectExtent b="0" l="0" r="0" t="0"/>
                  <wp:docPr descr="LPPT runway 20 - before point-merge" title="" id="259" name="Picture"/>
                  <a:graphic>
                    <a:graphicData uri="http://schemas.openxmlformats.org/drawingml/2006/picture">
                      <pic:pic>
                        <pic:nvPicPr>
                          <pic:cNvPr descr="./figures/beforePMS_rwy20.png" id="260" name="Picture"/>
                          <pic:cNvPicPr>
                            <a:picLocks noChangeArrowheads="1" noChangeAspect="1"/>
                          </pic:cNvPicPr>
                        </pic:nvPicPr>
                        <pic:blipFill>
                          <a:blip r:embed="rId258"/>
                          <a:stretch>
                            <a:fillRect/>
                          </a:stretch>
                        </pic:blipFill>
                        <pic:spPr bwMode="auto">
                          <a:xfrm>
                            <a:off x="0" y="0"/>
                            <a:ext cx="5265018" cy="364797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5226517" cy="3715351"/>
                  <wp:effectExtent b="0" l="0" r="0" t="0"/>
                  <wp:docPr descr="- post point-merge deployment" title="" id="262" name="Picture"/>
                  <a:graphic>
                    <a:graphicData uri="http://schemas.openxmlformats.org/drawingml/2006/picture">
                      <pic:pic>
                        <pic:nvPicPr>
                          <pic:cNvPr descr="./figures/afterPMS_rwy20.png" id="263" name="Picture"/>
                          <pic:cNvPicPr>
                            <a:picLocks noChangeArrowheads="1" noChangeAspect="1"/>
                          </pic:cNvPicPr>
                        </pic:nvPicPr>
                        <pic:blipFill>
                          <a:blip r:embed="rId261"/>
                          <a:stretch>
                            <a:fillRect/>
                          </a:stretch>
                        </pic:blipFill>
                        <pic:spPr bwMode="auto">
                          <a:xfrm>
                            <a:off x="0" y="0"/>
                            <a:ext cx="5226517" cy="3715351"/>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67" w:name="fig-lppt-asma-monthly"/>
          <w:p>
            <w:pPr>
              <w:pStyle w:val="Compact"/>
              <w:jc w:val="center"/>
            </w:pPr>
            <w:r>
              <w:drawing>
                <wp:inline>
                  <wp:extent cx="5334000" cy="4267200"/>
                  <wp:effectExtent b="0" l="0" r="0" t="0"/>
                  <wp:docPr descr="" title="" id="265" name="Picture"/>
                  <a:graphic>
                    <a:graphicData uri="http://schemas.openxmlformats.org/drawingml/2006/picture">
                      <pic:pic>
                        <pic:nvPicPr>
                          <pic:cNvPr descr="09-studies_files/figure-docx/fig-lppt-asma-monthly-1.png" id="266" name="Picture"/>
                          <pic:cNvPicPr>
                            <a:picLocks noChangeArrowheads="1" noChangeAspect="1"/>
                          </pic:cNvPicPr>
                        </pic:nvPicPr>
                        <pic:blipFill>
                          <a:blip r:embed="rId2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sbgr-asma-monthly"/>
          <w:p>
            <w:pPr>
              <w:pStyle w:val="Compact"/>
              <w:jc w:val="center"/>
            </w:pPr>
            <w:r>
              <w:drawing>
                <wp:inline>
                  <wp:extent cx="5334000" cy="4267200"/>
                  <wp:effectExtent b="0" l="0" r="0" t="0"/>
                  <wp:docPr descr="" title="" id="269" name="Picture"/>
                  <a:graphic>
                    <a:graphicData uri="http://schemas.openxmlformats.org/drawingml/2006/picture">
                      <pic:pic>
                        <pic:nvPicPr>
                          <pic:cNvPr descr="09-studies_files/figure-docx/fig-sbgr-asma-monthly-1.png" id="270" name="Picture"/>
                          <pic:cNvPicPr>
                            <a:picLocks noChangeArrowheads="1" noChangeAspect="1"/>
                          </pic:cNvPicPr>
                        </pic:nvPicPr>
                        <pic:blipFill>
                          <a:blip r:embed="rId2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71"/>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Lisbonm,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72"/>
    <w:bookmarkStart w:id="287" w:name="Xd65a7dea772a3ad7bf7f354dcd576b8deed54d7"/>
    <w:p>
      <w:pPr>
        <w:pStyle w:val="Heading2"/>
      </w:pPr>
      <w:r>
        <w:t xml:space="preserve">7.2 Air Traffic Services at Curitiba and Lisbon Continental</w:t>
      </w:r>
    </w:p>
    <w:bookmarkStart w:id="281"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6" w:name="fig-bra-acc-tfc"/>
          <w:p>
            <w:pPr>
              <w:pStyle w:val="Compact"/>
              <w:jc w:val="center"/>
            </w:pPr>
            <w:r>
              <w:drawing>
                <wp:inline>
                  <wp:extent cx="4267200" cy="2860366"/>
                  <wp:effectExtent b="0" l="0" r="0" t="0"/>
                  <wp:docPr descr="" title="" id="274" name="Picture"/>
                  <a:graphic>
                    <a:graphicData uri="http://schemas.openxmlformats.org/drawingml/2006/picture">
                      <pic:pic>
                        <pic:nvPicPr>
                          <pic:cNvPr descr="./figures/traffic%20by%20FIR.png" id="275" name="Picture"/>
                          <pic:cNvPicPr>
                            <a:picLocks noChangeArrowheads="1" noChangeAspect="1"/>
                          </pic:cNvPicPr>
                        </pic:nvPicPr>
                        <pic:blipFill>
                          <a:blip r:embed="rId273"/>
                          <a:stretch>
                            <a:fillRect/>
                          </a:stretch>
                        </pic:blipFill>
                        <pic:spPr bwMode="auto">
                          <a:xfrm>
                            <a:off x="0" y="0"/>
                            <a:ext cx="4267200" cy="28603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6"/>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80" w:name="fig-ctb-northsouth"/>
          <w:p>
            <w:pPr>
              <w:pStyle w:val="Compact"/>
              <w:jc w:val="center"/>
            </w:pPr>
            <w:r>
              <w:drawing>
                <wp:inline>
                  <wp:extent cx="3849432" cy="3497739"/>
                  <wp:effectExtent b="0" l="0" r="0" t="0"/>
                  <wp:docPr descr="" title="" id="278" name="Picture"/>
                  <a:graphic>
                    <a:graphicData uri="http://schemas.openxmlformats.org/drawingml/2006/picture">
                      <pic:pic>
                        <pic:nvPicPr>
                          <pic:cNvPr descr="./figures/acc_ctb_northsouth.png" id="279" name="Picture"/>
                          <pic:cNvPicPr>
                            <a:picLocks noChangeArrowheads="1" noChangeAspect="1"/>
                          </pic:cNvPicPr>
                        </pic:nvPicPr>
                        <pic:blipFill>
                          <a:blip r:embed="rId277"/>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80"/>
        </w:tc>
      </w:tr>
    </w:tbl>
    <w:bookmarkEnd w:id="281"/>
    <w:bookmarkStart w:id="286" w:name="Xbe0cb98765cf6065020a9b48d4e5ebd94a0d9ae"/>
    <w:p>
      <w:pPr>
        <w:pStyle w:val="Heading3"/>
      </w:pPr>
      <w:r>
        <w:t xml:space="preserve">7.2.2 Center-level comparision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5" w:name="fig-HLC-Curitiba-Lisbon"/>
          <w:p>
            <w:pPr>
              <w:pStyle w:val="Compact"/>
              <w:jc w:val="center"/>
            </w:pPr>
            <w:r>
              <w:drawing>
                <wp:inline>
                  <wp:extent cx="5227320" cy="781493"/>
                  <wp:effectExtent b="0" l="0" r="0" t="0"/>
                  <wp:docPr descr="" title="" id="283" name="Picture"/>
                  <a:graphic>
                    <a:graphicData uri="http://schemas.openxmlformats.org/drawingml/2006/picture">
                      <pic:pic>
                        <pic:nvPicPr>
                          <pic:cNvPr descr="./figures/comp_acc.png" id="284" name="Picture"/>
                          <pic:cNvPicPr>
                            <a:picLocks noChangeArrowheads="1" noChangeAspect="1"/>
                          </pic:cNvPicPr>
                        </pic:nvPicPr>
                        <pic:blipFill>
                          <a:blip r:embed="rId282"/>
                          <a:stretch>
                            <a:fillRect/>
                          </a:stretch>
                        </pic:blipFill>
                        <pic:spPr bwMode="auto">
                          <a:xfrm>
                            <a:off x="0" y="0"/>
                            <a:ext cx="5227320" cy="7814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5"/>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6"/>
    <w:bookmarkEnd w:id="287"/>
    <w:bookmarkStart w:id="288"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88"/>
    <w:bookmarkEnd w:id="289"/>
    <w:bookmarkStart w:id="290" w:name="conclusions"/>
    <w:p>
      <w:pPr>
        <w:pStyle w:val="Heading1"/>
      </w:pPr>
      <w:r>
        <w:t xml:space="preserve">8. Conclusions</w:t>
      </w:r>
    </w:p>
    <w:p>
      <w:pPr>
        <w:pStyle w:val="FirstParagraph"/>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are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90"/>
    <w:bookmarkStart w:id="298" w:name="references"/>
    <w:p>
      <w:pPr>
        <w:pStyle w:val="Heading1"/>
      </w:pPr>
      <w:r>
        <w:t xml:space="preserve">References</w:t>
      </w:r>
    </w:p>
    <w:bookmarkStart w:id="297" w:name="refs"/>
    <w:bookmarkStart w:id="292"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91">
        <w:r>
          <w:rPr>
            <w:rStyle w:val="Hyperlink"/>
          </w:rPr>
          <w:t xml:space="preserve">https://www.eurocontrol.int/publication/eurocontrol-specification-operational-ans-performance-monitoring</w:t>
        </w:r>
      </w:hyperlink>
      <w:r>
        <w:t xml:space="preserve">.</w:t>
      </w:r>
    </w:p>
    <w:bookmarkEnd w:id="292"/>
    <w:bookmarkStart w:id="294"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93">
        <w:r>
          <w:rPr>
            <w:rStyle w:val="Hyperlink"/>
          </w:rPr>
          <w:t xml:space="preserve">https://www.eurocontrol.int/publication/all-causes-delays-air-transport-europe-annual-2022</w:t>
        </w:r>
      </w:hyperlink>
      <w:r>
        <w:t xml:space="preserve">.</w:t>
      </w:r>
    </w:p>
    <w:bookmarkEnd w:id="294"/>
    <w:bookmarkStart w:id="295"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5"/>
    <w:bookmarkStart w:id="296"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6"/>
    <w:bookmarkEnd w:id="297"/>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2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1">
    <w:p>
      <w:pPr>
        <w:pStyle w:val="FootnoteText"/>
      </w:pPr>
      <w:r>
        <w:rPr>
          <w:rStyle w:val="FootnoteReference"/>
        </w:rPr>
        <w:footnoteRef/>
      </w:r>
      <w:r>
        <w:t xml:space="preserve"> </w:t>
      </w:r>
      <w:r>
        <w:t xml:space="preserve">Enhanced Traffic Flow Management System</w:t>
      </w:r>
    </w:p>
  </w:footnote>
  <w:footnote w:id="143">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244" Target="media/rId244.png" /><Relationship Type="http://schemas.openxmlformats.org/officeDocument/2006/relationships/image" Id="rId44" Target="media/rId44.png" /><Relationship Type="http://schemas.openxmlformats.org/officeDocument/2006/relationships/image" Id="rId277" Target="media/rId277.png" /><Relationship Type="http://schemas.openxmlformats.org/officeDocument/2006/relationships/image" Id="rId255" Target="media/rId255.png" /><Relationship Type="http://schemas.openxmlformats.org/officeDocument/2006/relationships/image" Id="rId261" Target="media/rId261.png" /><Relationship Type="http://schemas.openxmlformats.org/officeDocument/2006/relationships/image" Id="rId252" Target="media/rId252.png" /><Relationship Type="http://schemas.openxmlformats.org/officeDocument/2006/relationships/image" Id="rId258" Target="media/rId258.png" /><Relationship Type="http://schemas.openxmlformats.org/officeDocument/2006/relationships/image" Id="rId282" Target="media/rId282.png" /><Relationship Type="http://schemas.openxmlformats.org/officeDocument/2006/relationships/image" Id="rId27" Target="media/rId27.png" /><Relationship Type="http://schemas.openxmlformats.org/officeDocument/2006/relationships/image" Id="rId273" Target="media/rId273.png" /><Relationship Type="http://schemas.openxmlformats.org/officeDocument/2006/relationships/image" Id="rId248" Target="media/rId248.png" /><Relationship Type="http://schemas.openxmlformats.org/officeDocument/2006/relationships/image" Id="rId77" Target="media/rId7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95" Target="media/rId95.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35" Target="media/rId135.png" /><Relationship Type="http://schemas.openxmlformats.org/officeDocument/2006/relationships/image" Id="rId153" Target="media/rId153.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164" Target="media/rId164.png" /><Relationship Type="http://schemas.openxmlformats.org/officeDocument/2006/relationships/image" Id="rId183" Target="media/rId183.png" /><Relationship Type="http://schemas.openxmlformats.org/officeDocument/2006/relationships/image" Id="rId178" Target="media/rId178.png" /><Relationship Type="http://schemas.openxmlformats.org/officeDocument/2006/relationships/image" Id="rId168" Target="media/rId16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222" Target="media/rId222.png" /><Relationship Type="http://schemas.openxmlformats.org/officeDocument/2006/relationships/image" Id="rId218" Target="media/rId218.png" /><Relationship Type="http://schemas.openxmlformats.org/officeDocument/2006/relationships/image" Id="rId228" Target="media/rId228.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187" Target="media/rId187.png" /><Relationship Type="http://schemas.openxmlformats.org/officeDocument/2006/relationships/image" Id="rId21" Target="media/rId21.png" /><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2025-05-26T06:37:59Z</dcterms:created>
  <dcterms:modified xsi:type="dcterms:W3CDTF">2025-05-26T06:37:59Z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2025-05-26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