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59.png" ContentType="image/png"/>
  <Override PartName="/word/media/rId66.png" ContentType="image/png"/>
  <Override PartName="/word/media/rId30.png" ContentType="image/png"/>
  <Override PartName="/word/media/rId47.png" ContentType="image/png"/>
  <Override PartName="/word/media/rId63.png" ContentType="image/png"/>
  <Override PartName="/word/media/rId83.png" ContentType="image/png"/>
  <Override PartName="/word/media/rId77.png" ContentType="image/png"/>
  <Override PartName="/word/media/rId103.png" ContentType="image/png"/>
  <Override PartName="/word/media/rId93.png" ContentType="image/png"/>
  <Override PartName="/word/media/rId124.png" ContentType="image/png"/>
  <Override PartName="/word/media/rId128.png" ContentType="image/png"/>
  <Override PartName="/word/media/rId97.png" ContentType="image/png"/>
  <Override PartName="/word/media/rId115.png" ContentType="image/png"/>
  <Override PartName="/word/media/rId111.png" ContentType="image/png"/>
  <Override PartName="/word/media/rId90.png" ContentType="image/png"/>
  <Override PartName="/word/media/rId138.png" ContentType="image/png"/>
  <Override PartName="/word/media/rId169.png" ContentType="image/png"/>
  <Override PartName="/word/media/rId163.png" ContentType="image/png"/>
  <Override PartName="/word/media/rId182.png" ContentType="image/png"/>
  <Override PartName="/word/media/rId174.png" ContentType="image/png"/>
  <Override PartName="/word/media/rId178.png" ContentType="image/png"/>
  <Override PartName="/word/media/rId149.png" ContentType="image/png"/>
  <Override PartName="/word/media/rId153.png" ContentType="image/png"/>
  <Override PartName="/word/media/rId186.png" ContentType="image/png"/>
  <Override PartName="/word/media/rId143.png" ContentType="image/png"/>
  <Override PartName="/word/media/rId146.png" ContentType="image/png"/>
  <Override PartName="/word/media/rId157.png" ContentType="image/png"/>
  <Override PartName="/word/media/rId160.png" ContentType="image/png"/>
  <Override PartName="/word/media/rId199.png" ContentType="image/png"/>
  <Override PartName="/word/media/rId205.png" ContentType="image/png"/>
  <Override PartName="/word/media/rId238.jpg" ContentType="image/jpeg"/>
  <Override PartName="/word/media/rId211.png" ContentType="image/png"/>
  <Override PartName="/word/media/rId214.png" ContentType="image/png"/>
  <Override PartName="/word/media/rId223.png" ContentType="image/png"/>
  <Override PartName="/word/media/rId226.png" ContentType="image/png"/>
  <Override PartName="/word/media/rId232.png" ContentType="image/png"/>
  <Override PartName="/word/media/rId229.png" ContentType="image/png"/>
  <Override PartName="/word/media/rId220.png" ContentType="image/png"/>
  <Override PartName="/word/media/rId217.png" ContentType="image/png"/>
  <Override PartName="/word/media/rId21.png" ContentType="image/png"/>
  <Override PartName="/word/media/rId24.png" ContentType="image/png"/>
  <Override PartName="/word/media/rId235.png" ContentType="image/png"/>
  <Override PartName="/word/media/rId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2025-04-18</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and best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t xml:space="preserve"> </w:t>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7" w:name="foreword"/>
    <w:p>
      <w:pPr>
        <w:pStyle w:val="Heading1"/>
      </w:pPr>
      <w:r>
        <w:t xml:space="preserve">Foreword</w:t>
      </w:r>
    </w:p>
    <w:tbl>
      <w:tblPr>
        <w:tblStyle w:val="Table"/>
        <w:tblW w:type="pct" w:w="5000"/>
        <w:tblLook w:firstRow="0" w:lastRow="0" w:firstColumn="0" w:lastColumn="0" w:noHBand="0" w:noVBand="0" w:val="0000"/>
        <w:jc w:val="start"/>
        <w:tblLayout w:type="fixed"/>
      </w:tblPr>
      <w:tblGrid>
        <w:gridCol w:w="7920"/>
      </w:tblGrid>
      <w:tr>
        <w:tc>
          <w:tcPr/>
          <w:p>
            <w:pPr>
              <w:jc w:val="center"/>
            </w:pPr>
            <w:r>
              <w:drawing>
                <wp:inline>
                  <wp:extent cx="5334000" cy="1692203"/>
                  <wp:effectExtent b="0" l="0" r="0" t="0"/>
                  <wp:docPr descr="" title="" id="22" name="Picture"/>
                  <a:graphic>
                    <a:graphicData uri="http://schemas.openxmlformats.org/drawingml/2006/picture">
                      <pic:pic>
                        <pic:nvPicPr>
                          <pic:cNvPr descr="figures/foreword-alcides.png" id="23" name="Picture"/>
                          <pic:cNvPicPr>
                            <a:picLocks noChangeArrowheads="1" noChangeAspect="1"/>
                          </pic:cNvPicPr>
                        </pic:nvPicPr>
                        <pic:blipFill>
                          <a:blip r:embed="rId21"/>
                          <a:stretch>
                            <a:fillRect/>
                          </a:stretch>
                        </pic:blipFill>
                        <pic:spPr bwMode="auto">
                          <a:xfrm>
                            <a:off x="0" y="0"/>
                            <a:ext cx="5334000" cy="1692203"/>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7920"/>
      </w:tblGrid>
      <w:tr>
        <w:tc>
          <w:tcPr/>
          <w:p>
            <w:pPr>
              <w:jc w:val="left"/>
            </w:pPr>
            <w:r>
              <w:t xml:space="preserve">$$\\[0.5in]$$</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7920"/>
      </w:tblGrid>
      <w:tr>
        <w:tc>
          <w:tcPr/>
          <w:p>
            <w:pPr>
              <w:jc w:val="center"/>
            </w:pPr>
            <w:r>
              <w:drawing>
                <wp:inline>
                  <wp:extent cx="5334000" cy="1981012"/>
                  <wp:effectExtent b="0" l="0" r="0" t="0"/>
                  <wp:docPr descr="" title="" id="25" name="Picture"/>
                  <a:graphic>
                    <a:graphicData uri="http://schemas.openxmlformats.org/drawingml/2006/picture">
                      <pic:pic>
                        <pic:nvPicPr>
                          <pic:cNvPr descr="figures/foreword-peter.png" id="26" name="Picture"/>
                          <pic:cNvPicPr>
                            <a:picLocks noChangeArrowheads="1" noChangeAspect="1"/>
                          </pic:cNvPicPr>
                        </pic:nvPicPr>
                        <pic:blipFill>
                          <a:blip r:embed="rId24"/>
                          <a:stretch>
                            <a:fillRect/>
                          </a:stretch>
                        </pic:blipFill>
                        <pic:spPr bwMode="auto">
                          <a:xfrm>
                            <a:off x="0" y="0"/>
                            <a:ext cx="5334000" cy="1981012"/>
                          </a:xfrm>
                          <a:prstGeom prst="rect">
                            <a:avLst/>
                          </a:prstGeom>
                          <a:noFill/>
                          <a:ln w="9525">
                            <a:noFill/>
                            <a:headEnd/>
                            <a:tailEnd/>
                          </a:ln>
                        </pic:spPr>
                      </pic:pic>
                    </a:graphicData>
                  </a:graphic>
                </wp:inline>
              </w:drawing>
            </w:r>
          </w:p>
        </w:tc>
      </w:tr>
    </w:tbl>
    <w:bookmarkEnd w:id="27"/>
    <w:bookmarkStart w:id="34"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at</w:t>
      </w:r>
      <w:r>
        <w:t xml:space="preserve"> </w:t>
      </w:r>
      <w:r>
        <w:t xml:space="preserve">*</w:t>
      </w:r>
      <w:r>
        <w:t xml:space="preserve"> </w:t>
      </w:r>
      <w:hyperlink r:id="rId28">
        <w:r>
          <w:rPr>
            <w:rStyle w:val="Hyperlink"/>
          </w:rPr>
          <w:t xml:space="preserve">https://ansperformance.eu/global/brazil</w:t>
        </w:r>
      </w:hyperlink>
      <w:r>
        <w:t xml:space="preserve"> </w:t>
      </w:r>
      <w:r>
        <w:t xml:space="preserve">or</w:t>
      </w:r>
      <w:r>
        <w:t xml:space="preserve"> </w:t>
      </w:r>
      <w:r>
        <w:t xml:space="preserve">*</w:t>
      </w:r>
      <w:r>
        <w:t xml:space="preserve"> </w:t>
      </w:r>
      <w:hyperlink r:id="rId29">
        <w:r>
          <w:rPr>
            <w:rStyle w:val="Hyperlink"/>
          </w:rPr>
          <w:t xml:space="preserve">https://performance.decea.mil.br/</w:t>
        </w:r>
      </w:hyperlink>
      <w:r>
        <w:t xml:space="preserve">.</w:t>
      </w:r>
    </w:p>
    <w:p>
      <w:pPr>
        <w:pStyle w:val="BodyText"/>
      </w:pPr>
      <w:r>
        <w:t xml:space="preserve">This report revises the assessment of both the Brazilian and European air navigation systems, extending the time frame and incorporating additional analyses.</w:t>
      </w:r>
    </w:p>
    <w:p>
      <w:pPr>
        <w:pStyle w:val="BodyText"/>
      </w:pPr>
      <w:r>
        <w:t xml:space="preserve">more clever text …such as point merge system and a short Curitiba and Lisbon ACC comparison</w:t>
      </w:r>
    </w:p>
    <w:p>
      <w:pPr>
        <w:pStyle w:val="BodyText"/>
      </w:pPr>
      <w:r>
        <w:t xml:space="preserve">The report strongly focuses on a subset of the eleven Key Performance Areas identified by the ICAO Global Air Navigation Plan.</w:t>
      </w:r>
      <w:r>
        <w:t xml:space="preserve"> </w:t>
      </w:r>
      <w:r>
        <w:t xml:space="preserve">The focus of this report is on operational air navigation system performance,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3" w:name="fig-scope-KPAs-KPIs"/>
          <w:p>
            <w:pPr>
              <w:pStyle w:val="Compact"/>
              <w:jc w:val="center"/>
            </w:pPr>
            <w:r>
              <w:drawing>
                <wp:inline>
                  <wp:extent cx="3200400" cy="1685893"/>
                  <wp:effectExtent b="0" l="0" r="0" t="0"/>
                  <wp:docPr descr="" title="" id="31" name="Picture"/>
                  <a:graphic>
                    <a:graphicData uri="http://schemas.openxmlformats.org/drawingml/2006/picture">
                      <pic:pic>
                        <pic:nvPicPr>
                          <pic:cNvPr descr="./figures/scope-KPA-and-KPI.png" id="32" name="Picture"/>
                          <pic:cNvPicPr>
                            <a:picLocks noChangeArrowheads="1" noChangeAspect="1"/>
                          </pic:cNvPicPr>
                        </pic:nvPicPr>
                        <pic:blipFill>
                          <a:blip r:embed="rId30"/>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3"/>
        </w:tc>
      </w:tr>
    </w:tbl>
    <w:p>
      <w:pPr>
        <w:pStyle w:val="BodyText"/>
      </w:pPr>
      <w:r>
        <w:t xml:space="preserve">The comparison shows similarities and differences in the air navigation service provision and observed performance in both regions. Major take-aways of this report include:</w:t>
      </w:r>
    </w:p>
    <w:p>
      <w:pPr>
        <w:numPr>
          <w:ilvl w:val="0"/>
          <w:numId w:val="1001"/>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1"/>
        </w:numPr>
        <w:pStyle w:val="Compact"/>
      </w:pPr>
      <w:r>
        <w:t xml:space="preserve">Brazil saw a rise in the ATCOs number, whereas Europe observed a considerable decrease, highlighting a substantial contrast in the systems’ responsiveness to the challenges of COVID/re-emerging demand for air traffic.</w:t>
      </w:r>
    </w:p>
    <w:p>
      <w:pPr>
        <w:numPr>
          <w:ilvl w:val="0"/>
          <w:numId w:val="1001"/>
        </w:numPr>
        <w:pStyle w:val="Compact"/>
      </w:pPr>
      <w:r>
        <w:t xml:space="preserve">In 2022, the commercial flight distribution reveals that a smaller number of airports manage 80% of commercial takeoffs, with Brazil showing a slightly greater concentration compared to Europe.</w:t>
      </w:r>
      <w:r>
        <w:t xml:space="preserve"> </w:t>
      </w:r>
    </w:p>
    <w:p>
      <w:pPr>
        <w:numPr>
          <w:ilvl w:val="0"/>
          <w:numId w:val="1001"/>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2019 to 2022. Conversely, the documented challenges of European airports in coping with the recovering traffic demand in 2022 highlighted the repercussions of their lower preparedness levels.</w:t>
      </w:r>
    </w:p>
    <w:p>
      <w:pPr>
        <w:numPr>
          <w:ilvl w:val="0"/>
          <w:numId w:val="1001"/>
        </w:numPr>
        <w:pStyle w:val="Compact"/>
      </w:pPr>
      <w:r>
        <w:t xml:space="preserve">The recorded throughput at Brazilian airports exhibited less variability amid the pandemic, indicating a sustained demand concentration during peak operational hours. In the European context, innovative operational ideas present the most substantial potential for growth, considering the existing runway systems and associated capacities, which set an upper limit.</w:t>
      </w:r>
    </w:p>
    <w:p>
      <w:pPr>
        <w:numPr>
          <w:ilvl w:val="0"/>
          <w:numId w:val="1001"/>
        </w:numPr>
        <w:pStyle w:val="Compact"/>
      </w:pPr>
      <w:r>
        <w:t xml:space="preserve">The fresh dataset for Brazil reaffirmed past patterns regarding the extra time spent in terminal airspace. Typically, arrival sequencing and limited capacity lead to extended times during the arrival phase. In Europe, reduced air traffic translated to less strain on arrival sequencing. Yet, the notable rise from 2021 to 2022 in multiple airports implies that constraints and heightened sequencing might resurface as demand increases.</w:t>
      </w:r>
    </w:p>
    <w:p>
      <w:pPr>
        <w:pStyle w:val="FirstParagraph"/>
      </w:pPr>
      <w:r>
        <w:t xml:space="preserve">This report will be updated throughout the coming years under the umbrella of the DECEA-EUROCONTROL memorandum of cooperation. It is also planned to establish a web-based rolling monitoring updated on a regular basis.</w:t>
      </w:r>
    </w:p>
    <w:p>
      <w:pPr>
        <w:pStyle w:val="BodyText"/>
      </w:pPr>
      <w:r>
        <w:t xml:space="preserve">Future editions will complement the data time series and support the development of further use-case analyses. The lessons learnt of this joint project will be coordinated with the multi-national Performance Benchmarking Working Group (PBWG) and the ICAO GANP Study sub-group concerned with the further development of the GANP Key Performance Indicators (KPIs).</w:t>
      </w:r>
    </w:p>
    <w:bookmarkEnd w:id="34"/>
    <w:bookmarkStart w:id="57" w:name="introduction"/>
    <w:p>
      <w:pPr>
        <w:pStyle w:val="Heading1"/>
      </w:pPr>
      <w:r>
        <w:t xml:space="preserve">1. Introduction</w:t>
      </w:r>
    </w:p>
    <w:bookmarkStart w:id="35"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tigher collaboration between Brazil and Europe, DECEA and EUROCONTROL signed a cooperation agreement in 2015.</w:t>
      </w:r>
      <w:r>
        <w:t xml:space="preserve"> </w:t>
      </w:r>
      <w:r>
        <w:t xml:space="preserve">This agreement encompasses various activities, most notably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prepartory process, and supporting analyses to produce this report or contribute to the aforementioned international activities.</w:t>
      </w:r>
      <w:r>
        <w:br/>
      </w:r>
      <w:r>
        <w:t xml:space="preserve">This report represents the third edition of joint comparisons between Brazil and Europe.</w:t>
      </w:r>
    </w:p>
    <w:bookmarkEnd w:id="35"/>
    <w:bookmarkStart w:id="37" w:name="performance-areas"/>
    <w:p>
      <w:pPr>
        <w:pStyle w:val="Heading2"/>
      </w:pPr>
      <w:r>
        <w:t xml:space="preserve">1.2 Performance Areas</w:t>
      </w:r>
    </w:p>
    <w:p>
      <w:pPr>
        <w:pStyle w:val="FirstParagraph"/>
      </w:pPr>
      <w:r>
        <w:t xml:space="preserve">Establishing shared definitions and a mutual understanding is essential to facilitate comparisons and operational benchmarking activities.</w:t>
      </w:r>
      <w:r>
        <w:t xml:space="preserve"> </w:t>
      </w:r>
      <w:r>
        <w:t xml:space="preserve">Therefore, the groundwork presented in this report is rooted in commonly accepted findings from prior work conducted by ICAO, other regional or multi-regional operational benchmarking initiatives (e.g., PBWG</w:t>
      </w:r>
      <w:r>
        <w:t xml:space="preserve"> </w:t>
      </w:r>
      <w:r>
        <w:rPr>
          <w:rStyle w:val="FootnoteReference"/>
        </w:rPr>
        <w:footnoteReference w:id="36"/>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outlined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Future work may also include aspects of cost-effectiveness.</w:t>
      </w:r>
    </w:p>
    <w:bookmarkEnd w:id="37"/>
    <w:bookmarkStart w:id="53"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by coordinating and furnishing human resources and technical equipment to all air traffic units operating within Brazilian territory.</w:t>
      </w:r>
      <w:r>
        <w:t xml:space="preserve"> </w:t>
      </w:r>
      <w:r>
        <w:t xml:space="preserve">This collaboration ensures air traffic safety while contributing to military defence efforts.</w:t>
      </w:r>
    </w:p>
    <w:p>
      <w:pPr>
        <w:pStyle w:val="BodyText"/>
      </w:pPr>
      <w:r>
        <w:t xml:space="preserve">DECEA is the cornerstone of the Brazilian Airspace Control System (SISCEAB).</w:t>
      </w:r>
      <w:r>
        <w:t xml:space="preserve"> </w:t>
      </w:r>
      <w:r>
        <w:t xml:space="preserve">This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1" w:name="fig-BRA-airspace"/>
          <w:p>
            <w:pPr>
              <w:pStyle w:val="Compact"/>
              <w:jc w:val="center"/>
            </w:pPr>
            <w:r>
              <w:drawing>
                <wp:inline>
                  <wp:extent cx="5334000" cy="3026111"/>
                  <wp:effectExtent b="0" l="0" r="0" t="0"/>
                  <wp:docPr descr="" title="" id="39" name="Picture"/>
                  <a:graphic>
                    <a:graphicData uri="http://schemas.openxmlformats.org/drawingml/2006/picture">
                      <pic:pic>
                        <pic:nvPicPr>
                          <pic:cNvPr descr="./figures/BRAZIL_CINDACTA_AND_CRCEA.png" id="40" name="Picture"/>
                          <pic:cNvPicPr>
                            <a:picLocks noChangeArrowheads="1" noChangeAspect="1"/>
                          </pic:cNvPicPr>
                        </pic:nvPicPr>
                        <pic:blipFill>
                          <a:blip r:embed="rId38"/>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41"/>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5" w:name="fig-EUR-airspace"/>
          <w:p>
            <w:pPr>
              <w:pStyle w:val="Compact"/>
              <w:jc w:val="center"/>
            </w:pPr>
            <w:r>
              <w:drawing>
                <wp:inline>
                  <wp:extent cx="5334000" cy="4503009"/>
                  <wp:effectExtent b="0" l="0" r="0" t="0"/>
                  <wp:docPr descr="" title="" id="43" name="Picture"/>
                  <a:graphic>
                    <a:graphicData uri="http://schemas.openxmlformats.org/drawingml/2006/picture">
                      <pic:pic>
                        <pic:nvPicPr>
                          <pic:cNvPr descr="./figures/Europe-ECTRL.png" id="44" name="Picture"/>
                          <pic:cNvPicPr>
                            <a:picLocks noChangeArrowheads="1" noChangeAspect="1"/>
                          </pic:cNvPicPr>
                        </pic:nvPicPr>
                        <pic:blipFill>
                          <a:blip r:embed="rId42"/>
                          <a:stretch>
                            <a:fillRect/>
                          </a:stretch>
                        </pic:blipFill>
                        <pic:spPr bwMode="auto">
                          <a:xfrm>
                            <a:off x="0" y="0"/>
                            <a:ext cx="5334000" cy="45030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5"/>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be successively fully integrated into the working structures of EUROCONTROL, including performance monitoring.</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unit in Europe at the time being.</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manage and service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51"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Rome Fiumicino (LIRF)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6"/>
        </w:tc>
      </w:tr>
    </w:tbl>
    <w:tbl>
      <w:tblPr>
        <w:tblStyle w:val="Table"/>
        <w:tblW w:type="pct" w:w="5000"/>
        <w:tblLook w:firstRow="0" w:lastRow="0" w:firstColumn="0" w:lastColumn="0" w:noHBand="0" w:noVBand="0" w:val="0000"/>
        <w:jc w:val="start"/>
        <w:tblLayout w:type="fixed"/>
      </w:tblPr>
      <w:tblGrid>
        <w:gridCol w:w="7920"/>
      </w:tblGrid>
      <w:tr>
        <w:tc>
          <w:tcPr/>
          <w:bookmarkStart w:id="50" w:name="fig-scope-airports"/>
          <w:p>
            <w:pPr>
              <w:pStyle w:val="Compact"/>
              <w:jc w:val="center"/>
            </w:pPr>
            <w:r>
              <w:drawing>
                <wp:inline>
                  <wp:extent cx="4800600" cy="2966620"/>
                  <wp:effectExtent b="0" l="0" r="0" t="0"/>
                  <wp:docPr descr="" title="" id="48" name="Picture"/>
                  <a:graphic>
                    <a:graphicData uri="http://schemas.openxmlformats.org/drawingml/2006/picture">
                      <pic:pic>
                        <pic:nvPicPr>
                          <pic:cNvPr descr="./figures/scope-airports.png" id="49" name="Picture"/>
                          <pic:cNvPicPr>
                            <a:picLocks noChangeArrowheads="1" noChangeAspect="1"/>
                          </pic:cNvPicPr>
                        </pic:nvPicPr>
                        <pic:blipFill>
                          <a:blip r:embed="rId47"/>
                          <a:stretch>
                            <a:fillRect/>
                          </a:stretch>
                        </pic:blipFill>
                        <pic:spPr bwMode="auto">
                          <a:xfrm>
                            <a:off x="0" y="0"/>
                            <a:ext cx="4800600" cy="2966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50"/>
        </w:tc>
      </w:tr>
    </w:tbl>
    <w:bookmarkEnd w:id="51"/>
    <w:bookmarkStart w:id="52" w:name="temporal-scope"/>
    <w:p>
      <w:pPr>
        <w:pStyle w:val="Heading3"/>
      </w:pPr>
      <w:r>
        <w:t xml:space="preserve">1.3.2 Temporal Scope</w:t>
      </w:r>
    </w:p>
    <w:p>
      <w:pPr>
        <w:pStyle w:val="FirstParagraph"/>
      </w:pPr>
      <w:r>
        <w:t xml:space="preserve">This report focuses on the period from January 2019 to December 2024.</w:t>
      </w:r>
      <w:r>
        <w:t xml:space="preserve"> </w:t>
      </w:r>
      <w:r>
        <w:t xml:space="preserve">With this report, the focus is on building a timeline with comparable data to be augmented in future editions.</w:t>
      </w:r>
    </w:p>
    <w:p>
      <w:pPr>
        <w:pStyle w:val="BodyText"/>
      </w:pPr>
      <w:r>
        <w:t xml:space="preserve">Throughout the report, summary statistics will be given with reference to calendar years of this comparison study.</w:t>
      </w:r>
    </w:p>
    <w:bookmarkEnd w:id="52"/>
    <w:bookmarkEnd w:id="53"/>
    <w:bookmarkStart w:id="55"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4"/>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5"/>
    <w:bookmarkStart w:id="56"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2"/>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2"/>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2"/>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2"/>
        </w:numPr>
        <w:pStyle w:val="Compact"/>
      </w:pPr>
      <w:r>
        <w:rPr>
          <w:bCs/>
          <w:b/>
        </w:rPr>
        <w:t xml:space="preserve">Predictability</w:t>
      </w:r>
      <w:r>
        <w:t xml:space="preserve"> </w:t>
      </w:r>
      <w:r>
        <w:t xml:space="preserve">observed arrival and departure punctuality;</w:t>
      </w:r>
    </w:p>
    <w:p>
      <w:pPr>
        <w:numPr>
          <w:ilvl w:val="0"/>
          <w:numId w:val="1002"/>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2"/>
        </w:numPr>
        <w:pStyle w:val="Compact"/>
      </w:pPr>
      <w:r>
        <w:rPr>
          <w:bCs/>
          <w:b/>
        </w:rPr>
        <w:t xml:space="preserve">Efficiency</w:t>
      </w:r>
      <w:r>
        <w:t xml:space="preserve"> </w:t>
      </w:r>
      <w:r>
        <w:t xml:space="preserve">analysis of taxi-in, taxi-out, and terminal airspace operations; and</w:t>
      </w:r>
    </w:p>
    <w:p>
      <w:pPr>
        <w:numPr>
          <w:ilvl w:val="0"/>
          <w:numId w:val="1002"/>
        </w:numPr>
        <w:pStyle w:val="Compact"/>
      </w:pPr>
      <w:r>
        <w:rPr>
          <w:bCs/>
          <w:b/>
        </w:rPr>
        <w:t xml:space="preserve">Conclusions</w:t>
      </w:r>
      <w:r>
        <w:t xml:space="preserve"> </w:t>
      </w:r>
      <w:r>
        <w:t xml:space="preserve">summary of this report and associated conclusions; and next steps.</w:t>
      </w:r>
    </w:p>
    <w:p>
      <w:pPr>
        <w:pStyle w:val="FirstParagraph"/>
      </w:pPr>
      <w:r>
        <w:t xml:space="preserve">:::</w:t>
      </w:r>
      <w:r>
        <w:t xml:space="preserve"> </w:t>
      </w:r>
      <w:r>
        <w:t xml:space="preserve">point merge and ACC CTB LIS comparison??????</w:t>
      </w:r>
      <w:r>
        <w:t xml:space="preserve"> </w:t>
      </w:r>
      <w:r>
        <w:t xml:space="preserve">:::</w:t>
      </w:r>
    </w:p>
    <w:bookmarkEnd w:id="56"/>
    <w:bookmarkEnd w:id="57"/>
    <w:bookmarkStart w:id="76" w:name="air-navigation-system-characterisation"/>
    <w:p>
      <w:pPr>
        <w:pStyle w:val="Heading1"/>
      </w:pPr>
      <w:r>
        <w:t xml:space="preserve">2. Air Navigation System Characterisation</w:t>
      </w:r>
    </w:p>
    <w:p>
      <w:pPr>
        <w:pStyle w:val="FirstParagraph"/>
      </w:pPr>
      <w:r>
        <w:t xml:space="preserve">What come here is referring to 2024.</w:t>
      </w:r>
    </w:p>
    <w:p>
      <w:pPr>
        <w:pStyle w:val="BodyText"/>
      </w:pPr>
      <w:r>
        <w:t xml:space="preserve">This section presents key characteristics of the air navigation systems of Brazil and Europe. In broad strokes, the provision of air navigation services in both regions relies on similar operational concepts, procedures, and supporting technology. Nonetheless, there are several distinctions between the two systems, which help to account for the similarities and differences in key performance indicators documented in this report.</w:t>
      </w:r>
    </w:p>
    <w:bookmarkStart w:id="58" w:name="organisation-of-air-navigation-services"/>
    <w:p>
      <w:pPr>
        <w:pStyle w:val="Heading2"/>
      </w:pPr>
      <w:r>
        <w:t xml:space="preserve">2.1 Organisation of Air Navigation Services</w:t>
      </w:r>
    </w:p>
    <w:p>
      <w:pPr>
        <w:pStyle w:val="FirstParagraph"/>
      </w:pPr>
      <w:r>
        <w:t xml:space="preserve">One of the major difference between the air navigation systems of Brazil and Europe is the respective organisational structure. In Brazil, a single entity serves as the primary air navigation services provider, i.e. the Department of Airspace Control (DECEA). 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 Its mission encompasses the management and control of all air traffic within the sovereign Brazilian airspace, with a significant emphasis on contributing to national defence efforts. To achieve this, DECEA operates a comprehensive and fully integrated civil-military system.</w:t>
      </w:r>
    </w:p>
    <w:p>
      <w:pPr>
        <w:pStyle w:val="BodyText"/>
      </w:pPr>
      <w:r>
        <w:t xml:space="preserve">In 2021, a public company, NAV Brasil, was created to take over some facilities that were linked to an old airport infrastructure provider company in Brazil (INFRAERO). Today, this company has 1698 employees in 44 different units, providing aerodrome control services, nonradar approach, meteorology and aeronautical information for these locations. Despite having important numbers,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 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 When it comes to the provision of air traffic services, the European approach involves a multitude of service providers, with 37 distinct en-route Air Navigation Service Providers (ANSPs), each responsible for different geographical regions. These services are primarily organised along state boundaries and FIR (Flight Information Region) borders, with limited cross-border agreements in place between adjacent airspaces and air traffic service units.</w:t>
      </w:r>
    </w:p>
    <w:p>
      <w:pPr>
        <w:pStyle w:val="BodyText"/>
      </w:pPr>
      <w:r>
        <w:t xml:space="preserve">A noteworthy exception to this predominantly national approach is the Maastricht Upper Area Control (UAC),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 Within the European context, the central coordination of Air Traffic Flow Management (ATFM) and Airspace Management (ASM) is facilitated by the Network Manager. The design of airspace and related procedures is no longer developed and implemented in isolation in Europe. Inefficiencies in the design and utilisation of the air route network are recognised as contributing factors to flight inefficiencies in the region. Therefore, as part of the European Union’s Single European Sky initiative, the Network Manager is tasked with developing an integrated European Route Network Design. 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 To accomplish this, the Network Manager Operations Centre (NMOC) continuously monitors the air traffic situation and proposes flow management measures through the CDM process in coordination with the respective local authorities. This coordination typically occurs with the local Flow Management Positions (FMP) within the respective area control centres. Subsequently, the NMOC implements the relevant flow management initiatives as requested by the authorities or FMPs.</w:t>
      </w:r>
    </w:p>
    <w:bookmarkEnd w:id="58"/>
    <w:bookmarkStart w:id="72" w:name="high-level-system-comparison"/>
    <w:p>
      <w:pPr>
        <w:pStyle w:val="Heading2"/>
      </w:pPr>
      <w:r>
        <w:t xml:space="preserve">2.2 High Level System Comparison</w:t>
      </w:r>
    </w:p>
    <w:p>
      <w:pPr>
        <w:pStyle w:val="FirstParagraph"/>
      </w:pPr>
      <w:hyperlink w:anchor="fig-HLC2022">
        <w:r>
          <w:rPr>
            <w:rStyle w:val="Hyperlink"/>
          </w:rPr>
          <w:t xml:space="preserve">Figure 2.1</w:t>
        </w:r>
      </w:hyperlink>
      <w:r>
        <w:t xml:space="preserve"> </w:t>
      </w:r>
      <w:r>
        <w:t xml:space="preserve">summarises the key characteristics of the Brazilian and European air navigation system for 2024. Comparing the high-level numbers, Brazil utilised an increased number of Air Traffic Controllers (ATCOs) even during the pandemic period. In contrast, the European system showed a reduction of total ATCOs in service. The different behaviour suggests a difference in work force flexibility between the systems. This may be partly explained by the fact that DECEA shares part of the structure used in basic training with other Air Force training processes. This leads to a more centralised and rigid process, in which abrupt reactions in hiring planning are unwanted due to the lengthy process of calling for candidates according to Brazilian laws related to public service jobs. In Europe, there exists a mix of organisational models and labour contracts ranging from public service to fully commercial organisation. En gros, European providers were able to react to the lower demand levels by delaying/stopping recruitment/training and offering early retirement packages.</w:t>
      </w:r>
    </w:p>
    <w:tbl>
      <w:tblPr>
        <w:tblStyle w:val="Table"/>
        <w:tblW w:type="pct" w:w="5000"/>
        <w:tblLook w:firstRow="0" w:lastRow="0" w:firstColumn="0" w:lastColumn="0" w:noHBand="0" w:noVBand="0" w:val="0000"/>
        <w:jc w:val="start"/>
        <w:tblLayout w:type="fixed"/>
      </w:tblPr>
      <w:tblGrid>
        <w:gridCol w:w="7920"/>
      </w:tblGrid>
      <w:tr>
        <w:tc>
          <w:tcPr/>
          <w:bookmarkStart w:id="62" w:name="fig-HLC2022"/>
          <w:p>
            <w:pPr>
              <w:pStyle w:val="Compact"/>
              <w:jc w:val="center"/>
            </w:pPr>
            <w:r>
              <w:drawing>
                <wp:inline>
                  <wp:extent cx="5067300" cy="2657314"/>
                  <wp:effectExtent b="0" l="0" r="0" t="0"/>
                  <wp:docPr descr="" title="" id="60" name="Picture"/>
                  <a:graphic>
                    <a:graphicData uri="http://schemas.openxmlformats.org/drawingml/2006/picture">
                      <pic:pic>
                        <pic:nvPicPr>
                          <pic:cNvPr descr="./figures/HLC-table.png" id="61" name="Picture"/>
                          <pic:cNvPicPr>
                            <a:picLocks noChangeArrowheads="1" noChangeAspect="1"/>
                          </pic:cNvPicPr>
                        </pic:nvPicPr>
                        <pic:blipFill>
                          <a:blip r:embed="rId59"/>
                          <a:stretch>
                            <a:fillRect/>
                          </a:stretch>
                        </pic:blipFill>
                        <pic:spPr bwMode="auto">
                          <a:xfrm>
                            <a:off x="0" y="0"/>
                            <a:ext cx="5067300" cy="26573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High Level Comparison 2024</w:t>
            </w:r>
          </w:p>
          <w:bookmarkEnd w:id="62"/>
        </w:tc>
      </w:tr>
    </w:tbl>
    <w:p>
      <w:pPr>
        <w:pStyle w:val="BodyText"/>
      </w:pPr>
      <w:r>
        <w:t xml:space="preserve">Another key difference affecting performance in both regions for this report is the development of air traffic demand. Unlike in Europe, it is interesting to note that Brazil ended 2022 already servicing air traffic movements above the pre-pandemic (i.e. 2019) level. However, as will be shown later, much of this growth was due to the strong increase in general aviation and only to a lower extent in commercial aviation.</w:t>
      </w:r>
      <w:r>
        <w:br/>
      </w:r>
      <w:r>
        <w:t xml:space="preserve">Overall, the volume of air traffic also rebounded in Europe. At the end of 2023, the level reached about 90% of the pre-pandemc air traffic (vs about 85% in 2022).</w:t>
      </w:r>
    </w:p>
    <w:p>
      <w:pPr>
        <w:pStyle w:val="BodyText"/>
      </w:pPr>
      <w:r>
        <w:t xml:space="preserve">Both regions operate with similar operational concepts, procedures and supporting technology. Yet, Brazil, with lower traffic density related to airspace use, finds probably a more challenging cost-benefit ratio to maintain communication coverage and surveillance for regions with low-traffic.</w:t>
      </w:r>
    </w:p>
    <w:p>
      <w:pPr>
        <w:pStyle w:val="BodyText"/>
      </w:pPr>
      <w:r>
        <w:t xml:space="preserve">In comparison, the European region faces more considerable challenges in coordinating efforts to adress operational constraints and service the current demand.</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following graphic is a snapshot made in early April.</w:t>
            </w:r>
            <w:r>
              <w:br/>
            </w:r>
            <w:r>
              <w:t xml:space="preserve">The network analysis is work in progress. Thus, the visualisation and section may change, and with a smaller data set.</w:t>
            </w:r>
          </w:p>
        </w:tc>
      </w:tr>
    </w:tbl>
    <w:tbl>
      <w:tblPr>
        <w:tblStyle w:val="Table"/>
        <w:tblW w:type="pct" w:w="5000"/>
        <w:tblLook w:firstRow="0" w:lastRow="0" w:firstColumn="0" w:lastColumn="0" w:noHBand="0" w:noVBand="0" w:val="0000"/>
        <w:jc w:val="start"/>
        <w:tblLayout w:type="fixed"/>
      </w:tblPr>
      <w:tblGrid>
        <w:gridCol w:w="7920"/>
      </w:tblGrid>
      <w:tr>
        <w:tc>
          <w:tcPr/>
          <w:bookmarkStart w:id="69" w:name="fig-Apt-Rank-Comparison2024"/>
          <w:p>
            <w:pPr>
              <w:pStyle w:val="Compact"/>
              <w:jc w:val="center"/>
            </w:pPr>
            <w:r>
              <w:drawing>
                <wp:inline>
                  <wp:extent cx="4800600" cy="3429000"/>
                  <wp:effectExtent b="0" l="0" r="0" t="0"/>
                  <wp:docPr descr="" title="" id="67" name="Picture"/>
                  <a:graphic>
                    <a:graphicData uri="http://schemas.openxmlformats.org/drawingml/2006/picture">
                      <pic:pic>
                        <pic:nvPicPr>
                          <pic:cNvPr descr="./figures/fig-Apt-Rank-Comparison2024-1.png" id="68" name="Picture"/>
                          <pic:cNvPicPr>
                            <a:picLocks noChangeArrowheads="1" noChangeAspect="1"/>
                          </pic:cNvPicPr>
                        </pic:nvPicPr>
                        <pic:blipFill>
                          <a:blip r:embed="rId66"/>
                          <a:stretch>
                            <a:fillRect/>
                          </a:stretch>
                        </pic:blipFill>
                        <pic:spPr bwMode="auto">
                          <a:xfrm>
                            <a:off x="0" y="0"/>
                            <a:ext cx="48006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Airport Rank Comparison 2024</w:t>
            </w:r>
          </w:p>
          <w:bookmarkEnd w:id="69"/>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distribution of air traffic in Brazil confirms that most flights are concentrated in a small number of airports. In 2024, the 10 busiest airports handled 66.23% of all flights. The top 18 airports accounted for 80% of operations, while 90% of all flights took place at just 32 airports. If we consider the 49 busiest airports, they covered 95% of traffic, and 99% of all flights occurred at the top 100 airports in the country. The latest edition of Brazil’s Annual Performance Report (it can be found on http://performance.decea.mil.br reflects this reality. It now includes 100 airport locations instead of only the top 34, ensuring that almost all flights are included in the analysis. This distribution shows that many aerodromes operate with low traffic volumes. Because of that, it is important to study alternative ways to provide air traffic services.</w:t>
            </w:r>
          </w:p>
          <w:p>
            <w:pPr>
              <w:pStyle w:val="BodyText"/>
            </w:pPr>
            <w:r>
              <w:t xml:space="preserve">In Brazil, the Aerodrome Flight Information Service (AFIS) has been an effective strategy to ensure safety at locations where the traffic does not justify the installation of a control tower (TWR). This service, usually provided via Radio, gives essential information to pilots, helping to use resources efficiently and keeping safe operations. Since 2016, Brazil has been expanding the use of remote AFIS units (R-AFIS), especially in strategic areas like the Amazon region. These services are provided from ACCs (Area Control Centers), which means they don’t need dedicated local infrastructure. Also, in 2024, demand for air traffic services continued to grow. This shows the need to review and improve how services are organized in Brazil. Expanding the use of the AFIS model in strategic areas may be a smart and safe way to meet future needs and make better use of SISCEAB’s resources.</w:t>
            </w:r>
          </w:p>
          <w:p>
            <w:pPr>
              <w:pStyle w:val="BodyText"/>
            </w:pPr>
            <w:r>
              <w:t xml:space="preserve">The distribution of air traffic in Brazil confirms that most flights are concentrated in a small number of airports.</w:t>
            </w:r>
            <w:r>
              <w:t xml:space="preserve"> </w:t>
            </w:r>
            <w:r>
              <w:t xml:space="preserve">In 2024, the 10 busiest airports handled 66.23% of all flights.</w:t>
            </w:r>
            <w:r>
              <w:t xml:space="preserve"> </w:t>
            </w:r>
            <w:r>
              <w:t xml:space="preserve">The top 18 airports accounted for 80% of operations, while 90% of all flights took place at just 32 airports.</w:t>
            </w:r>
            <w:r>
              <w:t xml:space="preserve"> </w:t>
            </w:r>
            <w:r>
              <w:t xml:space="preserve">If we consider the 49 busiest airports, they covered 95% of traffic, and 99% of all flights occurred at the top 100 airports in the country.</w:t>
            </w:r>
            <w:r>
              <w:t xml:space="preserve"> </w:t>
            </w:r>
            <w:r>
              <w:t xml:space="preserve">The latest edition of Brazil’s Annual Performance Report (it can be found on http://performance.decea.mil.br reflects this reality. It now includes 100 airport locations instead of only the top 34, ensuring that almost all flights are included in the analysis. This distribution shows that many aerodromes operate with low traffic volumes. Because of that, it is important to study alternative ways to provide air traffic services.</w:t>
            </w:r>
          </w:p>
          <w:p>
            <w:pPr>
              <w:pStyle w:val="BodyText"/>
            </w:pPr>
            <w:pPr>
              <w:spacing w:after="16"/>
            </w:pPr>
            <w:r>
              <w:t xml:space="preserve">In Brazil, the Aerodrome Flight Information Service (AFIS) has been an effective strategy to ensure safety at locations where the traffic does not justify the installation of a control tower (TWR).</w:t>
            </w:r>
            <w:r>
              <w:t xml:space="preserve"> </w:t>
            </w:r>
            <w:r>
              <w:t xml:space="preserve">This service, usually provided via Radio, gives essential information to pilots, helping to use resources efficiently and keeping safe operations.</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smart and safe way to meet future needs and make better use of SISCEAB’s resources.</w:t>
            </w:r>
          </w:p>
        </w:tc>
      </w:tr>
    </w:tbl>
    <w:p>
      <w:pPr>
        <w:pStyle w:val="BodyText"/>
      </w:pPr>
      <w:r>
        <w:t xml:space="preserve">This report launched a first analysis of the systems’ network utilisation, taking advantage of the rich experience in comparing two regional aviation systems. Aviation infrastructure is always expensive and complex to maintain, including cost for the provision of air navigation services. The analysis of the facilities’ locations distribution for this service has always basically accompanied the distribution of airports in a region. Recently, technological feasibility modified this logic with the possibility of remote services and still with the possibility of joining more than one remote installation to provide services to several locations simultaneously.</w:t>
      </w:r>
    </w:p>
    <w:p>
      <w:pPr>
        <w:pStyle w:val="BodyText"/>
      </w:pPr>
      <w:r>
        <w:t xml:space="preserve">Still, a closer look at the dynamics of these routes and potential connectivity between sites may indicate the potential for capacity to be exploited by the aviation community or that idle capacity is installed without reasonable prospects for use.</w:t>
      </w:r>
    </w:p>
    <w:p>
      <w:pPr>
        <w:pStyle w:val="BodyText"/>
      </w:pPr>
      <w:r>
        <w:t xml:space="preserve">In</w:t>
      </w:r>
      <w:r>
        <w:t xml:space="preserve"> </w:t>
      </w:r>
      <w:hyperlink w:anchor="fig-Apt-Rank-Comparison2024">
        <w:r>
          <w:rPr>
            <w:rStyle w:val="Hyperlink"/>
          </w:rPr>
          <w:t xml:space="preserve">Figure 2.2</w:t>
        </w:r>
      </w:hyperlink>
      <w:r>
        <w:t xml:space="preserve">, we see the distribution of commercial departures for 2022 in both regions. Note that the concentration is proportionally slightly higher on the Brazilian side, with less than 50 airports handlinging 80% of the commercial take-offs that year. In comparison, the European system distributed the same percentage over approximately 100 airports.</w:t>
      </w:r>
      <w:r>
        <w:br/>
      </w:r>
      <w:r>
        <w:t xml:space="preserve">For both regions, the aforementioned share of air traffic is centralised in a small subset of airports. On the other hand, the cumulative charts in</w:t>
      </w:r>
      <w:r>
        <w:t xml:space="preserve"> </w:t>
      </w:r>
      <w:hyperlink w:anchor="fig-Apt-Rank-Comparison2024">
        <w:r>
          <w:rPr>
            <w:rStyle w:val="Hyperlink"/>
          </w:rPr>
          <w:t xml:space="preserve">Figure 2.2</w:t>
        </w:r>
      </w:hyperlink>
      <w:r>
        <w:t xml:space="preserve"> </w:t>
      </w:r>
      <w:r>
        <w:t xml:space="preserve">show that a high number of airports service under 1% of the regional air traffic volume. In both systems, this represents more than half of the airports that serve commercial flights. In Europe, approximately 486 airports handle only 1% of the movements, while in Brazil, there are 210 for the same percentage.</w:t>
      </w:r>
      <w:r>
        <w:br/>
      </w:r>
      <w:r>
        <w:t xml:space="preserve">Despite being an already historically established distribution and somewhat expected, the aviation sector agents must revisit this data constantly to verify the use of deployed resources and capacity. There is scope for further assessing the service provision at smaller operations with a view to accommodate demand and capacity.</w:t>
      </w:r>
    </w:p>
    <w:p>
      <w:pPr>
        <w:pStyle w:val="BodyText"/>
      </w:pPr>
      <w:r>
        <w:t xml:space="preserve">Analysing the part of ANS, specifically on the Brazilian side, the proportion of flights using AFIS aerodromes in this sample is 10.73%. Among them, the busiest airport serviced approximately 4146 commercial departures in 2022 while only 124 were handled at the least busy AFIS aerodrome. In most cases, these operations represent remote airports where aviation is deemed needed to give access to that community. For the European data, a similar pattern is expected. The current data does not allow for a labelling of all aerodromes in terms of ATS service provision (in particular, the identification of AFIS-only services).</w:t>
      </w:r>
    </w:p>
    <w:p>
      <w:pPr>
        <w:pStyle w:val="BodyText"/>
      </w:pPr>
      <w:r>
        <w:t xml:space="preserve">Future work may highlight to what extent also resources within the European context are bound to establishing basic connectivity. Further research can explore how both regions can maximise installed capacity, benefit from novel operational or technical concepts, and suggest improvements for ANS provision.</w:t>
      </w:r>
    </w:p>
    <w:bookmarkEnd w:id="72"/>
    <w:bookmarkStart w:id="74" w:name="X84954e512131c13ae1f1d878d06e1bb85be2050"/>
    <w:p>
      <w:pPr>
        <w:pStyle w:val="Heading2"/>
      </w:pPr>
      <w:r>
        <w:t xml:space="preserve">2.3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 The Performance Review Commission (PRC) was established within EUROCONTROL in 1998 aiming to establish and implement an independent European air traffic management (ATM) performance review capability in response to the European Civil Aviation Conference (ECAC) Institutional Strategy. The main goal of the PRC is to offer impartial advice on pan-European ATM performance to EUROCONTROL’s governing bodies. Supported by the Performance Review Unit (PRU), the PRC conducts extensive research, data analysis, and consultations to provide objective insights and recommendations. EUROCONTROL’s performance review system, a pioneering initiative in the late 1990s, has influenced broader forums like ICAO’s global performance approach and the Single European Sky (SES) performance scheme. Collaborating internationally, particularly with ICAO, the PRC aims to harmonise air navigation practices. The PRC produces annual reports (ACE and PRR) and provides operational performance monitoring through various data products and online tools. 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 Beginning with the SIRIUS Brazil Program in 2012, DECEA faced challenges defining metrics, but made significant progress after signing a Cooperation Agreement with EUROCONTROL in 2015. DECEA published crucial documents for ICAO’s Global Air Navigation Plan, prompting an organisational transformation and adaptation of practices. Establishing the ATM Performance Section in 2019, akin to EUROCONTROL’s PRU, DECEA accelerated the build-up of expertise in operational performance monitoring. This culminated in the publication of the first Brazilian ATM Performance Plan for 2022-2023. 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 Embracing transparency, both agencies made indicators and databases publicly accessible, perpetuating a culture of reciprocity and transparency for mutual advancement. 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 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73">
        <w:r>
          <w:rPr>
            <w:rStyle w:val="Hyperlink"/>
          </w:rPr>
          <w:t xml:space="preserve">https://ansperformance.eu/global/brazil/</w:t>
        </w:r>
      </w:hyperlink>
      <w:r>
        <w:t xml:space="preserve"> </w:t>
      </w:r>
      <w:r>
        <w:t xml:space="preserve">or</w:t>
      </w:r>
      <w:r>
        <w:t xml:space="preserve"> </w:t>
      </w:r>
      <w:hyperlink r:id="rId29">
        <w:r>
          <w:rPr>
            <w:rStyle w:val="Hyperlink"/>
          </w:rPr>
          <w:t xml:space="preserve">https://performance.decea.mil.br/</w:t>
        </w:r>
      </w:hyperlink>
      <w:r>
        <w:t xml:space="preserve">.</w:t>
      </w:r>
    </w:p>
    <w:bookmarkEnd w:id="74"/>
    <w:bookmarkStart w:id="75" w:name="summary"/>
    <w:p>
      <w:pPr>
        <w:pStyle w:val="Heading2"/>
      </w:pPr>
      <w:r>
        <w:t xml:space="preserve">2.4 Summary</w:t>
      </w:r>
    </w:p>
    <w:p>
      <w:pPr>
        <w:pStyle w:val="FirstParagraph"/>
      </w:pPr>
      <w:r>
        <w:t xml:space="preserve">While both regions operate on similar operational concepts and technologies, there exists key characteristics and distinctions in both regions. One of the key differences is the overall organisation of air navigation services. Brazil’s air navigation services are centralised under DECEA, overseeing all airspace control and contributing to national defense. 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 This revealed contrasting trends. Brazil experienced an increase in ATCOs, while Europe witnessed a notable reduction. This disparity underscores a significant difference in the systems’ responsiveness, partly attributed to Brazil’s centralised and rigid hiring process. At the same time, European providers operate with greater independence and flexibility enabling easier adjustments to the management of the ATCO workforce.</w:t>
      </w:r>
    </w:p>
    <w:p>
      <w:pPr>
        <w:pStyle w:val="BodyText"/>
      </w:pPr>
      <w:r>
        <w:t xml:space="preserve">The distribution of commercial flights in 2022 indicates that only a subset of airports handle 80% of commercial take-offs. The concentration effect is higher in Brazil than in Europe. On the other hand, a high number of airports operating commercial flights represent handle only a marginal share of 1% of the movements in both systems. 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 The effort benefits the two regions and contributes globally by sharing insights and lessons learned with international aviation communities, aiding the development of ATM performance management worldwide.</w:t>
      </w:r>
    </w:p>
    <w:bookmarkEnd w:id="75"/>
    <w:bookmarkEnd w:id="76"/>
    <w:bookmarkStart w:id="137" w:name="traffic-characterisation"/>
    <w:p>
      <w:pPr>
        <w:pStyle w:val="Heading1"/>
      </w:pPr>
      <w:r>
        <w:t xml:space="preserve">3. Traffic Characterisation</w:t>
      </w:r>
    </w:p>
    <w:p>
      <w:pPr>
        <w:pStyle w:val="FirstParagraph"/>
      </w:pPr>
      <w:r>
        <w:t xml:space="preserve">To facilitate operational comparisons, it is crucial to have a good understanding of the level and composition of air traffic.</w:t>
      </w:r>
      <w:r>
        <w:t xml:space="preserve"> </w:t>
      </w:r>
      <w:r>
        <w:t xml:space="preserve">The preceding section provided an overview of the context and organisation of air navigation services in Brazil and Europe.</w:t>
      </w:r>
      <w:r>
        <w:t xml:space="preserve"> </w:t>
      </w:r>
      <w:r>
        <w:t xml:space="preserve">This chapter presents some air traffic characteristics for both regions to provide a framework for the observed operational performance in subsequent parts of the report.</w:t>
      </w:r>
    </w:p>
    <w:bookmarkStart w:id="89"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w:t>
      </w:r>
      <w:r>
        <w:t xml:space="preserve"> </w:t>
      </w:r>
      <w:r>
        <w:t xml:space="preserve">In both regions the unprecedented decline in air traffic occurred in March 2020 in the aftermath of the pandemic-declaration by the World Health Organisation.</w:t>
      </w:r>
      <w:r>
        <w:t xml:space="preserve"> </w:t>
      </w:r>
      <w:r>
        <w:t xml:space="preserve">However, there is a difference in terms of the overall recovery.</w:t>
      </w:r>
      <w:r>
        <w:t xml:space="preserve"> </w:t>
      </w:r>
      <w:r>
        <w:t xml:space="preserve">The European recovery is characterised by two waves, while a single setback is observed in Brazil in second quarter of 2021.</w:t>
      </w:r>
      <w:r>
        <w:t xml:space="preserve"> </w:t>
      </w:r>
      <w:r>
        <w:t xml:space="preserve">The European pattern demonstrates the difficulty in the coordination of a joint policy of curbing the pandemic and managing travel related constraints.</w:t>
      </w:r>
      <w:r>
        <w:t xml:space="preserve"> </w:t>
      </w:r>
      <w:r>
        <w:t xml:space="preserve">With different states in Europe introducing public health and travel constraints at differnt times, intra-European traffic was affected by the piece-meal approach.</w:t>
      </w:r>
      <w:r>
        <w:t xml:space="preserve"> </w:t>
      </w:r>
      <w:r>
        <w:t xml:space="preserve">Brazil - and its policy on air transport - benefitted from single stance on policy implementation.</w:t>
      </w:r>
    </w:p>
    <w:p>
      <w:pPr>
        <w:pStyle w:val="BodyText"/>
      </w:pPr>
      <w:r>
        <w:t xml:space="preserve">TO BE CLEANED LATER</w:t>
      </w:r>
    </w:p>
    <w:p>
      <w:pPr>
        <w:numPr>
          <w:ilvl w:val="0"/>
          <w:numId w:val="1003"/>
        </w:numPr>
        <w:pStyle w:val="Compact"/>
      </w:pPr>
      <w:r>
        <w:t xml:space="preserve">reduce number of labels for BRA</w:t>
      </w:r>
    </w:p>
    <w:p>
      <w:pPr>
        <w:numPr>
          <w:ilvl w:val="0"/>
          <w:numId w:val="1003"/>
        </w:numPr>
        <w:pStyle w:val="Compact"/>
      </w:pPr>
      <w:r>
        <w:t xml:space="preserve">add associated labels to EUR</w:t>
      </w:r>
    </w:p>
    <w:tbl>
      <w:tblPr>
        <w:tblStyle w:val="Table"/>
        <w:tblW w:type="pct" w:w="5000"/>
        <w:tblLook w:firstRow="0" w:lastRow="0" w:firstColumn="0" w:lastColumn="0" w:noHBand="0" w:noVBand="0" w:val="0000"/>
        <w:jc w:val="start"/>
        <w:tblLayout w:type="fixed"/>
      </w:tblPr>
      <w:tblGrid>
        <w:gridCol w:w="7920"/>
      </w:tblGrid>
      <w:tr>
        <w:tc>
          <w:tcPr/>
          <w:bookmarkStart w:id="80" w:name="fig-annual-traffic-timeline"/>
          <w:p>
            <w:pPr>
              <w:pStyle w:val="Compact"/>
              <w:jc w:val="center"/>
            </w:pPr>
            <w:r>
              <w:drawing>
                <wp:inline>
                  <wp:extent cx="5334000" cy="4267200"/>
                  <wp:effectExtent b="0" l="0" r="0" t="0"/>
                  <wp:docPr descr="" title="" id="78" name="Picture"/>
                  <a:graphic>
                    <a:graphicData uri="http://schemas.openxmlformats.org/drawingml/2006/picture">
                      <pic:pic>
                        <pic:nvPicPr>
                          <pic:cNvPr descr="03-traffic_characterisation_files/figure-docx/fig-annual-traffic-timeline-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80"/>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Brazilian air traffic continues to exceed 2019 levels, marking a phase of real growth, not just post-pandemic recovery. Compared to Europe, where traffic is approaching pre-pandemic levels, Brazil presents a different scenario. Since 2022, traffic has grown steadily, showing a structured recovery in demand. However, commercial aviation is still adjusting its route network in some regions to fully match 2019 levels.</w:t>
            </w:r>
            <w:r>
              <w:t xml:space="preserve"> </w:t>
            </w:r>
            <w:r>
              <w:t xml:space="preserve">The chart showing the daily evolution of air traffic (7-day moving average) highlights the busiest and quietest periods of recent years. Over the past three years, the day with the lowest average traffic typically falls on the Wednesday after Carnival period. Meanwhile, the annual peak usually happens in late December, close to Christmas, reinforcing a well-established seasonal pattern.</w:t>
            </w:r>
            <w:r>
              <w:t xml:space="preserve"> </w:t>
            </w:r>
            <w:r>
              <w:t xml:space="preserve">Overall, despite fluctuations throughout the year, the general trend is upward, confirming that both Brazil and Europe are on a steady path of growth in the air transport sector.</w:t>
            </w:r>
            <w:r>
              <w:t xml:space="preserve"> </w:t>
            </w:r>
            <w:r>
              <w:t xml:space="preserve">It is important to note that the moving average from Brazil data only includes commercial flights, excluding general and military aviation, and is based on UTC time.</w:t>
            </w:r>
          </w:p>
        </w:tc>
      </w:tr>
    </w:tbl>
    <w:p>
      <w:pPr>
        <w:pStyle w:val="BodyText"/>
      </w:pPr>
      <w:r>
        <w:t xml:space="preserve">For Brazil, it is important to remember that</w:t>
      </w:r>
      <w:r>
        <w:t xml:space="preserve"> </w:t>
      </w:r>
      <w:hyperlink w:anchor="fig-annual-traffic-timeline">
        <w:r>
          <w:rPr>
            <w:rStyle w:val="Hyperlink"/>
          </w:rPr>
          <w:t xml:space="preserve">Figure 3.1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p>
      <w:pPr>
        <w:pStyle w:val="BodyText"/>
      </w:pPr>
      <w:r>
        <w:t xml:space="preserve">The movements already surpassed the 2019 levels for the Brazilian region, confirming some economic recovery in the market.</w:t>
      </w:r>
      <w:r>
        <w:t xml:space="preserve"> </w:t>
      </w:r>
      <w:r>
        <w:t xml:space="preserve">According to the CGNA (Brazilian Network Manager) assessment, general aviation is the leading actor in this frame.</w:t>
      </w:r>
      <w:r>
        <w:t xml:space="preserve"> </w:t>
      </w:r>
      <w:r>
        <w:t xml:space="preserve">The share of</w:t>
      </w:r>
      <w:r>
        <w:t xml:space="preserve"> </w:t>
      </w:r>
      <w:r>
        <w:t xml:space="preserve">“</w:t>
      </w:r>
      <w:r>
        <w:t xml:space="preserve">Light</w:t>
      </w:r>
      <w:r>
        <w:t xml:space="preserve">”</w:t>
      </w:r>
      <w:r>
        <w:t xml:space="preserve"> </w:t>
      </w:r>
      <w:r>
        <w:t xml:space="preserve">aircraft in the fleet mix observed at Brazilian airports and the prevailing airline traffic levels still below the 2019 traffic in the airlines’ preferred airports help to confirm this thesis.</w:t>
      </w:r>
    </w:p>
    <w:p>
      <w:pPr>
        <w:pStyle w:val="BodyText"/>
      </w:pPr>
      <w:r>
        <w:t xml:space="preserve">In terms of total network level air traffic, the European region is still lagging behind its pre-pandemic levels.</w:t>
      </w:r>
      <w:r>
        <w:t xml:space="preserve"> </w:t>
      </w:r>
      <w:r>
        <w:t xml:space="preserve">Other analyses showed that low-cost carriers recovered more agile than the classical mainline carriers.</w:t>
      </w:r>
      <w:r>
        <w:t xml:space="preserve"> </w:t>
      </w:r>
      <w:r>
        <w:t xml:space="preserve">The low-cost sector, thus, shows a higher numbers of operations than pre-pandemic as their financial model allowed for a more agile reaction in terms of staffing/crewing/servicing flights.</w:t>
      </w:r>
      <w:r>
        <w:t xml:space="preserve"> </w:t>
      </w:r>
      <w:r>
        <w:t xml:space="preserve">The higher share can also be explained by a side-effect of the national support measures for some of the mainline carriers.</w:t>
      </w:r>
      <w:r>
        <w:t xml:space="preserve"> </w:t>
      </w:r>
      <w:r>
        <w:t xml:space="preserve">These measures included freeing slots at major hubs and the reduction of domestic / short-haul operations.</w:t>
      </w:r>
      <w:r>
        <w:t xml:space="preserve"> </w:t>
      </w:r>
      <w:r>
        <w:t xml:space="preserve">Accordingly, the European network is characterised by a change in the level of connectivity and frequency of services between the different airports.</w:t>
      </w:r>
    </w:p>
    <w:tbl>
      <w:tblPr>
        <w:tblStyle w:val="Table"/>
        <w:tblW w:type="pct" w:w="5000"/>
        <w:tblLook w:firstRow="0" w:lastRow="0" w:firstColumn="0" w:lastColumn="0" w:noHBand="0" w:noVBand="0" w:val="0000"/>
        <w:jc w:val="start"/>
        <w:tblLayout w:type="fixed"/>
      </w:tblPr>
      <w:tblGrid>
        <w:gridCol w:w="7920"/>
      </w:tblGrid>
      <w:tr>
        <w:tc>
          <w:tcPr/>
          <w:bookmarkStart w:id="86" w:name="fig-annual-network"/>
          <w:p>
            <w:pPr>
              <w:pStyle w:val="Compact"/>
              <w:jc w:val="center"/>
            </w:pPr>
            <w:r>
              <w:drawing>
                <wp:inline>
                  <wp:extent cx="5334000" cy="4267200"/>
                  <wp:effectExtent b="0" l="0" r="0" t="0"/>
                  <wp:docPr descr="" title="" id="84" name="Picture"/>
                  <a:graphic>
                    <a:graphicData uri="http://schemas.openxmlformats.org/drawingml/2006/picture">
                      <pic:pic>
                        <pic:nvPicPr>
                          <pic:cNvPr descr="03-traffic_characterisation_files/figure-docx/fig-annual-network-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86"/>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analysis of annual air traffic trends between 2022 and 2024 shows a clear consolidation of seasonal patterns in both Brazil and Europe. In Brazil, the curve remains more stable throughout the year, reflecting a demand pattern that is less affected by strong seasonal changes. In contrast, Europe shows a more distinct pattern, with a significant increase in traffic during the summer months and a drop in winter—typical of the region’s tourism-driven dynamics.</w:t>
            </w:r>
            <w:r>
              <w:t xml:space="preserve"> </w:t>
            </w:r>
            <w:r>
              <w:t xml:space="preserve">In Brazil, May saw a noticeable drop in traffic volume, mainly due to heavy rainfall in the south of the country starting in late April. The floods led to the suspension of operations at Salgado Filho International Airport (SBPA), in Porto Alegre, which remained closed until October. This significantly affected domestic commercial aviation in the region and had an impact on the national air traffic network.</w:t>
            </w:r>
            <w:r>
              <w:t xml:space="preserve"> </w:t>
            </w:r>
            <w:r>
              <w:t xml:space="preserve">While Brazil shows less variation in traffic across the year, European traffic clearly peaks between June and September. This highlights the need for targeted strategies to manage capacity and optimize airport infrastructure, especially during periods of high demand.</w:t>
            </w:r>
            <w:r>
              <w:t xml:space="preserve"> </w:t>
            </w:r>
            <w:r>
              <w:t xml:space="preserve">In both cases, we observe consolidated growth trends, although at different paces. Europe continues to face challenges such as network adjustments and restrictions in some airspaces, while Brazil keeps progressing steadily, even when dealing with regional disruptions.</w:t>
            </w:r>
          </w:p>
        </w:tc>
      </w:tr>
    </w:tbl>
    <w:p>
      <w:pPr>
        <w:numPr>
          <w:ilvl w:val="0"/>
          <w:numId w:val="1004"/>
        </w:numPr>
        <w:pStyle w:val="Compact"/>
      </w:pPr>
      <w:r>
        <w:t xml:space="preserve">For Brazil, traffic in the first half of 2023 exceeded the pre-pandemic traffic level</w:t>
      </w:r>
    </w:p>
    <w:p>
      <w:pPr>
        <w:numPr>
          <w:ilvl w:val="0"/>
          <w:numId w:val="1004"/>
        </w:numPr>
        <w:pStyle w:val="Compact"/>
      </w:pPr>
      <w:r>
        <w:t xml:space="preserve">On a network level, the continual recovery of the traffic is on-going in Europe.</w:t>
      </w:r>
    </w:p>
    <w:p>
      <w:pPr>
        <w:numPr>
          <w:ilvl w:val="0"/>
          <w:numId w:val="1004"/>
        </w:numPr>
        <w:pStyle w:val="Compact"/>
      </w:pPr>
      <w:r>
        <w:t xml:space="preserve">The first half of 2023 saw traffic levels at about 90-95% of the pre-pandemic network traffic and started following a classical</w:t>
      </w:r>
      <w:r>
        <w:t xml:space="preserve"> </w:t>
      </w:r>
      <w:r>
        <w:rPr>
          <w:iCs/>
          <w:i/>
        </w:rPr>
        <w:t xml:space="preserve">seasonal</w:t>
      </w:r>
      <w:r>
        <w:t xml:space="preserve"> </w:t>
      </w:r>
      <w:r>
        <w:t xml:space="preserve">pattern. However, traffic recovery in Europe is not at the same level for each pre-pandemic service/connection. The recovery also resulted in a light modification of network connectivity. The Russian invasion of Ukraine resulted in the closure of a significant portion of the airspace (about 20%). However, the overall impact of the closure on air traffic - on a network level - was relatively small.</w:t>
      </w:r>
    </w:p>
    <w:p>
      <w:pPr>
        <w:pStyle w:val="FirstParagraph"/>
      </w:pPr>
      <w:r>
        <w:t xml:space="preserve">This high-level network perspective shows that traffic in both regions is comparable to pre-pandemic levels.</w:t>
      </w:r>
      <w:r>
        <w:t xml:space="preserve"> </w:t>
      </w:r>
      <w:r>
        <w:t xml:space="preserve">It will be interesting to observe the further evolution and growth of air traffic.</w:t>
      </w:r>
    </w:p>
    <w:bookmarkEnd w:id="89"/>
    <w:bookmarkStart w:id="109"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1" name="Picture"/>
            <a:graphic>
              <a:graphicData uri="http://schemas.openxmlformats.org/drawingml/2006/picture">
                <pic:pic>
                  <pic:nvPicPr>
                    <pic:cNvPr descr="03-traffic_characterisation_files/figure-docx/unnamed-chunk-4-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96" w:name="fig-eur-apt-level-tfc"/>
          <w:p>
            <w:pPr>
              <w:pStyle w:val="Compact"/>
              <w:jc w:val="center"/>
            </w:pPr>
            <w:r>
              <w:drawing>
                <wp:inline>
                  <wp:extent cx="5334000" cy="4267200"/>
                  <wp:effectExtent b="0" l="0" r="0" t="0"/>
                  <wp:docPr descr="" title="" id="94" name="Picture"/>
                  <a:graphic>
                    <a:graphicData uri="http://schemas.openxmlformats.org/drawingml/2006/picture">
                      <pic:pic>
                        <pic:nvPicPr>
                          <pic:cNvPr descr="03-traffic_characterisation_files/figure-docx/fig-eur-apt-level-tfc-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Europeaan airport level traffic</w:t>
            </w:r>
          </w:p>
          <w:bookmarkEnd w:id="96"/>
        </w:tc>
      </w:tr>
    </w:tbl>
    <w:tbl>
      <w:tblPr>
        <w:tblStyle w:val="Table"/>
        <w:tblW w:type="pct" w:w="5000"/>
        <w:tblLook w:firstRow="0" w:lastRow="0" w:firstColumn="0" w:lastColumn="0" w:noHBand="0" w:noVBand="0" w:val="0000"/>
        <w:jc w:val="start"/>
        <w:tblLayout w:type="fixed"/>
      </w:tblPr>
      <w:tblGrid>
        <w:gridCol w:w="7920"/>
      </w:tblGrid>
      <w:tr>
        <w:tc>
          <w:tcPr/>
          <w:bookmarkStart w:id="100" w:name="fig-monthly-tfc-sbgr-lppt"/>
          <w:p>
            <w:pPr>
              <w:pStyle w:val="Compact"/>
              <w:jc w:val="center"/>
            </w:pPr>
            <w:r>
              <w:drawing>
                <wp:inline>
                  <wp:extent cx="5334000" cy="4267200"/>
                  <wp:effectExtent b="0" l="0" r="0" t="0"/>
                  <wp:docPr descr="" title="" id="98" name="Picture"/>
                  <a:graphic>
                    <a:graphicData uri="http://schemas.openxmlformats.org/drawingml/2006/picture">
                      <pic:pic>
                        <pic:nvPicPr>
                          <pic:cNvPr descr="03-traffic_characterisation_files/figure-docx/fig-monthly-tfc-sbgr-lppt-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Monthly traffic evolution at SBGR and LPPT</w:t>
            </w:r>
          </w:p>
          <w:bookmarkEnd w:id="100"/>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1" name="Picture"/>
                  <a:graphic>
                    <a:graphicData uri="http://schemas.openxmlformats.org/drawingml/2006/picture">
                      <pic:pic>
                        <pic:nvPicPr>
                          <pic:cNvPr descr="/Applications/quarto/share/formats/docx/note.png" id="10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xxxxxx The suggestion is to insert the fifth europe airport eith 2023 and 2024 levels.named this airport on the text.</w:t>
            </w:r>
          </w:p>
          <w:p>
            <w:pPr>
              <w:pStyle w:val="BodyText"/>
            </w:pPr>
            <w:pPr>
              <w:spacing w:after="16"/>
            </w:pPr>
            <w:r>
              <w:t xml:space="preserve">The figure shows the monthly evolution of traffic at Guarulhos International Airport (SBGR) during 2023 and 2024, which remains the top airport in Brazil. A steady increase in operations can be seen throughout 2024 compared to 2023, with July standing out as the month with the highest volume during the period analyzed. This trend reflects the continued strengthening of commercial aviation at Brazil’s main hub, both for domestic and international flights.</w:t>
            </w:r>
            <w:r>
              <w:t xml:space="preserve"> </w:t>
            </w:r>
            <w:r>
              <w:t xml:space="preserve">Guarulhos’ performance becomes even more relevant when compared to the busiest airports in Europe. The fifth busiest airport in Europe in 2024 had traffic levels similar to those of Guarulhos, highlighting the different realities of each region. This comparison helps illustrate the structural complexity and differences between the two systems. While Brazil concentrates much of its traffic in a few key airports like SBGR, Europe spreads its operations across a larger network of major airports, often with more robust infrastructure (such as more runways). Therefore, direct comparisons between the</w:t>
            </w:r>
            <w:r>
              <w:t xml:space="preserve"> </w:t>
            </w:r>
            <w:r>
              <w:t xml:space="preserve">“</w:t>
            </w:r>
            <w:r>
              <w:t xml:space="preserve">top 1</w:t>
            </w:r>
            <w:r>
              <w:t xml:space="preserve">”</w:t>
            </w:r>
            <w:r>
              <w:t xml:space="preserve"> </w:t>
            </w:r>
            <w:r>
              <w:t xml:space="preserve">airports in each region may not accurately reflect their unique operational contexts.</w:t>
            </w:r>
          </w:p>
        </w:tc>
      </w:tr>
    </w:tbl>
    <w:p>
      <w:pPr>
        <w:pStyle w:val="BodyText"/>
      </w:pPr>
      <w:r>
        <w:t xml:space="preserve">Analyzing the movement of the leading Brazilian airports, it is evident that they were not responsible for the return to 2019 levels, considering that only Campinas - SBKP and Santos Dumont - SBRJ slightly exceeded 2019 levels.</w:t>
      </w:r>
      <w:r>
        <w:t xml:space="preserve"> </w:t>
      </w:r>
      <w:r>
        <w:t xml:space="preserve">This phenomenon can be explained by the greater difficulty of airlines in resuming activity in contrast to general/business aviation.</w:t>
      </w:r>
      <w:r>
        <w:t xml:space="preserve"> </w:t>
      </w:r>
      <w:r>
        <w:t xml:space="preserve">This last share is an essential component of the Brazilian air movement but is a rare user of main airports.</w:t>
      </w:r>
    </w:p>
    <w:tbl>
      <w:tblPr>
        <w:tblStyle w:val="Table"/>
        <w:tblW w:type="pct" w:w="5000"/>
        <w:tblLook w:firstRow="0" w:lastRow="0" w:firstColumn="0" w:lastColumn="0" w:noHBand="0" w:noVBand="0" w:val="0000"/>
        <w:jc w:val="start"/>
        <w:tblLayout w:type="fixed"/>
      </w:tblPr>
      <w:tblGrid>
        <w:gridCol w:w="7920"/>
      </w:tblGrid>
      <w:tr>
        <w:tc>
          <w:tcPr/>
          <w:bookmarkStart w:id="106" w:name="fig-apt-annual-change"/>
          <w:p>
            <w:pPr>
              <w:pStyle w:val="Compact"/>
              <w:jc w:val="center"/>
            </w:pPr>
            <w:r>
              <w:drawing>
                <wp:inline>
                  <wp:extent cx="5334000" cy="4267200"/>
                  <wp:effectExtent b="0" l="0" r="0" t="0"/>
                  <wp:docPr descr="" title="" id="104" name="Picture"/>
                  <a:graphic>
                    <a:graphicData uri="http://schemas.openxmlformats.org/drawingml/2006/picture">
                      <pic:pic>
                        <pic:nvPicPr>
                          <pic:cNvPr descr="03-traffic_characterisation_files/figure-docx/fig-apt-annual-change-1.png" id="105" name="Picture"/>
                          <pic:cNvPicPr>
                            <a:picLocks noChangeArrowheads="1" noChangeAspect="1"/>
                          </pic:cNvPicPr>
                        </pic:nvPicPr>
                        <pic:blipFill>
                          <a:blip r:embed="rId10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Annual traffic at study airports in 2024 and variation 2023/2024</w:t>
            </w:r>
          </w:p>
          <w:bookmarkEnd w:id="106"/>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2024 air traffic analysis highlights the importance of understanding the structural differences between the Brazilian and European networks. While Guarulhos (SBGR) remains the busiest airport in Brazil, its traffic volume is similar to that of the fifth busiest airport in Europe. This shows that direct comparisons between the top airports in each region may not fully reflect their different realities. Airport operations are influenced by many factors, such as the number of runways, network structure, geography, and density, which make the operational complexity unique in each case.</w:t>
            </w:r>
            <w:r>
              <w:t xml:space="preserve"> </w:t>
            </w:r>
            <w:r>
              <w:t xml:space="preserve">In Brazil, the largest traffic reduction in 2024 occurred at Porto Alegre airport (SBPA). The airport was directly affected by major flooding in May and remained closed until October. As a result, many flights were redirected to other airports in southern Brazil—airports that are not included in the scope of this report and, therefore, are not part of the comparison with Europe.</w:t>
            </w:r>
            <w:r>
              <w:t xml:space="preserve"> </w:t>
            </w:r>
            <w:r>
              <w:t xml:space="preserve">Another important change was the increase in traffic at Galeão International Airport (SBGL), which rose to sixth place among Brazil’s busiest airports. This shift mainly happened because part of the flights originally planned for Santos Dumont Airport (SBRJ) were moved to SBGL due to restrictions applied at SBRJ. Consequently, SBRJ saw a decrease in traffic, while SBGL experienced a gradual increase in operations.</w:t>
            </w:r>
            <w:r>
              <w:t xml:space="preserve"> </w:t>
            </w:r>
            <w:r>
              <w:t xml:space="preserve">Additionally, the share of total traffic handled by the main airports has changed. From 2022 to 2024, there is a slight downward trend, suggesting that traffic is becoming more spread out across a wider range of airports. This may be the result of regional recovery or strategic adjustments made by airlines.</w:t>
            </w:r>
            <w:r>
              <w:t xml:space="preserve"> </w:t>
            </w:r>
            <w:r>
              <w:t xml:space="preserve">Altogether, the data shows the Brazilian air network’s ability to adapt to climate events and operational changes, reinforcing the importance of continuous monitoring to ensure the system’s resilience and efficiency.</w:t>
            </w:r>
          </w:p>
        </w:tc>
      </w:tr>
    </w:tbl>
    <w:p>
      <w:pPr>
        <w:pStyle w:val="BodyText"/>
      </w:pPr>
      <w:hyperlink w:anchor="fig-apt-annual-change">
        <w:r>
          <w:rPr>
            <w:rStyle w:val="Hyperlink"/>
          </w:rPr>
          <w:t xml:space="preserve">Figure 3.5</w:t>
        </w:r>
      </w:hyperlink>
      <w:r>
        <w:t xml:space="preserve"> </w:t>
      </w:r>
      <w:r>
        <w:t xml:space="preserve">shows the annual change of the traffic served at the study airports in 2022 and the associated change of the traffic levels comparing 2022 and 2019.</w:t>
      </w:r>
    </w:p>
    <w:p>
      <w:pPr>
        <w:pStyle w:val="BodyText"/>
      </w:pPr>
      <w:r>
        <w:t xml:space="preserve">With Campinas (SBKP) and Rio de Janeiro (SBRJ), there are two study airports in Brazil that serviced a higher level of traffic in 2022 than in 2019.</w:t>
      </w:r>
      <w:r>
        <w:t xml:space="preserve"> </w:t>
      </w:r>
      <w:r>
        <w:t xml:space="preserve">Both airports are key nodes for the domestic traffic in Brazil.</w:t>
      </w:r>
      <w:r>
        <w:t xml:space="preserve"> </w:t>
      </w:r>
      <w:r>
        <w:t xml:space="preserve">Salvador (SBSV) ranged at the pre-pandemic level.</w:t>
      </w:r>
      <w:r>
        <w:t xml:space="preserve"> </w:t>
      </w:r>
      <w:r>
        <w:t xml:space="preserve">The other Brazilian airports have seen - on average - a decrease of 10-20% of traffic.</w:t>
      </w:r>
      <w:r>
        <w:t xml:space="preserve"> </w:t>
      </w:r>
      <w:r>
        <w:t xml:space="preserve">This suggests that the observed network level increase in movements is distributed across the Brazilian network and not focussed on the airports covered in this study.</w:t>
      </w:r>
    </w:p>
    <w:p>
      <w:pPr>
        <w:pStyle w:val="BodyText"/>
      </w:pPr>
      <w:r>
        <w:t xml:space="preserve">The European airport level traffic - on average - ranged at 20% below the pre-pandemic levels.</w:t>
      </w:r>
      <w:r>
        <w:t xml:space="preserve"> </w:t>
      </w:r>
      <w:r>
        <w:t xml:space="preserve">Munich (EDDM) and Rome (LIRF) observed higher reductions.</w:t>
      </w:r>
      <w:r>
        <w:t xml:space="preserve"> </w:t>
      </w:r>
      <w:r>
        <w:t xml:space="preserve">With an overall weaker recovery of the air traffic demand across Europe in 2022, a similar pattern emerged.</w:t>
      </w:r>
      <w:r>
        <w:t xml:space="preserve"> </w:t>
      </w:r>
      <w:r>
        <w:t xml:space="preserve">The increased network level traffic (ranging about 10% under the pre-pandemic level) is distributed across the European network and other aerodrome connections.</w:t>
      </w:r>
    </w:p>
    <w:bookmarkEnd w:id="109"/>
    <w:bookmarkStart w:id="110"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bookmarkEnd w:id="110"/>
    <w:bookmarkStart w:id="123" w:name="peak-day"/>
    <w:p>
      <w:pPr>
        <w:pStyle w:val="Heading2"/>
      </w:pPr>
      <w:r>
        <w:t xml:space="preserve">3.4 Peak Day</w:t>
      </w:r>
    </w:p>
    <w:tbl>
      <w:tblPr>
        <w:tblStyle w:val="Table"/>
        <w:tblW w:type="pct" w:w="5000"/>
        <w:tblLook w:firstRow="0" w:lastRow="0" w:firstColumn="0" w:lastColumn="0" w:noHBand="0" w:noVBand="0" w:val="0000"/>
        <w:jc w:val="start"/>
        <w:tblLayout w:type="fixed"/>
      </w:tblPr>
      <w:tblGrid>
        <w:gridCol w:w="7920"/>
      </w:tblGrid>
      <w:tr>
        <w:tc>
          <w:tcPr/>
          <w:bookmarkStart w:id="114" w:name="fig-peak-day-side-by-side"/>
          <w:p>
            <w:pPr>
              <w:pStyle w:val="Compact"/>
              <w:jc w:val="center"/>
            </w:pPr>
            <w:r>
              <w:drawing>
                <wp:inline>
                  <wp:extent cx="5334000" cy="4267200"/>
                  <wp:effectExtent b="0" l="0" r="0" t="0"/>
                  <wp:docPr descr="" title="" id="112" name="Picture"/>
                  <a:graphic>
                    <a:graphicData uri="http://schemas.openxmlformats.org/drawingml/2006/picture">
                      <pic:pic>
                        <pic:nvPicPr>
                          <pic:cNvPr descr="03-traffic_characterisation_files/figure-docx/fig-peak-day-side-by-side-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Evolution of peak-day traffic (99th percentile) across recent years</w:t>
            </w:r>
          </w:p>
          <w:bookmarkEnd w:id="114"/>
        </w:tc>
      </w:tr>
    </w:tbl>
    <w:tbl>
      <w:tblPr>
        <w:tblStyle w:val="Table"/>
        <w:tblW w:type="pct" w:w="5000"/>
        <w:tblLook w:firstRow="0" w:lastRow="0" w:firstColumn="0" w:lastColumn="0" w:noHBand="0" w:noVBand="0" w:val="0000"/>
        <w:jc w:val="start"/>
        <w:tblLayout w:type="fixed"/>
      </w:tblPr>
      <w:tblGrid>
        <w:gridCol w:w="7920"/>
      </w:tblGrid>
      <w:tr>
        <w:tc>
          <w:tcPr/>
          <w:bookmarkStart w:id="118" w:name="fig-peak-day"/>
          <w:p>
            <w:pPr>
              <w:pStyle w:val="Compact"/>
              <w:jc w:val="center"/>
            </w:pPr>
            <w:r>
              <w:drawing>
                <wp:inline>
                  <wp:extent cx="5334000" cy="4267200"/>
                  <wp:effectExtent b="0" l="0" r="0" t="0"/>
                  <wp:docPr descr="" title="" id="116" name="Picture"/>
                  <a:graphic>
                    <a:graphicData uri="http://schemas.openxmlformats.org/drawingml/2006/picture">
                      <pic:pic>
                        <pic:nvPicPr>
                          <pic:cNvPr descr="03-traffic_characterisation_files/figure-docx/fig-peak-day-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traffic (2024)</w:t>
            </w:r>
          </w:p>
          <w:bookmarkEnd w:id="118"/>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figure shows that the peak day traffic between 2023 and 2024 shows stability in operational volumes across most of Brazil’s major airports. Even so, some notable variations are observed: Guarulhos (SBGR), Galeão (SBGL), and Confins (SBCF) recorded increases in their peak day movements, reflecting greater capacity to absorb traffic and some redistribution within the national network. In contrast, Santos Dumont Airport (SBRJ) experienced a significant drop in peak traffic, in line with operational restrictions that reduced its capacity and led to the transfer of some flights to Galeão.</w:t>
            </w:r>
            <w:r>
              <w:t xml:space="preserve"> </w:t>
            </w:r>
            <w:r>
              <w:t xml:space="preserve">In the case of Porto Alegre (SBPA), although it was the airport most affected by the floods that began in May 2024, there is no significant drop in peak day traffic. This is because the indicator reflects the highest daily traffic volume during the year, which likely occurred either before May or after partial operations resumed in October.</w:t>
            </w:r>
          </w:p>
        </w:tc>
      </w:tr>
    </w:tbl>
    <w:p>
      <w:pPr>
        <w:pStyle w:val="BodyText"/>
      </w:pPr>
      <w:hyperlink w:anchor="fig-peak-day">
        <w:r>
          <w:rPr>
            <w:rStyle w:val="Hyperlink"/>
          </w:rPr>
          <w:t xml:space="preserve">Figure 3.7</w:t>
        </w:r>
      </w:hyperlink>
      <w:r>
        <w:t xml:space="preserve"> </w:t>
      </w:r>
      <w:r>
        <w:t xml:space="preserve">shows the peak day traffic in 2022 for the study airports with reference to the number of runways.</w:t>
      </w:r>
      <w:r>
        <w:t xml:space="preserve"> </w:t>
      </w:r>
      <w:r>
        <w:t xml:space="preserve">A varied picture can be seen for Europe.</w:t>
      </w:r>
      <w:r>
        <w:t xml:space="preserve"> </w:t>
      </w:r>
      <w:r>
        <w:t xml:space="preserve">For European with more than 2 runways it needs to be noted that the runway system does not support independent operations of all available runways.</w:t>
      </w:r>
      <w:r>
        <w:t xml:space="preserve"> </w:t>
      </w:r>
      <w:r>
        <w:t xml:space="preserve">Thus, the serviced peak traffic is also impacted by the runway system configuration.</w:t>
      </w:r>
    </w:p>
    <w:p>
      <w:pPr>
        <w:pStyle w:val="BodyText"/>
      </w:pPr>
      <w:r>
        <w:t xml:space="preserve">The measure signals the use of the available runway system.</w:t>
      </w:r>
    </w:p>
    <w:p>
      <w:pPr>
        <w:pStyle w:val="SourceCode"/>
      </w:pPr>
      <w:r>
        <w:rPr>
          <w:rStyle w:val="VerbatimChar"/>
        </w:rPr>
        <w:t xml:space="preserve">#| label: fig-timeline-peak-day</w:t>
      </w:r>
      <w:r>
        <w:br/>
      </w:r>
      <w:r>
        <w:rPr>
          <w:rStyle w:val="VerbatimChar"/>
        </w:rPr>
        <w:t xml:space="preserve">#| fig-cap: Evolution of peak-day traffic at study airports</w:t>
      </w:r>
      <w:r>
        <w:br/>
      </w:r>
      <w:r>
        <w:rPr>
          <w:rStyle w:val="VerbatimChar"/>
        </w:rPr>
        <w:t xml:space="preserve">#| message: false</w:t>
      </w:r>
      <w:r>
        <w:br/>
      </w:r>
      <w:r>
        <w:br/>
      </w:r>
      <w:r>
        <w:rPr>
          <w:rStyle w:val="VerbatimChar"/>
        </w:rPr>
        <w:t xml:space="preserve">timeline_peak_day(c(2019:2024))</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1" name="Picture"/>
                  <a:graphic>
                    <a:graphicData uri="http://schemas.openxmlformats.org/drawingml/2006/picture">
                      <pic:pic>
                        <pic:nvPicPr>
                          <pic:cNvPr descr="/Applications/quarto/share/formats/docx/note.png" id="12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CHECK - TIMELINE - REMOVED</w:t>
            </w:r>
          </w:p>
          <w:p>
            <w:pPr>
              <w:pStyle w:val="BodyText"/>
            </w:pPr>
            <w:pPr>
              <w:spacing w:after="16"/>
            </w:pPr>
            <w:r>
              <w:t xml:space="preserve">The figure shows historical data from 2019 to 2024, providing a broader view of the recovery path in both regions. In Brazil, Guarulhos (SBGR) remains the busiest airport every year. Other airports—such as Congonhas (SBSP), Brasília (SBBR), Campinas (SBKP), and Confins (SBCF)—also show steady growth, with some already surpassing pre-pandemic levels.</w:t>
            </w:r>
            <w:r>
              <w:t xml:space="preserve"> </w:t>
            </w:r>
            <w:r>
              <w:t xml:space="preserve">In Europe, xxxxxxxxx</w:t>
            </w:r>
            <w:r>
              <w:t xml:space="preserve"> </w:t>
            </w:r>
            <w:r>
              <w:t xml:space="preserve">These insights show the importance of analyzing peak day traffic as a complementary indicator to average daily movements, especially during periods of recovery or operational adjustments. The comparison between Brazilian and European contexts highlights the need for assessments tailored to the reality of each network, considering the structural, operational, and geographic factors that directly affect airport responsiveness and capacity.</w:t>
            </w:r>
          </w:p>
        </w:tc>
      </w:tr>
    </w:tbl>
    <w:p>
      <w:pPr>
        <w:pStyle w:val="BodyText"/>
      </w:pPr>
      <w:r>
        <w:t xml:space="preserve"> </w:t>
      </w:r>
    </w:p>
    <w:p>
      <w:pPr>
        <w:pStyle w:val="SourceCode"/>
      </w:pPr>
      <w:r>
        <w:rPr>
          <w:rStyle w:val="VerbatimChar"/>
        </w:rPr>
        <w:t xml:space="preserve">The year-to-year change of the peak day traffic between 2019 and 2022 is shown in @fig-timeline-peak-day.</w:t>
      </w:r>
      <w:r>
        <w:br/>
      </w:r>
      <w:r>
        <w:rPr>
          <w:rStyle w:val="VerbatimChar"/>
        </w:rPr>
        <w:t xml:space="preserve">For the European study airports, Frankfurt (EDDF), Munich (EDDM), Paris (LFPG), and Rome (LIRF) experienced a higher drop of the daily peak traffic in comparison to 2019.</w:t>
      </w:r>
      <w:r>
        <w:br/>
      </w:r>
      <w:r>
        <w:rPr>
          <w:rStyle w:val="VerbatimChar"/>
        </w:rPr>
        <w:t xml:space="preserve">Despite the not yet fully recovered demand situation at London Gatwick (EGKK) and Zurich (LSZH) showed a moderate reduction of the daily peak traffic in 2022.</w:t>
      </w:r>
      <w:r>
        <w:br/>
      </w:r>
      <w:r>
        <w:rPr>
          <w:rStyle w:val="VerbatimChar"/>
        </w:rPr>
        <w:t xml:space="preserve">This suggest that airports with limited airport runway capacity managed</w:t>
      </w:r>
    </w:p>
    <w:bookmarkEnd w:id="123"/>
    <w:bookmarkStart w:id="135" w:name="fleet-mix"/>
    <w:p>
      <w:pPr>
        <w:pStyle w:val="Heading2"/>
      </w:pPr>
      <w:r>
        <w:t xml:space="preserve">3.5 Fleet Mix</w:t>
      </w:r>
    </w:p>
    <w:tbl>
      <w:tblPr>
        <w:tblStyle w:val="Table"/>
        <w:tblW w:type="pct" w:w="5000"/>
        <w:tblLook w:firstRow="0" w:lastRow="0" w:firstColumn="0" w:lastColumn="0" w:noHBand="0" w:noVBand="0" w:val="0000"/>
        <w:jc w:val="start"/>
        <w:tblLayout w:type="fixed"/>
      </w:tblPr>
      <w:tblGrid>
        <w:gridCol w:w="7920"/>
      </w:tblGrid>
      <w:tr>
        <w:tc>
          <w:tcPr/>
          <w:bookmarkStart w:id="127" w:name="fig-fleet-mix"/>
          <w:p>
            <w:pPr>
              <w:pStyle w:val="Compact"/>
              <w:jc w:val="center"/>
            </w:pPr>
            <w:r>
              <w:drawing>
                <wp:inline>
                  <wp:extent cx="5334000" cy="5334000"/>
                  <wp:effectExtent b="0" l="0" r="0" t="0"/>
                  <wp:docPr descr="" title="" id="125" name="Picture"/>
                  <a:graphic>
                    <a:graphicData uri="http://schemas.openxmlformats.org/drawingml/2006/picture">
                      <pic:pic>
                        <pic:nvPicPr>
                          <pic:cNvPr descr="03-traffic_characterisation_files/figure-docx/fig-fleet-mix-1.pn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7"/>
        </w:tc>
      </w:tr>
    </w:tbl>
    <w:p>
      <w:pPr>
        <w:pStyle w:val="BodyText"/>
      </w:pPr>
      <w:hyperlink w:anchor="fig-fleet-mix">
        <w:r>
          <w:rPr>
            <w:rStyle w:val="Hyperlink"/>
          </w:rPr>
          <w:t xml:space="preserve">Figure 3.8</w:t>
        </w:r>
      </w:hyperlink>
      <w:r>
        <w:t xml:space="preserve"> </w:t>
      </w:r>
      <w:r>
        <w:t xml:space="preserve">depicts the observed share of different wake turbulence categories (WTC) across the study airports in 2024.</w:t>
      </w:r>
      <w:r>
        <w:t xml:space="preserve"> </w:t>
      </w:r>
      <w:r>
        <w:t xml:space="preserve">In both regions,</w:t>
      </w:r>
      <w:r>
        <w:t xml:space="preserve"> </w:t>
      </w:r>
      <w:r>
        <w:t xml:space="preserve">“</w:t>
      </w:r>
      <w:r>
        <w:t xml:space="preserve">medium</w:t>
      </w:r>
      <w:r>
        <w:t xml:space="preserve">”</w:t>
      </w:r>
      <w:r>
        <w:t xml:space="preserve"> </w:t>
      </w:r>
      <w:r>
        <w:t xml:space="preserve">aircraft types are the predominant aircraft type.</w:t>
      </w:r>
      <w:r>
        <w:t xml:space="preserve"> </w:t>
      </w:r>
      <w:r>
        <w:t xml:space="preserve">The fleet mix - and in particular the separation requirements between the different aircraft types - is an important influencing factor for the capacity and observed (and achievable) throughput.</w:t>
      </w:r>
      <w:r>
        <w:t xml:space="preserve"> </w:t>
      </w:r>
      <w:r>
        <w:t xml:space="preserve">In general, a larger proportions of heavy aircraft or aircraft with longer runway occupancy times may result in lower throughput due to the required larger wake turbulence separation or time spent on the runway.</w:t>
      </w:r>
      <w:r>
        <w:t xml:space="preserve"> </w:t>
      </w:r>
      <w:r>
        <w:t xml:space="preserve">The locally defined capacity values may therefore differ based on the predominant fleet mix and operational characteristics, and ultimately result in different observed peak movement numbers or influence surface and terminal operations.</w:t>
      </w:r>
    </w:p>
    <w:p>
      <w:pPr>
        <w:pStyle w:val="BodyText"/>
      </w:pPr>
      <w:r>
        <w:t xml:space="preserve">In Brazil, a significant number of</w:t>
      </w:r>
      <w:r>
        <w:t xml:space="preserve"> </w:t>
      </w:r>
      <w:r>
        <w:t xml:space="preserve">“</w:t>
      </w:r>
      <w:r>
        <w:t xml:space="preserve">light</w:t>
      </w:r>
      <w:r>
        <w:t xml:space="preserve">”</w:t>
      </w:r>
      <w:r>
        <w:t xml:space="preserve"> </w:t>
      </w:r>
      <w:r>
        <w:t xml:space="preserve">types operated in 2023.</w:t>
      </w:r>
      <w:r>
        <w:t xml:space="preserve"> </w:t>
      </w:r>
      <w:r>
        <w:t xml:space="preserve">For example Salvador (SBSV) serviced about 20% of</w:t>
      </w:r>
      <w:r>
        <w:t xml:space="preserve"> </w:t>
      </w:r>
      <w:r>
        <w:t xml:space="preserve">“</w:t>
      </w:r>
      <w:r>
        <w:t xml:space="preserve">light</w:t>
      </w:r>
      <w:r>
        <w:t xml:space="preserve">”</w:t>
      </w:r>
      <w:r>
        <w:t xml:space="preserve"> </w:t>
      </w:r>
      <w:r>
        <w:t xml:space="preserve">types.</w:t>
      </w:r>
      <w:r>
        <w:t xml:space="preserve"> </w:t>
      </w:r>
      <w:r>
        <w:t xml:space="preserve">The major hubs, i.e.</w:t>
      </w:r>
      <w:r>
        <w:t xml:space="preserve"> </w:t>
      </w:r>
      <w:r>
        <w:t xml:space="preserve">São Paulo Guarulhos (SBGR), Rio de Janeiro Galeão (SBGL), and Campinas (SBKP) observed a share of 15-20% of</w:t>
      </w:r>
      <w:r>
        <w:t xml:space="preserve"> </w:t>
      </w:r>
      <w:r>
        <w:t xml:space="preserve">“</w:t>
      </w:r>
      <w:r>
        <w:t xml:space="preserve">heavy</w:t>
      </w:r>
      <w:r>
        <w:t xml:space="preserve">”</w:t>
      </w:r>
      <w:r>
        <w:t xml:space="preserve"> </w:t>
      </w:r>
      <w:r>
        <w:t xml:space="preserve">aircraft.</w:t>
      </w:r>
      <w:r>
        <w:t xml:space="preserve"> </w:t>
      </w:r>
      <w:r>
        <w:t xml:space="preserve">These airports serve also as destinations for international long-haul flights.</w:t>
      </w:r>
    </w:p>
    <w:p>
      <w:pPr>
        <w:pStyle w:val="BodyText"/>
      </w:pPr>
      <w:r>
        <w:t xml:space="preserve">With the exception of Zurich (LSZH), the share of</w:t>
      </w:r>
      <w:r>
        <w:t xml:space="preserve"> </w:t>
      </w:r>
      <w:r>
        <w:t xml:space="preserve">“</w:t>
      </w:r>
      <w:r>
        <w:t xml:space="preserve">light</w:t>
      </w:r>
      <w:r>
        <w:t xml:space="preserve">”</w:t>
      </w:r>
      <w:r>
        <w:t xml:space="preserve"> </w:t>
      </w:r>
      <w:r>
        <w:t xml:space="preserve">types is negligible at the European study airport in 2023.</w:t>
      </w:r>
      <w:r>
        <w:t xml:space="preserve"> </w:t>
      </w:r>
      <w:r>
        <w:t xml:space="preserve">London Heathrow (EGLL), Paris Charles de Gaule (LFPG), and Frankfurt (EDDF) observed the highest shares of</w:t>
      </w:r>
      <w:r>
        <w:t xml:space="preserve"> </w:t>
      </w:r>
      <w:r>
        <w:t xml:space="preserve">“</w:t>
      </w:r>
      <w:r>
        <w:t xml:space="preserve">heavy</w:t>
      </w:r>
      <w:r>
        <w:t xml:space="preserve">”</w:t>
      </w:r>
      <w:r>
        <w:t xml:space="preserve"> </w:t>
      </w:r>
      <w:r>
        <w:t xml:space="preserve">types.</w:t>
      </w:r>
    </w:p>
    <w:p>
      <w:pPr>
        <w:pStyle w:val="BodyText"/>
      </w:pPr>
      <w:r>
        <w:t xml:space="preserve">Within the European region - and its multitude of national hubs - a significant number of international long-haul flights is operated at the chosen study airports.</w:t>
      </w:r>
      <w:r>
        <w:t xml:space="preserve"> </w:t>
      </w:r>
      <w:r>
        <w:t xml:space="preserve">In Brazil, the highlighted airports, Guarulhos (SBGR), Galeão (SBGL), and Campinas (SBKP), play a major role in terms of international connectivity.</w:t>
      </w:r>
      <w:r>
        <w:t xml:space="preserve"> </w:t>
      </w:r>
      <w:r>
        <w:t xml:space="preserve">It follows that medium and light types are used predominantly for inter-reginal connections.</w:t>
      </w:r>
      <w:r>
        <w:t xml:space="preserve"> </w:t>
      </w:r>
      <w:r>
        <w:t xml:space="preserve">Based on the selected study airports, the underlying decentralised structure of the European network becomes more visible.</w:t>
      </w:r>
      <w:r>
        <w:t xml:space="preserve"> </w:t>
      </w:r>
      <w:r>
        <w:t xml:space="preserve">Due to the geo-political composition, airports serving capitals or representing a main national hub are more frequent in Europe.</w:t>
      </w:r>
      <w:r>
        <w:t xml:space="preserve"> </w:t>
      </w:r>
      <w:r>
        <w:t xml:space="preserve">This is in contrast to Brazil, where the international and heavy air traffic appears more centralised at 2-3 pre-dominant hubs.</w:t>
      </w:r>
    </w:p>
    <w:tbl>
      <w:tblPr>
        <w:tblStyle w:val="Table"/>
        <w:tblW w:type="pct" w:w="5000"/>
        <w:tblLook w:firstRow="0" w:lastRow="0" w:firstColumn="0" w:lastColumn="0" w:noHBand="0" w:noVBand="0" w:val="0000"/>
        <w:jc w:val="start"/>
        <w:tblLayout w:type="fixed"/>
      </w:tblPr>
      <w:tblGrid>
        <w:gridCol w:w="7920"/>
      </w:tblGrid>
      <w:tr>
        <w:tc>
          <w:tcPr/>
          <w:bookmarkStart w:id="131" w:name="fig-fleetmix-timeline"/>
          <w:p>
            <w:pPr>
              <w:pStyle w:val="Compact"/>
              <w:jc w:val="center"/>
            </w:pPr>
            <w:r>
              <w:drawing>
                <wp:inline>
                  <wp:extent cx="5334000" cy="6400800"/>
                  <wp:effectExtent b="0" l="0" r="0" t="0"/>
                  <wp:docPr descr="" title="" id="129" name="Picture"/>
                  <a:graphic>
                    <a:graphicData uri="http://schemas.openxmlformats.org/drawingml/2006/picture">
                      <pic:pic>
                        <pic:nvPicPr>
                          <pic:cNvPr descr="03-traffic_characterisation_files/figure-docx/fig-fleetmix-timeline-1.png" id="130" name="Picture"/>
                          <pic:cNvPicPr>
                            <a:picLocks noChangeArrowheads="1" noChangeAspect="1"/>
                          </pic:cNvPicPr>
                        </pic:nvPicPr>
                        <pic:blipFill>
                          <a:blip r:embed="rId12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Fleet mix change over time observed at study airports</w:t>
            </w:r>
          </w:p>
          <w:bookmarkEnd w:id="131"/>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2" name="Picture"/>
                  <a:graphic>
                    <a:graphicData uri="http://schemas.openxmlformats.org/drawingml/2006/picture">
                      <pic:pic>
                        <pic:nvPicPr>
                          <pic:cNvPr descr="/Applications/quarto/share/formats/docx/note.png" id="13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2024 data confirms the dominance of the</w:t>
            </w:r>
            <w:r>
              <w:t xml:space="preserve"> </w:t>
            </w:r>
            <w:r>
              <w:t xml:space="preserve">“</w:t>
            </w:r>
            <w:r>
              <w:t xml:space="preserve">medium</w:t>
            </w:r>
            <w:r>
              <w:t xml:space="preserve">”</w:t>
            </w:r>
            <w:r>
              <w:t xml:space="preserve"> </w:t>
            </w:r>
            <w:r>
              <w:t xml:space="preserve">aircraft category at the airports analyzed in both Brazil and Europe. Fleet mix plays a key role in airport capacity, directly impacting traffic flow and operational efficiency. 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r>
              <w:t xml:space="preserve"> </w:t>
            </w:r>
            <w:r>
              <w:t xml:space="preserve">In Brazil, the main international hubs—Guarulhos (SBGR), Galeão (SBGL), and Campinas (SBKP)—showed a 15% to 20% share of</w:t>
            </w:r>
            <w:r>
              <w:t xml:space="preserve"> </w:t>
            </w:r>
            <w:r>
              <w:t xml:space="preserve">“</w:t>
            </w:r>
            <w:r>
              <w:t xml:space="preserve">heavy</w:t>
            </w:r>
            <w:r>
              <w:t xml:space="preserve">”</w:t>
            </w:r>
            <w:r>
              <w:t xml:space="preserve"> </w:t>
            </w:r>
            <w:r>
              <w:t xml:space="preserve">aircraft, reinforcing their role as the country’s main international gateways. Additionally, some Brazilian airports such as Brasília (SBBR) and Salvador (SBSV) reported a significant share of</w:t>
            </w:r>
            <w:r>
              <w:t xml:space="preserve"> </w:t>
            </w:r>
            <w:r>
              <w:t xml:space="preserve">“</w:t>
            </w:r>
            <w:r>
              <w:t xml:space="preserve">light</w:t>
            </w:r>
            <w:r>
              <w:t xml:space="preserve">”</w:t>
            </w:r>
            <w:r>
              <w:t xml:space="preserve"> </w:t>
            </w:r>
            <w:r>
              <w:t xml:space="preserve">aircraft, a category that is almost absent at the European airports analyzed—except for Zurich (LSZH). In Salvador,</w:t>
            </w:r>
            <w:r>
              <w:t xml:space="preserve"> </w:t>
            </w:r>
            <w:r>
              <w:t xml:space="preserve">“</w:t>
            </w:r>
            <w:r>
              <w:t xml:space="preserve">light</w:t>
            </w:r>
            <w:r>
              <w:t xml:space="preserve">”</w:t>
            </w:r>
            <w:r>
              <w:t xml:space="preserve"> </w:t>
            </w:r>
            <w:r>
              <w:t xml:space="preserve">aircraft account for around 20% of movements, and the share is also notable in Campinas (SBKP).</w:t>
            </w:r>
            <w:r>
              <w:t xml:space="preserve"> </w:t>
            </w:r>
            <w:r>
              <w:t xml:space="preserve">In Europe, major hubs like Frankfurt (EDDF), Heathrow (EGLL), and Charles de Gaulle (LFPG) continue to operate with a higher share of</w:t>
            </w:r>
            <w:r>
              <w:t xml:space="preserve"> </w:t>
            </w:r>
            <w:r>
              <w:t xml:space="preserve">“</w:t>
            </w:r>
            <w:r>
              <w:t xml:space="preserve">heavy</w:t>
            </w:r>
            <w:r>
              <w:t xml:space="preserve">”</w:t>
            </w:r>
            <w:r>
              <w:t xml:space="preserve"> </w:t>
            </w:r>
            <w:r>
              <w:t xml:space="preserve">aircraft, consistent with their status as global connection points. The structural difference between the two regions remains clear: Europe has a more decentralized international network, with multiple hubs across different countries, while Brazil concentrates most of its long-haul traffic in a few key airports.</w:t>
            </w:r>
            <w:r>
              <w:t xml:space="preserve"> </w:t>
            </w:r>
            <w:r>
              <w:t xml:space="preserve">The historical fleet mix chart shows that the distribution across aircraft categories has remained relatively stable over time. Even during the pandemic, although traffic volumes decreased, the mix of aircraft types operating at the analyzed airports did not change significantly. This indicates that all segments were proportionally impacted, without major structural shifts in the profile of operations.</w:t>
            </w:r>
            <w:r>
              <w:t xml:space="preserve"> </w:t>
            </w:r>
            <w:r>
              <w:t xml:space="preserve">Overall, the 2024 data confirms that Brazil continues to follow a more centralized model for international connectivity, while Europe operates with a broader, more distributed network. The presence of a large number of</w:t>
            </w:r>
            <w:r>
              <w:t xml:space="preserve"> </w:t>
            </w:r>
            <w:r>
              <w:t xml:space="preserve">“</w:t>
            </w:r>
            <w:r>
              <w:t xml:space="preserve">light</w:t>
            </w:r>
            <w:r>
              <w:t xml:space="preserve">”</w:t>
            </w:r>
            <w:r>
              <w:t xml:space="preserve"> </w:t>
            </w:r>
            <w:r>
              <w:t xml:space="preserve">aircraft in some Brazilian airports also highlights specific characteristics of regional aviation in the country, which influence traffic patterns and the use of airport infrastructure.</w:t>
            </w:r>
          </w:p>
        </w:tc>
      </w:tr>
    </w:tbl>
    <w:p>
      <w:pPr>
        <w:pStyle w:val="BodyText"/>
      </w:pPr>
      <w:r>
        <w:t xml:space="preserve">On average,</w:t>
      </w:r>
      <w:r>
        <w:t xml:space="preserve"> </w:t>
      </w:r>
      <w:hyperlink w:anchor="fig-fleetmix-timeline">
        <w:r>
          <w:rPr>
            <w:rStyle w:val="Hyperlink"/>
          </w:rPr>
          <w:t xml:space="preserve">Figure 3.9</w:t>
        </w:r>
      </w:hyperlink>
      <w:r>
        <w:t xml:space="preserve"> </w:t>
      </w:r>
      <w:r>
        <w:t xml:space="preserve">shows that the fleetmix remained fairly stable over the years.</w:t>
      </w:r>
      <w:r>
        <w:t xml:space="preserve"> </w:t>
      </w:r>
      <w:r>
        <w:t xml:space="preserve">It is interesting to observe that the unprecedented decline in air transport during the pandemic phase did not substantially break this pattern.</w:t>
      </w:r>
      <w:r>
        <w:t xml:space="preserve"> </w:t>
      </w:r>
      <w:r>
        <w:t xml:space="preserve">This suggests that the contraction of the traffic volume hit all segments at a similar rate</w:t>
      </w:r>
      <w:r>
        <w:t xml:space="preserve"> </w:t>
      </w:r>
      <w:r>
        <w:rPr>
          <w:rStyle w:val="FootnoteReference"/>
        </w:rPr>
        <w:footnoteReference w:id="134"/>
      </w:r>
      <w:r>
        <w:t xml:space="preserve">.</w:t>
      </w:r>
    </w:p>
    <w:bookmarkEnd w:id="135"/>
    <w:bookmarkStart w:id="136" w:name="summary-1"/>
    <w:p>
      <w:pPr>
        <w:pStyle w:val="Heading2"/>
      </w:pPr>
      <w:r>
        <w:t xml:space="preserve">3.6 Summary</w:t>
      </w:r>
    </w:p>
    <w:p>
      <w:pPr>
        <w:pStyle w:val="FirstParagraph"/>
      </w:pPr>
      <w:r>
        <w:t xml:space="preserve">This chapter described the overall evolution of air traffic in Brazil and Europe on the network and study airport level.</w:t>
      </w:r>
      <w:r>
        <w:t xml:space="preserve"> </w:t>
      </w:r>
      <w:r>
        <w:t xml:space="preserve">Air traffic observed an unprecedented decline in both regions in response to COVID19.</w:t>
      </w:r>
      <w:r>
        <w:t xml:space="preserve"> </w:t>
      </w:r>
      <w:r>
        <w:t xml:space="preserve">However, the recovery path in both regions differed.</w:t>
      </w:r>
      <w:r>
        <w:t xml:space="preserve"> </w:t>
      </w:r>
      <w:r>
        <w:t xml:space="preserve">Overall, the Brazilian demand recovered substantially smoother than the European.</w:t>
      </w:r>
      <w:r>
        <w:t xml:space="preserve"> </w:t>
      </w:r>
      <w:r>
        <w:t xml:space="preserve">As national governments varied in their assessments and introduction of public health measures, including travel restrictions, intra-European air connectivity observed several setbacks.</w:t>
      </w:r>
      <w:r>
        <w:t xml:space="preserve"> </w:t>
      </w:r>
      <w:r>
        <w:t xml:space="preserve">On a network level, air traffic in Brazil exceeded the pre-pandemic level, whereas European traffic reaches about 5-10% below the pre-pandemic level.</w:t>
      </w:r>
    </w:p>
    <w:p>
      <w:pPr>
        <w:pStyle w:val="BodyText"/>
      </w:pPr>
      <w:r>
        <w:t xml:space="preserve">In 2023, medium aircraft types were predominant in both regions across the studied airports.</w:t>
      </w:r>
      <w:r>
        <w:t xml:space="preserve"> </w:t>
      </w:r>
      <w:r>
        <w:t xml:space="preserve">Brazil hosted proportionally more light aircraft, notably in Salvador (SBSV).</w:t>
      </w:r>
      <w:r>
        <w:t xml:space="preserve"> </w:t>
      </w:r>
      <w:r>
        <w:t xml:space="preserve">At the same time, major hubs like São Paulo Guarulhos (SBGR) and Campinas (SBKP) handled substantial shares of heavy aircraft.</w:t>
      </w:r>
      <w:r>
        <w:t xml:space="preserve"> </w:t>
      </w:r>
      <w:r>
        <w:t xml:space="preserve">Conversely, European airports, except Zurich (LSZH), had minimal shares of light types, with London Heathrow (EGLL), Paris Charles de Gaule (LFPG), and Frankfurt (EDDF) witnessing higher shares of heavy types.</w:t>
      </w:r>
      <w:r>
        <w:t xml:space="preserve"> </w:t>
      </w:r>
      <w:r>
        <w:t xml:space="preserve">The European network demonstrated a decentralized structure with numerous international long-haul flights, while Brazil’s international and heavy air traffic was centralized in 3 primary hubs.</w:t>
      </w:r>
      <w:r>
        <w:t xml:space="preserve"> </w:t>
      </w:r>
      <w:r>
        <w:t xml:space="preserve">Despite pandemic-induced declines in air transport, data suggests a stable fleet mix, indicating a consistent impact across traffic segments.</w:t>
      </w:r>
    </w:p>
    <w:p>
      <w:pPr>
        <w:pStyle w:val="BodyText"/>
      </w:pPr>
      <w:r>
        <w:t xml:space="preserve">The overall air traffic demand situation is a key driver for the performance of air navigation services.</w:t>
      </w:r>
      <w:r>
        <w:t xml:space="preserve"> </w:t>
      </w:r>
      <w:r>
        <w:t xml:space="preserve">The observed differences may impact - inter alia - separation and synchronisation of air traffic, and influence the observed performance reported in the other chapters of this report.</w:t>
      </w:r>
    </w:p>
    <w:bookmarkEnd w:id="136"/>
    <w:bookmarkEnd w:id="137"/>
    <w:bookmarkStart w:id="191"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in these systems, impacting their functioning during both the strategic phase, where airline schedules are formulated, and the operational phase, where Air Navigation Service Providers (ANSPs) and stakeholders manage the delicate balance between demand and capacity.</w:t>
      </w:r>
      <w:r>
        <w:t xml:space="preserve"> </w:t>
      </w:r>
      <w:r>
        <w:t xml:space="preserve">Enhanced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68" w:name="arrival-punctuality"/>
    <w:p>
      <w:pPr>
        <w:pStyle w:val="Heading2"/>
      </w:pPr>
      <w:r>
        <w:t xml:space="preserve">4.1 Arrival Punctuality</w:t>
      </w:r>
    </w:p>
    <w:bookmarkStart w:id="142" w:name="fig-arrival-punc"/>
    <w:tbl>
      <w:tblPr>
        <w:tblStyle w:val="Table"/>
        <w:tblW w:type="pct" w:w="4900"/>
        <w:tblLook w:firstRow="0" w:lastRow="0" w:firstColumn="0" w:lastColumn="0" w:noHBand="0" w:noVBand="0" w:val="0000"/>
        <w:jc w:val="start"/>
        <w:tblLayout w:type="fixed"/>
      </w:tblPr>
      <w:tblGrid>
        <w:gridCol w:w="7761"/>
      </w:tblGrid>
      <w:tr>
        <w:tc>
          <w:tcPr/>
          <w:tbl>
            <w:tblPr>
              <w:tblStyle w:val="Table"/>
              <w:tblW w:type="pct" w:w="4900"/>
              <w:tblLook w:firstRow="0" w:lastRow="0" w:firstColumn="0" w:lastColumn="0" w:noHBand="0" w:noVBand="0" w:val="0000"/>
              <w:jc w:val="start"/>
              <w:tblLayout w:type="fixed"/>
            </w:tblPr>
            <w:tblGrid>
              <w:gridCol w:w="7761"/>
            </w:tblGrid>
            <w:tr>
              <w:tc>
                <w:tcPr/>
                <w:bookmarkStart w:id="141" w:name="fig-arrival-punc"/>
                <w:p>
                  <w:pPr>
                    <w:pStyle w:val="Compact"/>
                    <w:jc w:val="center"/>
                    <w:jc w:val="left"/>
                  </w:pPr>
                  <w:r>
                    <w:drawing>
                      <wp:inline>
                        <wp:extent cx="5334000" cy="4267200"/>
                        <wp:effectExtent b="0" l="0" r="0" t="0"/>
                        <wp:docPr descr="" title="" id="139" name="Picture"/>
                        <a:graphic>
                          <a:graphicData uri="http://schemas.openxmlformats.org/drawingml/2006/picture">
                            <pic:pic>
                              <pic:nvPicPr>
                                <pic:cNvPr descr="04-predictability_files/figure-docx/fig-arrival-punc-1.png" id="140" name="Picture"/>
                                <pic:cNvPicPr>
                                  <a:picLocks noChangeArrowheads="1" noChangeAspect="1"/>
                                </pic:cNvPicPr>
                              </pic:nvPicPr>
                              <pic:blipFill>
                                <a:blip r:embed="rId138"/>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Arrival punctuality 2023</w:t>
                  </w:r>
                </w:p>
                <w:bookmarkEnd w:id="141"/>
              </w:tc>
            </w:tr>
          </w:tbl>
          <w:p/>
        </w:tc>
      </w:tr>
    </w:tbl>
    <w:p>
      <w:pPr>
        <w:pStyle w:val="BodyText"/>
      </w:pPr>
      <w:pPr>
        <w:spacing w:before="200"/>
        <w:pStyle w:val="ImageCaption"/>
      </w:pPr>
      <w:r>
        <w:t xml:space="preserve">Figure 4.1: Evolution of arrival punctuality at study airports (2023 vs 2024)</w:t>
      </w:r>
    </w:p>
    <w:bookmarkEnd w:id="142"/>
    <w:p>
      <w:pPr>
        <w:pStyle w:val="BodyText"/>
      </w:pPr>
      <w:hyperlink w:anchor="fig-arrival-punc">
        <w:r>
          <w:rPr>
            <w:rStyle w:val="Hyperlink"/>
          </w:rPr>
          <w:t xml:space="preserve">Figure 4.1</w:t>
        </w:r>
      </w:hyperlink>
      <w:r>
        <w:t xml:space="preserve"> </w:t>
      </w:r>
      <w:r>
        <w:t xml:space="preserve">shows the evolution of arrival punctuality for the select airports in Brazil and Europe.</w:t>
      </w:r>
      <w:r>
        <w:t xml:space="preserve"> </w:t>
      </w:r>
      <w:r>
        <w:t xml:space="preserve">When comparing both regions in 2019 and 2022, Brazil’s share of early arrivals (earlier than 15 minutes before the scheduled arrival) is significantly higher than the same European portion.</w:t>
      </w:r>
      <w:r>
        <w:t xml:space="preserve"> </w:t>
      </w:r>
      <w:r>
        <w:t xml:space="preserve">The share of early arrivals accounts for 20-25% across all Brazilian airports.</w:t>
      </w:r>
      <w:r>
        <w:t xml:space="preserve"> </w:t>
      </w:r>
      <w:r>
        <w:t xml:space="preserve">In Europe, flights tend not to arrive significantly earlier than their scheduled time.</w:t>
      </w:r>
      <w:r>
        <w:t xml:space="preserve"> </w:t>
      </w:r>
      <w:r>
        <w:t xml:space="preserve">On average, early arrival range between 8-15% in Europe in 2019.</w:t>
      </w:r>
      <w:r>
        <w:t xml:space="preserve"> </w:t>
      </w:r>
      <w:r>
        <w:t xml:space="preserve">Recent studies conducted by the CGNA/DECEA show that air operators in Brazil declare flight times significantly longer than observed.</w:t>
      </w:r>
      <w:r>
        <w:t xml:space="preserve"> </w:t>
      </w:r>
      <w:r>
        <w:t xml:space="preserve">Similar behaviour is also observed in Europe.</w:t>
      </w:r>
      <w:r>
        <w:t xml:space="preserve"> </w:t>
      </w:r>
      <w:r>
        <w:t xml:space="preserve">Built in buffer times help to achieve a high</w:t>
      </w:r>
      <w:r>
        <w:t xml:space="preserve"> </w:t>
      </w:r>
      <w:r>
        <w:t xml:space="preserve">“</w:t>
      </w:r>
      <w:r>
        <w:t xml:space="preserve">on-time-performance</w:t>
      </w:r>
      <w:r>
        <w:t xml:space="preserve">”</w:t>
      </w:r>
      <w:r>
        <w:t xml:space="preserve"> </w:t>
      </w:r>
      <w:r>
        <w:t xml:space="preserve">record and appeal to passengers favouring a timely arrival performance.</w:t>
      </w:r>
      <w:r>
        <w:t xml:space="preserve"> </w:t>
      </w:r>
      <w:r>
        <w:t xml:space="preserve">Furthermore, both regions have regulations for passenger compensation in place which are triggered in the case of arrival delays.</w:t>
      </w:r>
      <w:r>
        <w:t xml:space="preserve"> </w:t>
      </w:r>
      <w:r>
        <w:t xml:space="preserve">DECEA has already established a forum with the air operator regulator to discuss and propose solutions.</w:t>
      </w:r>
    </w:p>
    <w:p>
      <w:pPr>
        <w:pStyle w:val="BodyText"/>
      </w:pPr>
      <w:r>
        <w:drawing>
          <wp:inline>
            <wp:extent cx="5334000" cy="4267200"/>
            <wp:effectExtent b="0" l="0" r="0" t="0"/>
            <wp:docPr descr="" title="" id="144" name="Picture"/>
            <a:graphic>
              <a:graphicData uri="http://schemas.openxmlformats.org/drawingml/2006/picture">
                <pic:pic>
                  <pic:nvPicPr>
                    <pic:cNvPr descr="04-predictability_files/figure-docx/unnamed-chunk-3-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47" name="Picture"/>
            <a:graphic>
              <a:graphicData uri="http://schemas.openxmlformats.org/drawingml/2006/picture">
                <pic:pic>
                  <pic:nvPicPr>
                    <pic:cNvPr descr="04-predictability_files/figure-docx/unnamed-chunk-4-1.png" id="148" name="Picture"/>
                    <pic:cNvPicPr>
                      <a:picLocks noChangeArrowheads="1" noChangeAspect="1"/>
                    </pic:cNvPicPr>
                  </pic:nvPicPr>
                  <pic:blipFill>
                    <a:blip r:embed="rId146"/>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52" w:name="fig-punc-vs-tfc-1"/>
          <w:p>
            <w:pPr>
              <w:pStyle w:val="Compact"/>
              <w:jc w:val="center"/>
            </w:pPr>
            <w:r>
              <w:drawing>
                <wp:inline>
                  <wp:extent cx="5334000" cy="4267200"/>
                  <wp:effectExtent b="0" l="0" r="0" t="0"/>
                  <wp:docPr descr="" title="" id="150" name="Picture"/>
                  <a:graphic>
                    <a:graphicData uri="http://schemas.openxmlformats.org/drawingml/2006/picture">
                      <pic:pic>
                        <pic:nvPicPr>
                          <pic:cNvPr descr="04-predictability_files/figure-docx/fig-punc-vs-tfc-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Evolution of arrival punctuality -/+15 min vs traffic</w:t>
            </w:r>
          </w:p>
          <w:bookmarkEnd w:id="152"/>
        </w:tc>
      </w:tr>
    </w:tbl>
    <w:tbl>
      <w:tblPr>
        <w:tblStyle w:val="Table"/>
        <w:tblW w:type="pct" w:w="5000"/>
        <w:tblLook w:firstRow="0" w:lastRow="0" w:firstColumn="0" w:lastColumn="0" w:noHBand="0" w:noVBand="0" w:val="0000"/>
        <w:jc w:val="start"/>
        <w:tblLayout w:type="fixed"/>
      </w:tblPr>
      <w:tblGrid>
        <w:gridCol w:w="7920"/>
      </w:tblGrid>
      <w:tr>
        <w:tc>
          <w:tcPr/>
          <w:bookmarkStart w:id="156" w:name="fig-punc-vs-tfc-2"/>
          <w:p>
            <w:pPr>
              <w:pStyle w:val="Compact"/>
              <w:jc w:val="center"/>
            </w:pPr>
            <w:r>
              <w:drawing>
                <wp:inline>
                  <wp:extent cx="5334000" cy="4267200"/>
                  <wp:effectExtent b="0" l="0" r="0" t="0"/>
                  <wp:docPr descr="" title="" id="154" name="Picture"/>
                  <a:graphic>
                    <a:graphicData uri="http://schemas.openxmlformats.org/drawingml/2006/picture">
                      <pic:pic>
                        <pic:nvPicPr>
                          <pic:cNvPr descr="04-predictability_files/figure-docx/fig-punc-vs-tfc-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traffic</w:t>
            </w:r>
          </w:p>
          <w:bookmarkEnd w:id="156"/>
        </w:tc>
      </w:tr>
    </w:tbl>
    <w:p>
      <w:pPr>
        <w:pStyle w:val="BodyText"/>
      </w:pPr>
      <w:r>
        <w:t xml:space="preserve">European airports saw their share of punctual flights in 2022 decrease broadly compared to 2019, even with a more proportional distribution than the Brazilian system.</w:t>
      </w:r>
      <w:r>
        <w:t xml:space="preserve"> </w:t>
      </w:r>
      <w:r>
        <w:t xml:space="preserve">For European operators, there were two primary factors contributing the the lower performance in 2022.</w:t>
      </w:r>
      <w:r>
        <w:t xml:space="preserve"> </w:t>
      </w:r>
      <w:r>
        <w:t xml:space="preserve">The most significant is the cumulative effect, showing that the network of flights has little ability to absorb the delay of one specific delayed flight.</w:t>
      </w:r>
      <w:r>
        <w:t xml:space="preserve"> </w:t>
      </w:r>
      <w:r>
        <w:t xml:space="preserve">The knock-on effect was amplified by the local resource constraints in terms of passenger and turn-around facilitation.</w:t>
      </w:r>
      <w:r>
        <w:t xml:space="preserve"> </w:t>
      </w:r>
      <w:r>
        <w:t xml:space="preserve">The incrasing traffic demand posed challenges at many airports in Europe. Delayed arrivals accumulated further reactionary delay and ultimately passed the delay systematically on to next flights.</w:t>
      </w:r>
      <w:r>
        <w:t xml:space="preserve"> </w:t>
      </w:r>
      <w:r>
        <w:t xml:space="preserve">Further constraints were linked to air space and flow restrictions resulting from the geo-political conflict surrounding the Russian invasion in Ukraine.</w:t>
      </w:r>
      <w:r>
        <w:t xml:space="preserve"> </w:t>
      </w:r>
      <w:r>
        <w:t xml:space="preserve">On average, arrival delays of 15 minutes or more compared to the schedule ranged between 25-35% across the Europen study airports in 2022.</w:t>
      </w:r>
    </w:p>
    <w:p>
      <w:pPr>
        <w:pStyle w:val="BodyText"/>
      </w:pPr>
      <w:r>
        <w:drawing>
          <wp:inline>
            <wp:extent cx="5334000" cy="4267200"/>
            <wp:effectExtent b="0" l="0" r="0" t="0"/>
            <wp:docPr descr="" title="" id="158" name="Picture"/>
            <a:graphic>
              <a:graphicData uri="http://schemas.openxmlformats.org/drawingml/2006/picture">
                <pic:pic>
                  <pic:nvPicPr>
                    <pic:cNvPr descr="04-predictability_files/figure-docx/unnamed-chunk-7-1.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61" name="Picture"/>
            <a:graphic>
              <a:graphicData uri="http://schemas.openxmlformats.org/drawingml/2006/picture">
                <pic:pic>
                  <pic:nvPicPr>
                    <pic:cNvPr descr="04-predictability_files/figure-docx/unnamed-chunk-8-1.png" id="162" name="Picture"/>
                    <pic:cNvPicPr>
                      <a:picLocks noChangeArrowheads="1" noChangeAspect="1"/>
                    </pic:cNvPicPr>
                  </pic:nvPicPr>
                  <pic:blipFill>
                    <a:blip r:embed="rId160"/>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66" w:name="fig-early-vs-late-arrivals"/>
          <w:p>
            <w:pPr>
              <w:pStyle w:val="Compact"/>
              <w:jc w:val="center"/>
            </w:pPr>
            <w:r>
              <w:drawing>
                <wp:inline>
                  <wp:extent cx="5334000" cy="4267200"/>
                  <wp:effectExtent b="0" l="0" r="0" t="0"/>
                  <wp:docPr descr="" title="" id="164" name="Picture"/>
                  <a:graphic>
                    <a:graphicData uri="http://schemas.openxmlformats.org/drawingml/2006/picture">
                      <pic:pic>
                        <pic:nvPicPr>
                          <pic:cNvPr descr="04-predictability_files/figure-docx/fig-early-vs-late-arrivals-1.png" id="165" name="Picture"/>
                          <pic:cNvPicPr>
                            <a:picLocks noChangeArrowheads="1" noChangeAspect="1"/>
                          </pic:cNvPicPr>
                        </pic:nvPicPr>
                        <pic:blipFill>
                          <a:blip r:embed="rId1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Change of share of early and late arrivals (2019 vs 2022)</w:t>
            </w:r>
          </w:p>
          <w:bookmarkEnd w:id="166"/>
        </w:tc>
      </w:tr>
    </w:tbl>
    <w:p>
      <w:pPr>
        <w:pStyle w:val="BodyText"/>
      </w:pPr>
      <w:hyperlink w:anchor="fig-early-vs-late-arrivals">
        <w:r>
          <w:rPr>
            <w:rStyle w:val="Hyperlink"/>
          </w:rPr>
          <w:t xml:space="preserve">Figure 4.4</w:t>
        </w:r>
      </w:hyperlink>
      <w:r>
        <w:t xml:space="preserve"> </w:t>
      </w:r>
      <w:r>
        <w:t xml:space="preserve">compares the share of early and late arrivals at each study airport in 2019 and 2022.</w:t>
      </w:r>
      <w:r>
        <w:t xml:space="preserve"> </w:t>
      </w:r>
      <w:r>
        <w:t xml:space="preserve">From a high-level perspective, air traffic tends to arrive well ahead of schedule in Brazil, while Europe observes a higher share of delayed arrivals.</w:t>
      </w:r>
      <w:r>
        <w:t xml:space="preserve"> </w:t>
      </w:r>
      <w:r>
        <w:t xml:space="preserve">Guarulhos (SBGR) remained the Brazilian airport with the highest share of early flights in 2022 (i.e. 33%), followed by Campinas (SBKP) with 30%.</w:t>
      </w:r>
      <w:r>
        <w:t xml:space="preserve"> </w:t>
      </w:r>
      <w:r>
        <w:t xml:space="preserve">Both airports are essential hubs in the country, and anticipation can be a consequence sought by air operators for better accommodation of the flight network.</w:t>
      </w:r>
      <w:r>
        <w:t xml:space="preserve"> </w:t>
      </w:r>
      <w:r>
        <w:t xml:space="preserve">However, for flow control, this lack of precision is equally problematic, affecting the optimal allocation of resources for the provision of air traffic control and flow service.</w:t>
      </w:r>
      <w:r>
        <w:t xml:space="preserve"> </w:t>
      </w:r>
      <w:r>
        <w:t xml:space="preserve">In turn, Madrid (LEMD) was the European element with the most significant share of early arrivals (i.e. 22%) in 2022.</w:t>
      </w:r>
      <w:r>
        <w:t xml:space="preserve"> </w:t>
      </w:r>
      <w:r>
        <w:t xml:space="preserve">Pre-pandemic such a share was observed at London Heathrow in 2019.</w:t>
      </w:r>
      <w:r>
        <w:t xml:space="preserve"> </w:t>
      </w:r>
      <w:r>
        <w:t xml:space="preserve">These shares still range about 11% lower than the highest shares in Brazil.</w:t>
      </w:r>
      <w:r>
        <w:t xml:space="preserve"> </w:t>
      </w:r>
      <w:r>
        <w:t xml:space="preserve">The distorted nature of the European network in 2022 becomes apparent when observing the share of delayed flights.</w:t>
      </w:r>
      <w:r>
        <w:t xml:space="preserve"> </w:t>
      </w:r>
      <w:r>
        <w:t xml:space="preserve">For example services at London Gatwick (EGKK) faced a share of 39% of delayed flights.</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67"/>
      </w:r>
      <w:r>
        <w:t xml:space="preserve">.</w:t>
      </w:r>
    </w:p>
    <w:bookmarkEnd w:id="168"/>
    <w:bookmarkStart w:id="189" w:name="departure-punctuality"/>
    <w:p>
      <w:pPr>
        <w:pStyle w:val="Heading2"/>
      </w:pPr>
      <w:r>
        <w:t xml:space="preserve">4.2 Departure Punctuality</w:t>
      </w:r>
    </w:p>
    <w:bookmarkStart w:id="173" w:name="fig-departure-punc"/>
    <w:tbl>
      <w:tblPr>
        <w:tblStyle w:val="Table"/>
        <w:tblW w:type="pct" w:w="4900"/>
        <w:tblLook w:firstRow="0" w:lastRow="0" w:firstColumn="0" w:lastColumn="0" w:noHBand="0" w:noVBand="0" w:val="0000"/>
        <w:jc w:val="start"/>
        <w:tblLayout w:type="fixed"/>
      </w:tblPr>
      <w:tblGrid>
        <w:gridCol w:w="7761"/>
      </w:tblGrid>
      <w:tr>
        <w:tc>
          <w:tcPr/>
          <w:tbl>
            <w:tblPr>
              <w:tblStyle w:val="Table"/>
              <w:tblW w:type="pct" w:w="4900"/>
              <w:tblLook w:firstRow="0" w:lastRow="0" w:firstColumn="0" w:lastColumn="0" w:noHBand="0" w:noVBand="0" w:val="0000"/>
              <w:jc w:val="start"/>
              <w:tblLayout w:type="fixed"/>
            </w:tblPr>
            <w:tblGrid>
              <w:gridCol w:w="7761"/>
            </w:tblGrid>
            <w:tr>
              <w:tc>
                <w:tcPr/>
                <w:bookmarkStart w:id="172" w:name="fig-departure-punc"/>
                <w:p>
                  <w:pPr>
                    <w:pStyle w:val="Compact"/>
                    <w:jc w:val="center"/>
                    <w:jc w:val="left"/>
                  </w:pPr>
                  <w:r>
                    <w:drawing>
                      <wp:inline>
                        <wp:extent cx="5334000" cy="4267200"/>
                        <wp:effectExtent b="0" l="0" r="0" t="0"/>
                        <wp:docPr descr="" title="" id="170" name="Picture"/>
                        <a:graphic>
                          <a:graphicData uri="http://schemas.openxmlformats.org/drawingml/2006/picture">
                            <pic:pic>
                              <pic:nvPicPr>
                                <pic:cNvPr descr="04-predictability_files/figure-docx/fig-departure-punc-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Departure punctuality 2023</w:t>
                  </w:r>
                </w:p>
                <w:bookmarkEnd w:id="172"/>
              </w:tc>
            </w:tr>
          </w:tbl>
          <w:p/>
        </w:tc>
      </w:tr>
    </w:tbl>
    <w:p>
      <w:pPr>
        <w:pStyle w:val="BodyText"/>
      </w:pPr>
      <w:pPr>
        <w:spacing w:before="200"/>
        <w:pStyle w:val="ImageCaption"/>
      </w:pPr>
      <w:r>
        <w:t xml:space="preserve">Figure 4.5: Evolution of departure punctuality at study airports (2023 vs 2024)</w:t>
      </w:r>
    </w:p>
    <w:bookmarkEnd w:id="173"/>
    <w:tbl>
      <w:tblPr>
        <w:tblStyle w:val="Table"/>
        <w:tblW w:type="pct" w:w="5000"/>
        <w:tblLook w:firstRow="0" w:lastRow="0" w:firstColumn="0" w:lastColumn="0" w:noHBand="0" w:noVBand="0" w:val="0000"/>
        <w:jc w:val="start"/>
        <w:tblLayout w:type="fixed"/>
      </w:tblPr>
      <w:tblGrid>
        <w:gridCol w:w="7920"/>
      </w:tblGrid>
      <w:tr>
        <w:tc>
          <w:tcPr/>
          <w:bookmarkStart w:id="177" w:name="fig-evolution-DEP-punc"/>
          <w:p>
            <w:pPr>
              <w:pStyle w:val="Compact"/>
              <w:jc w:val="center"/>
            </w:pPr>
            <w:r>
              <w:drawing>
                <wp:inline>
                  <wp:extent cx="5334000" cy="4267200"/>
                  <wp:effectExtent b="0" l="0" r="0" t="0"/>
                  <wp:docPr descr="" title="" id="175" name="Picture"/>
                  <a:graphic>
                    <a:graphicData uri="http://schemas.openxmlformats.org/drawingml/2006/picture">
                      <pic:pic>
                        <pic:nvPicPr>
                          <pic:cNvPr descr="04-predictability_files/figure-docx/fig-evolution-DEP-punc-1.png" id="176" name="Picture"/>
                          <pic:cNvPicPr>
                            <a:picLocks noChangeArrowheads="1" noChangeAspect="1"/>
                          </pic:cNvPicPr>
                        </pic:nvPicPr>
                        <pic:blipFill>
                          <a:blip r:embed="rId17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Evolution of departure punctuality window</w:t>
            </w:r>
          </w:p>
          <w:bookmarkEnd w:id="177"/>
        </w:tc>
      </w:tr>
    </w:tbl>
    <w:tbl>
      <w:tblPr>
        <w:tblStyle w:val="Table"/>
        <w:tblW w:type="pct" w:w="5000"/>
        <w:tblLook w:firstRow="0" w:lastRow="0" w:firstColumn="0" w:lastColumn="0" w:noHBand="0" w:noVBand="0" w:val="0000"/>
        <w:jc w:val="start"/>
        <w:tblLayout w:type="fixed"/>
      </w:tblPr>
      <w:tblGrid>
        <w:gridCol w:w="7920"/>
      </w:tblGrid>
      <w:tr>
        <w:tc>
          <w:tcPr/>
          <w:bookmarkStart w:id="181" w:name="fig-evolution-DEP-punc_by_month"/>
          <w:p>
            <w:pPr>
              <w:pStyle w:val="Compact"/>
              <w:jc w:val="center"/>
            </w:pPr>
            <w:r>
              <w:drawing>
                <wp:inline>
                  <wp:extent cx="5334000" cy="4267200"/>
                  <wp:effectExtent b="0" l="0" r="0" t="0"/>
                  <wp:docPr descr="" title="" id="179" name="Picture"/>
                  <a:graphic>
                    <a:graphicData uri="http://schemas.openxmlformats.org/drawingml/2006/picture">
                      <pic:pic>
                        <pic:nvPicPr>
                          <pic:cNvPr descr="04-predictability_files/figure-docx/fig-evolution-DEP-punc_by_month-1.png" id="180" name="Picture"/>
                          <pic:cNvPicPr>
                            <a:picLocks noChangeArrowheads="1" noChangeAspect="1"/>
                          </pic:cNvPicPr>
                        </pic:nvPicPr>
                        <pic:blipFill>
                          <a:blip r:embed="rId17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Evolution of arrival punctuality window by month</w:t>
            </w:r>
          </w:p>
          <w:bookmarkEnd w:id="181"/>
        </w:tc>
      </w:tr>
    </w:tbl>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4.5</w:t>
        </w:r>
      </w:hyperlink>
      <w:r>
        <w:t xml:space="preserve"> </w:t>
      </w:r>
      <w:r>
        <w:t xml:space="preserve">shows the overall departure punctuality at Brazilian and European airports in 2019 compared to 2022.</w:t>
      </w:r>
      <w:r>
        <w:t xml:space="preserve"> </w:t>
      </w:r>
      <w:r>
        <w:t xml:space="preserve">Despite traffic levels in 2022 still ranging below their 2019 pre-pandemic levels, the departure punctuality in 2022 was - on average - lower than before COVID.</w:t>
      </w:r>
    </w:p>
    <w:p>
      <w:pPr>
        <w:pStyle w:val="BodyText"/>
      </w:pPr>
      <w:r>
        <w:t xml:space="preserve">The difference in departure and arrival punctuality between 2022 and 2019 was significantly more pronounced for Europe indicating an increased strain on the turnaround processes.</w:t>
      </w:r>
      <w:r>
        <w:t xml:space="preserve"> </w:t>
      </w:r>
      <w:r>
        <w:t xml:space="preserve">There has been a significant increase in poor performance days, with departure punctuality falling below 50% and arrival punctuality dropping below 60%, occurring more frequently than in 2019.</w:t>
      </w:r>
      <w:r>
        <w:t xml:space="preserve"> </w:t>
      </w:r>
      <w:r>
        <w:t xml:space="preserve">On the Brazilian side, the Galeão airport (SBGL) observed the highest share of delayed departure flights.</w:t>
      </w:r>
      <w:r>
        <w:t xml:space="preserve"> </w:t>
      </w:r>
      <w:r>
        <w:t xml:space="preserve">It should be noted that the SBGL is the only airport with the Apron Control service directly provided by the airport.</w:t>
      </w:r>
      <w:r>
        <w:t xml:space="preserve"> </w:t>
      </w:r>
      <w:r>
        <w:t xml:space="preserve">Some inefficiency in the coordination between Tower and Apron or divergence at the indicator collection point for the location may be contributing to the observed performance.</w:t>
      </w:r>
    </w:p>
    <w:p>
      <w:pPr>
        <w:pStyle w:val="BodyText"/>
      </w:pPr>
      <w:r>
        <w:t xml:space="preserve">Departure punctuality appeared slightly higher in Brazil in 2022 in comparison to 2019 and outperforms the punctuality levels observed in Europe.</w:t>
      </w:r>
      <w:r>
        <w:t xml:space="preserve"> </w:t>
      </w:r>
      <w:r>
        <w:t xml:space="preserve">It is also notworthy,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85" w:name="fig-early-vs-late-departures"/>
          <w:p>
            <w:pPr>
              <w:pStyle w:val="Compact"/>
              <w:jc w:val="center"/>
            </w:pPr>
            <w:r>
              <w:drawing>
                <wp:inline>
                  <wp:extent cx="5334000" cy="4267200"/>
                  <wp:effectExtent b="0" l="0" r="0" t="0"/>
                  <wp:docPr descr="" title="" id="183" name="Picture"/>
                  <a:graphic>
                    <a:graphicData uri="http://schemas.openxmlformats.org/drawingml/2006/picture">
                      <pic:pic>
                        <pic:nvPicPr>
                          <pic:cNvPr descr="04-predictability_files/figure-docx/fig-early-vs-late-departures-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Change of share of early and late departures (2023 vs 2024)</w:t>
            </w:r>
          </w:p>
          <w:bookmarkEnd w:id="185"/>
        </w:tc>
      </w:tr>
    </w:tbl>
    <w:p>
      <w:pPr>
        <w:pStyle w:val="BodyText"/>
      </w:pPr>
      <w:r>
        <w:drawing>
          <wp:inline>
            <wp:extent cx="5334000" cy="4267200"/>
            <wp:effectExtent b="0" l="0" r="0" t="0"/>
            <wp:docPr descr="" title="" id="187" name="Picture"/>
            <a:graphic>
              <a:graphicData uri="http://schemas.openxmlformats.org/drawingml/2006/picture">
                <pic:pic>
                  <pic:nvPicPr>
                    <pic:cNvPr descr="04-predictability_files/figure-docx/unnamed-chunk-14-1.png" id="188" name="Picture"/>
                    <pic:cNvPicPr>
                      <a:picLocks noChangeArrowheads="1" noChangeAspect="1"/>
                    </pic:cNvPicPr>
                  </pic:nvPicPr>
                  <pic:blipFill>
                    <a:blip r:embed="rId18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change of the share of early and late departures in 2019 and 2022 is shown in</w:t>
      </w:r>
      <w:r>
        <w:t xml:space="preserve"> </w:t>
      </w:r>
      <w:hyperlink w:anchor="fig-early-vs-late-departures">
        <w:r>
          <w:rPr>
            <w:rStyle w:val="Hyperlink"/>
          </w:rPr>
          <w:t xml:space="preserve">Figure 4.8</w:t>
        </w:r>
      </w:hyperlink>
      <w:r>
        <w:t xml:space="preserve">.</w:t>
      </w:r>
      <w:r>
        <w:t xml:space="preserve"> </w:t>
      </w:r>
      <w:r>
        <w:t xml:space="preserve">This presentation highlights the earlier observations.</w:t>
      </w:r>
      <w:r>
        <w:t xml:space="preserve"> </w:t>
      </w:r>
      <w:r>
        <w:t xml:space="preserve">On average, European airports observed a higher share of delayed departures by a factor of 2-3 in comparison to Brazil.</w:t>
      </w:r>
      <w:r>
        <w:t xml:space="preserve"> </w:t>
      </w:r>
      <w:r>
        <w:t xml:space="preserve">While the picture varies, the distored nature of the traffic in 2022 is visible in the higher share of delay departures in 2022 in Europe in comparison to the pre-pandemic levels in 2019.</w:t>
      </w:r>
      <w:r>
        <w:t xml:space="preserve"> </w:t>
      </w:r>
      <w:r>
        <w:t xml:space="preserve">This put a strain on the schedule stability across Europe.</w:t>
      </w:r>
      <w:r>
        <w:t xml:space="preserve"> </w:t>
      </w:r>
      <w:r>
        <w:t xml:space="preserve">Local issues (e.g. reduced facilication capacity at airports) affected air traffic services in terms of surface movement, but also rippled into the network affecting the sequencing of arrivals and departure traffic.</w:t>
      </w:r>
    </w:p>
    <w:bookmarkEnd w:id="189"/>
    <w:bookmarkStart w:id="190" w:name="summary-2"/>
    <w:p>
      <w:pPr>
        <w:pStyle w:val="Heading2"/>
      </w:pPr>
      <w:r>
        <w:t xml:space="preserve">4.3 Summary</w:t>
      </w:r>
    </w:p>
    <w:p>
      <w:pPr>
        <w:pStyle w:val="FirstParagraph"/>
      </w:pPr>
      <w:r>
        <w:t xml:space="preserve">Arrival and departure punctuality play an important role in terms of balancing demand and capacity.</w:t>
      </w:r>
      <w:r>
        <w:t xml:space="preserve"> </w:t>
      </w:r>
      <w:r>
        <w:t xml:space="preserve">Strong distortions of the schedule will ultimately ripple down into reactionary delay and require a higher effort for both the arrival flow and surface movement control.</w:t>
      </w:r>
      <w:r>
        <w:t xml:space="preserve"> </w:t>
      </w:r>
      <w:r>
        <w:t xml:space="preserve">Turnaround distortions affect therefore the planning accuracy of air navigation services and may lead to unwanted side-effects (e.g. longer sequencing and holding in the terminal airspace, passenger inconvenience due to longer taxi-times/blocked gates).</w:t>
      </w:r>
    </w:p>
    <w:p>
      <w:pPr>
        <w:pStyle w:val="BodyText"/>
      </w:pPr>
      <w:r>
        <w:t xml:space="preserve">Distinct patterns were observed in both regions that cannot only be explained by the level of traffic recovery.</w:t>
      </w:r>
      <w:r>
        <w:t xml:space="preserve"> </w:t>
      </w:r>
      <w:r>
        <w:t xml:space="preserve">On average, a higher share of flights arrives well ahead of schedule in Brazil. This pattern is largely unchanged when comparing 2019 and 2022.</w:t>
      </w:r>
      <w:r>
        <w:t xml:space="preserve"> </w:t>
      </w:r>
      <w:r>
        <w:t xml:space="preserve">The ripple effect of the low preparedness level of European airports to address the returning traffic in 2022 is well documented.</w:t>
      </w:r>
      <w:r>
        <w:t xml:space="preserve"> </w:t>
      </w:r>
      <w:r>
        <w:t xml:space="preserve">This yielded a significant low performance in terms of departure punctuality exceeding levels observed in Brazil by a factor of 2-3.</w:t>
      </w:r>
      <w:r>
        <w:t xml:space="preserve"> </w:t>
      </w:r>
      <w:r>
        <w:t xml:space="preserve">Distortions of the local schedule can have knock-on effects on the air navigation service provision, both in terms of surface movement and arrival sequencing.</w:t>
      </w:r>
      <w:r>
        <w:t xml:space="preserve"> </w:t>
      </w:r>
      <w:r>
        <w:t xml:space="preserve">More research is needed to investigate and understand the underlying drivers and to what extent regional connectivity influences the observed patterns.</w:t>
      </w:r>
    </w:p>
    <w:bookmarkEnd w:id="190"/>
    <w:bookmarkEnd w:id="191"/>
    <w:bookmarkStart w:id="198" w:name="conclusions"/>
    <w:p>
      <w:pPr>
        <w:pStyle w:val="Heading1"/>
      </w:pPr>
      <w:r>
        <w:t xml:space="preserve">5. Conclusions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92" name="Picture"/>
                  <a:graphic>
                    <a:graphicData uri="http://schemas.openxmlformats.org/drawingml/2006/picture">
                      <pic:pic>
                        <pic:nvPicPr>
                          <pic:cNvPr descr="/Applications/quarto/share/formats/docx/note.png" id="19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What is shown in this report</w:t>
            </w:r>
          </w:p>
          <w:p>
            <w:pPr>
              <w:pStyle w:val="BodyText"/>
            </w:pPr>
            <w:pPr>
              <w:spacing w:after="16"/>
            </w:pPr>
            <w:r>
              <w:t xml:space="preserve">Generic start - good. Maybe refine a bit.</w:t>
            </w:r>
          </w:p>
        </w:tc>
      </w:tr>
    </w:tbl>
    <w:p>
      <w:pPr>
        <w:pStyle w:val="BodyText"/>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SourceCode"/>
      </w:pPr>
      <w:r>
        <w:rPr>
          <w:rStyle w:val="VerbatimChar"/>
        </w:rPr>
        <w:t xml:space="preserve">This iteration also comprised the integration of additional data sources on the Brazilian side.</w:t>
      </w:r>
      <w:r>
        <w:br/>
      </w:r>
      <w:r>
        <w:rPr>
          <w:rStyle w:val="VerbatimChar"/>
        </w:rPr>
        <w:t xml:space="preserve">The new data sources offer to perform more fine-grained analyses of the observed operational efficiency performance.</w:t>
      </w:r>
      <w:r>
        <w:br/>
      </w:r>
      <w:r>
        <w:rPr>
          <w:rStyle w:val="VerbatimChar"/>
        </w:rPr>
        <w:t xml:space="preserve">This will allow to further develop and complement the framework.</w:t>
      </w:r>
      <w:r>
        <w:br/>
      </w:r>
      <w:r>
        <w:rPr>
          <w:rStyle w:val="VerbatimChar"/>
        </w:rPr>
        <w:t xml:space="preserve">The report also identified several observations and ideas for future research which pave the way ahead for augmenting the associated set of comparison analyses.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94" name="Picture"/>
                  <a:graphic>
                    <a:graphicData uri="http://schemas.openxmlformats.org/drawingml/2006/picture">
                      <pic:pic>
                        <pic:nvPicPr>
                          <pic:cNvPr descr="/Applications/quarto/share/formats/docx/note.png" id="19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Major findings</w:t>
            </w:r>
          </w:p>
        </w:tc>
      </w:tr>
    </w:tbl>
    <w:p>
      <w:pPr>
        <w:pStyle w:val="BodyText"/>
      </w:pPr>
      <w:r>
        <w:t xml:space="preserve"> </w:t>
      </w:r>
    </w:p>
    <w:p>
      <w:pPr>
        <w:pStyle w:val="SourceCode"/>
      </w:pPr>
      <w:r>
        <w:rPr>
          <w:rStyle w:val="VerbatimChar"/>
        </w:rPr>
        <w:t xml:space="preserve">This report kicked off by examining the commonalities and differences in terms of the organisation of air navigation services in both regions.</w:t>
      </w:r>
      <w:r>
        <w:br/>
      </w:r>
      <w:r>
        <w:rPr>
          <w:rStyle w:val="VerbatimChar"/>
        </w:rPr>
        <w:t xml:space="preserve">This was complemented by investigating the air traffic demand to better understand the factors influencing operational performance.</w:t>
      </w:r>
      <w:r>
        <w:br/>
      </w:r>
      <w:r>
        <w:rPr>
          <w:rStyle w:val="VerbatimChar"/>
        </w:rPr>
        <w:t xml:space="preserve">The air navigation service provision is less fragmented in Brazil than in Europe.</w:t>
      </w:r>
      <w:r>
        <w:br/>
      </w:r>
      <w:r>
        <w:rPr>
          <w:rStyle w:val="VerbatimChar"/>
        </w:rPr>
        <w:t xml:space="preserve">This plays out in the total number of air traffic service units.</w:t>
      </w:r>
      <w:r>
        <w:br/>
      </w:r>
      <w:r>
        <w:rPr>
          <w:rStyle w:val="VerbatimChar"/>
        </w:rPr>
        <w:t xml:space="preserve">Both regions operate a central flow management function to ensure network wide flow management.</w:t>
      </w:r>
      <w:r>
        <w:br/>
      </w:r>
      <w:r>
        <w:br/>
      </w:r>
      <w:r>
        <w:rPr>
          <w:rStyle w:val="VerbatimChar"/>
        </w:rPr>
        <w:t xml:space="preserve">In terms of air traffic demand, both regions were impacted by the unprecedented decline of air traffic.</w:t>
      </w:r>
      <w:r>
        <w:br/>
      </w:r>
      <w:r>
        <w:rPr>
          <w:rStyle w:val="VerbatimChar"/>
        </w:rPr>
        <w:t xml:space="preserve">Regional and global traffic restrictions resulted in different patterns.</w:t>
      </w:r>
      <w:r>
        <w:br/>
      </w:r>
      <w:r>
        <w:rPr>
          <w:rStyle w:val="VerbatimChar"/>
        </w:rPr>
        <w:t xml:space="preserve">The recovery in Brazil followed a more continual path, while Europe experienced setbacks due to the variety of national and pan-European measures deployed to curb the spread of COVID.</w:t>
      </w:r>
      <w:r>
        <w:br/>
      </w:r>
      <w:r>
        <w:rPr>
          <w:rStyle w:val="VerbatimChar"/>
        </w:rPr>
        <w:t xml:space="preserve">In 2022, the Brazilian system serviced more traffic than pre-pandemic.</w:t>
      </w:r>
      <w:r>
        <w:br/>
      </w:r>
      <w:r>
        <w:rPr>
          <w:rStyle w:val="VerbatimChar"/>
        </w:rPr>
        <w:t xml:space="preserve">In terms of traffic volume, Europe is still lagging behind with about 85-90% of pre-pandemic network level traffic in 2022.</w:t>
      </w:r>
      <w:r>
        <w:br/>
      </w:r>
      <w:r>
        <w:rPr>
          <w:rStyle w:val="VerbatimChar"/>
        </w:rPr>
        <w:t xml:space="preserve">The traffic situation is also reflected by the demand at the study airports.</w:t>
      </w:r>
      <w:r>
        <w:br/>
      </w:r>
      <w:r>
        <w:rPr>
          <w:rStyle w:val="VerbatimChar"/>
        </w:rPr>
        <w:t xml:space="preserve">There is also a higher level of diversity in terms of air traffic evidenced by the share of light types serviced at the comparison airports.</w:t>
      </w:r>
      <w:r>
        <w:br/>
      </w:r>
      <w:r>
        <w:rPr>
          <w:rStyle w:val="VerbatimChar"/>
        </w:rPr>
        <w:t xml:space="preserve">International traffic is more centralised in Brazil than in Europe.</w:t>
      </w:r>
      <w:r>
        <w:br/>
      </w:r>
      <w:r>
        <w:br/>
      </w:r>
      <w:r>
        <w:rPr>
          <w:rStyle w:val="VerbatimChar"/>
        </w:rPr>
        <w:t xml:space="preserve">The observed punctuality in both regions was strongly influenced by the prevailing COVID-19 recovery.</w:t>
      </w:r>
      <w:r>
        <w:br/>
      </w:r>
      <w:r>
        <w:rPr>
          <w:rStyle w:val="VerbatimChar"/>
        </w:rPr>
        <w:t xml:space="preserve">Particularly, Europe suffered strongly from the surge of air traffic demand in early 2022 which is evidenced by the high share of departure delays.</w:t>
      </w:r>
      <w:r>
        <w:br/>
      </w:r>
      <w:r>
        <w:rPr>
          <w:rStyle w:val="VerbatimChar"/>
        </w:rPr>
        <w:t xml:space="preserve">The reactionary knock-on effect amplified further the overall punctuality performance.</w:t>
      </w:r>
      <w:r>
        <w:br/>
      </w:r>
      <w:r>
        <w:br/>
      </w:r>
      <w:r>
        <w:rPr>
          <w:rStyle w:val="VerbatimChar"/>
        </w:rPr>
        <w:t xml:space="preserve">The utilisation of available runway system capacities is a fundamental enabler for high levels of operational performance.</w:t>
      </w:r>
      <w:r>
        <w:br/>
      </w:r>
      <w:r>
        <w:rPr>
          <w:rStyle w:val="VerbatimChar"/>
        </w:rPr>
        <w:t xml:space="preserve">This report showed that associated capacities are commensurate with the current traffic levels.</w:t>
      </w:r>
      <w:r>
        <w:br/>
      </w:r>
      <w:r>
        <w:rPr>
          <w:rStyle w:val="VerbatimChar"/>
        </w:rPr>
        <w:t xml:space="preserve">For the majority of airports, the realised throughput ranges still below the maximum declared capacities.</w:t>
      </w:r>
      <w:r>
        <w:br/>
      </w:r>
      <w:r>
        <w:br/>
      </w:r>
      <w:r>
        <w:rPr>
          <w:rStyle w:val="VerbatimChar"/>
        </w:rPr>
        <w:t xml:space="preserve">Operational efficiency is measured in this report in the form of the additional time during the surface movement phases and the terminal arrival phase.</w:t>
      </w:r>
      <w:r>
        <w:br/>
      </w:r>
      <w:r>
        <w:rPr>
          <w:rStyle w:val="VerbatimChar"/>
        </w:rPr>
        <w:t xml:space="preserve">On average, taxi-in operations are less constrained than taxi-out operations.</w:t>
      </w:r>
      <w:r>
        <w:br/>
      </w:r>
      <w:r>
        <w:rPr>
          <w:rStyle w:val="VerbatimChar"/>
        </w:rPr>
        <w:t xml:space="preserve">The observed performance varies across the airports and timeframe.</w:t>
      </w:r>
      <w:r>
        <w:br/>
      </w:r>
      <w:r>
        <w:rPr>
          <w:rStyle w:val="VerbatimChar"/>
        </w:rPr>
        <w:t xml:space="preserve">In terms of arrival management, air traffic in Brazil observed higher additional times in the terminal airspace.</w:t>
      </w:r>
      <w:r>
        <w:br/>
      </w:r>
      <w:r>
        <w:rPr>
          <w:rStyle w:val="VerbatimChar"/>
        </w:rPr>
        <w:t xml:space="preserve">This report showed that the scale effect of lower air traffic are potentially masked by the effects of airspace redesign in Brazil.</w:t>
      </w:r>
      <w:r>
        <w:br/>
      </w:r>
      <w:r>
        <w:rPr>
          <w:rStyle w:val="VerbatimChar"/>
        </w:rPr>
        <w:t xml:space="preserve">In the European region, it appears that the higher level of air traffic demand puts pressure on the arrival management and sequencing, and 2022 marks a return to higher additional times within the terminal airspace.</w:t>
      </w:r>
      <w:r>
        <w:br/>
      </w:r>
      <w:r>
        <w:rPr>
          <w:rStyle w:val="VerbatimChar"/>
        </w:rPr>
        <w:t xml:space="preserve">Further research can help to identify drivers and performance enablers.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96" name="Picture"/>
                  <a:graphic>
                    <a:graphicData uri="http://schemas.openxmlformats.org/drawingml/2006/picture">
                      <pic:pic>
                        <pic:nvPicPr>
                          <pic:cNvPr descr="/Applications/quarto/share/formats/docx/note.png" id="197"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Outlook</w:t>
            </w:r>
          </w:p>
        </w:tc>
      </w:tr>
    </w:tbl>
    <w:p>
      <w:pPr>
        <w:pStyle w:val="BodyText"/>
      </w:pPr>
      <w:r>
        <w:t xml:space="preserve">This fourth edition of the bi-regional comparison report documents the continued technical collaboration between DECEA and EUROCONTROL.</w:t>
      </w:r>
    </w:p>
    <w:p>
      <w:pPr>
        <w:pStyle w:val="SourceCode"/>
      </w:pPr>
      <w:r>
        <w:rPr>
          <w:rStyle w:val="VerbatimChar"/>
        </w:rPr>
        <w:t xml:space="preserve">The joint work also helped to promote the approach and state-of-the-art with the international community.</w:t>
      </w:r>
      <w:r>
        <w:br/>
      </w:r>
      <w:r>
        <w:rPr>
          <w:rStyle w:val="VerbatimChar"/>
        </w:rPr>
        <w:t xml:space="preserve">Both groups are contributing to the ICAO GANP Performance Expert Group and the multi-national Performance Benchmarking Working Group.</w:t>
      </w:r>
      <w:r>
        <w:br/>
      </w:r>
      <w:r>
        <w:rPr>
          <w:rStyle w:val="VerbatimChar"/>
        </w:rPr>
        <w:t xml:space="preserve">The wider harmonisation of performance related data and joint refinement of the guidance material and application of the performance framework start paying dividends.</w:t>
      </w:r>
      <w:r>
        <w:br/>
      </w:r>
      <w:r>
        <w:rPr>
          <w:rStyle w:val="VerbatimChar"/>
        </w:rPr>
        <w:t xml:space="preserve">For example, PBWG concluded in its most recent meeting to collaborate on topics of mutual interest for which this report supported the initial research and validation.</w:t>
      </w:r>
      <w:r>
        <w:br/>
      </w:r>
      <w:r>
        <w:br/>
      </w:r>
      <w:r>
        <w:rPr>
          <w:rStyle w:val="VerbatimChar"/>
        </w:rPr>
        <w:t xml:space="preserve">A further outcome of the project is the close technical collaboration.</w:t>
      </w:r>
      <w:r>
        <w:br/>
      </w:r>
      <w:r>
        <w:rPr>
          <w:rStyle w:val="VerbatimChar"/>
        </w:rPr>
        <w:t xml:space="preserve">It is planned to augment the report and its future editions with a rolling web-based monitoring, including regular updates of the underlying data.</w:t>
      </w:r>
      <w:r>
        <w:br/>
      </w:r>
      <w:r>
        <w:rPr>
          <w:rStyle w:val="VerbatimChar"/>
        </w:rPr>
        <w:t xml:space="preserve">This and future reports will help to complement the time series of the measures tracked.</w:t>
      </w:r>
    </w:p>
    <w:bookmarkEnd w:id="198"/>
    <w:bookmarkStart w:id="241" w:name="studies"/>
    <w:p>
      <w:pPr>
        <w:pStyle w:val="Heading1"/>
      </w:pPr>
      <w:r>
        <w:t xml:space="preserve">6. Studies</w:t>
      </w:r>
    </w:p>
    <w:p>
      <w:pPr>
        <w:pStyle w:val="FirstParagraph"/>
      </w:pPr>
      <w:r>
        <w:t xml:space="preserve">this is the placeholder for PM</w:t>
      </w:r>
    </w:p>
    <w:p>
      <w:pPr>
        <w:pStyle w:val="BodyText"/>
      </w:pPr>
      <w:r>
        <w:drawing>
          <wp:inline>
            <wp:extent cx="5334000" cy="2797173"/>
            <wp:effectExtent b="0" l="0" r="0" t="0"/>
            <wp:docPr descr="" title="" id="200" name="Picture"/>
            <a:graphic>
              <a:graphicData uri="http://schemas.openxmlformats.org/drawingml/2006/picture">
                <pic:pic>
                  <pic:nvPicPr>
                    <pic:cNvPr descr="figures/HLC-table.png" id="201" name="Picture"/>
                    <pic:cNvPicPr>
                      <a:picLocks noChangeArrowheads="1" noChangeAspect="1"/>
                    </pic:cNvPicPr>
                  </pic:nvPicPr>
                  <pic:blipFill>
                    <a:blip r:embed="rId199"/>
                    <a:stretch>
                      <a:fillRect/>
                    </a:stretch>
                  </pic:blipFill>
                  <pic:spPr bwMode="auto">
                    <a:xfrm>
                      <a:off x="0" y="0"/>
                      <a:ext cx="5334000" cy="2797173"/>
                    </a:xfrm>
                    <a:prstGeom prst="rect">
                      <a:avLst/>
                    </a:prstGeom>
                    <a:noFill/>
                    <a:ln w="9525">
                      <a:noFill/>
                      <a:headEnd/>
                      <a:tailEnd/>
                    </a:ln>
                  </pic:spPr>
                </pic:pic>
              </a:graphicData>
            </a:graphic>
          </wp:inline>
        </w:drawing>
      </w:r>
    </w:p>
    <w:p>
      <w:pPr>
        <w:pStyle w:val="BodyText"/>
      </w:pPr>
      <w:hyperlink w:anchor="fig-hlc-table-demo">
        <w:r>
          <w:rPr>
            <w:rStyle w:val="Hyperlink"/>
          </w:rPr>
          <w:t xml:space="preserve">Figure 6.1</w:t>
        </w:r>
      </w:hyperlink>
      <w:r>
        <w:t xml:space="preserve"> </w:t>
      </w:r>
      <w:r>
        <w:t xml:space="preserve">is a great example of how the 2 regions compare.</w:t>
      </w:r>
    </w:p>
    <w:tbl>
      <w:tblPr>
        <w:tblStyle w:val="Table"/>
        <w:tblW w:type="pct" w:w="5000"/>
        <w:tblLook w:firstRow="0" w:lastRow="0" w:firstColumn="0" w:lastColumn="0" w:noHBand="0" w:noVBand="0" w:val="0000"/>
        <w:jc w:val="start"/>
        <w:tblLayout w:type="fixed"/>
      </w:tblPr>
      <w:tblGrid>
        <w:gridCol w:w="7920"/>
      </w:tblGrid>
      <w:tr>
        <w:tc>
          <w:tcPr/>
          <w:bookmarkStart w:id="204" w:name="fig-hlc-table-demo"/>
          <w:p>
            <w:pPr>
              <w:pStyle w:val="Compact"/>
              <w:jc w:val="center"/>
            </w:pPr>
            <w:r>
              <w:drawing>
                <wp:inline>
                  <wp:extent cx="2667000" cy="1398586"/>
                  <wp:effectExtent b="0" l="0" r="0" t="0"/>
                  <wp:docPr descr="" title="" id="202" name="Picture"/>
                  <a:graphic>
                    <a:graphicData uri="http://schemas.openxmlformats.org/drawingml/2006/picture">
                      <pic:pic>
                        <pic:nvPicPr>
                          <pic:cNvPr descr="figures/HLC-table.png" id="203" name="Picture"/>
                          <pic:cNvPicPr>
                            <a:picLocks noChangeArrowheads="1" noChangeAspect="1"/>
                          </pic:cNvPicPr>
                        </pic:nvPicPr>
                        <pic:blipFill>
                          <a:blip r:embed="rId199"/>
                          <a:stretch>
                            <a:fillRect/>
                          </a:stretch>
                        </pic:blipFill>
                        <pic:spPr bwMode="auto">
                          <a:xfrm>
                            <a:off x="0" y="0"/>
                            <a:ext cx="2667000" cy="13985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This is our hlc table</w:t>
            </w:r>
          </w:p>
          <w:bookmarkEnd w:id="204"/>
        </w:tc>
      </w:tr>
    </w:tbl>
    <w:p>
      <w:pPr>
        <w:pStyle w:val="BodyText"/>
      </w:pPr>
      <w:r>
        <w:t xml:space="preserve">Point Merge System</w:t>
      </w:r>
    </w:p>
    <w:p>
      <w:pPr>
        <w:pStyle w:val="BodyText"/>
      </w:pPr>
      <w:r>
        <w:t xml:space="preserve">Point Merge System (PMS) is an innovative air traffic sequencing technique designed to optimize aircraft arrival sequences, reduce flight times, and enhance operational safety. PMS operates efficiently under high traffic loads without the need for radar vectoring. It relies on a specific Precision-Area Navigation (P-RNAV) route structure, comprising a merge point and equidistant pre-defined legs known as sequencing legs. Sequencing is achieved through a</w:t>
      </w:r>
      <w:r>
        <w:t xml:space="preserve"> </w:t>
      </w:r>
      <w:r>
        <w:t xml:space="preserve">“</w:t>
      </w:r>
      <w:r>
        <w:t xml:space="preserve">direct-to</w:t>
      </w:r>
      <w:r>
        <w:t xml:space="preserve">”</w:t>
      </w:r>
      <w:r>
        <w:t xml:space="preserve"> </w:t>
      </w:r>
      <w:r>
        <w:t xml:space="preserve">instruction to the merge point at the appropriate time. The sequencing legs are used to delay aircraft only when necessary, a process known as path stretching. The length of these legs reflects the required delay absorption capacity, ensuring a streamlined and predictable arrival flow. This method simplifies controller tasks, reduces communication and workload, enhances pilot situational awareness, and improves the predictability and efficiency of flight trajectories. Figure 1 illustrates the Point Merge system and its components.</w:t>
      </w:r>
    </w:p>
    <w:p>
      <w:pPr>
        <w:pStyle w:val="BodyText"/>
      </w:pPr>
      <w:r>
        <w:drawing>
          <wp:inline>
            <wp:extent cx="2560320" cy="2098307"/>
            <wp:effectExtent b="0" l="0" r="0" t="0"/>
            <wp:docPr descr="" title="" id="206" name="Picture"/>
            <a:graphic>
              <a:graphicData uri="http://schemas.openxmlformats.org/drawingml/2006/picture">
                <pic:pic>
                  <pic:nvPicPr>
                    <pic:cNvPr descr="figures/Point%20Merge%20Structure.png" id="207" name="Picture"/>
                    <pic:cNvPicPr>
                      <a:picLocks noChangeArrowheads="1" noChangeAspect="1"/>
                    </pic:cNvPicPr>
                  </pic:nvPicPr>
                  <pic:blipFill>
                    <a:blip r:embed="rId205"/>
                    <a:stretch>
                      <a:fillRect/>
                    </a:stretch>
                  </pic:blipFill>
                  <pic:spPr bwMode="auto">
                    <a:xfrm>
                      <a:off x="0" y="0"/>
                      <a:ext cx="2560320" cy="2098307"/>
                    </a:xfrm>
                    <a:prstGeom prst="rect">
                      <a:avLst/>
                    </a:prstGeom>
                    <a:noFill/>
                    <a:ln w="9525">
                      <a:noFill/>
                      <a:headEnd/>
                      <a:tailEnd/>
                    </a:ln>
                  </pic:spPr>
                </pic:pic>
              </a:graphicData>
            </a:graphic>
          </wp:inline>
        </w:drawing>
      </w:r>
    </w:p>
    <w:p>
      <w:pPr>
        <w:pStyle w:val="BodyText"/>
      </w:pPr>
      <w:r>
        <w:t xml:space="preserve">The Point Merge System has been successfully implemented at various airports worldwide, demonstrating its effectiveness in enhancing airspace efficiency and reducing the environmental impact of fuel consumption. In Brazil, Guarulhos International Airport (SBGR) — one of the busiest hubs in Latin America — faces daily challenges related to high traffic density. To address these issues, a PMS was implemented for arrival procedures at SBGR in May 2021. More recently, in 2024, the PMS was also adopted at Lisbon Airport (LPPT), further expanding its presence in European airspace.The following is an illustration of flight trajectories at SBGR and LPPT during periods before and after the implementation of the Point Merge System (PMS).</w:t>
      </w:r>
    </w:p>
    <w:p>
      <w:pPr>
        <w:pStyle w:val="BodyText"/>
      </w:pPr>
      <w:r>
        <w:drawing>
          <wp:inline>
            <wp:extent cx="3561347" cy="2521818"/>
            <wp:effectExtent b="0" l="0" r="0" t="0"/>
            <wp:docPr descr="" title="" id="209" name="Picture"/>
            <a:graphic>
              <a:graphicData uri="http://schemas.openxmlformats.org/drawingml/2006/picture">
                <pic:pic>
                  <pic:nvPicPr>
                    <pic:cNvPr descr="figures/trajectory%202019_2024_SBGR.png" id="210" name="Picture"/>
                    <pic:cNvPicPr>
                      <a:picLocks noChangeArrowheads="1" noChangeAspect="1"/>
                    </pic:cNvPicPr>
                  </pic:nvPicPr>
                  <pic:blipFill>
                    <a:blip r:embed="rId208"/>
                    <a:stretch>
                      <a:fillRect/>
                    </a:stretch>
                  </pic:blipFill>
                  <pic:spPr bwMode="auto">
                    <a:xfrm>
                      <a:off x="0" y="0"/>
                      <a:ext cx="3561347" cy="2521818"/>
                    </a:xfrm>
                    <a:prstGeom prst="rect">
                      <a:avLst/>
                    </a:prstGeom>
                    <a:noFill/>
                    <a:ln w="9525">
                      <a:noFill/>
                      <a:headEnd/>
                      <a:tailEnd/>
                    </a:ln>
                  </pic:spPr>
                </pic:pic>
              </a:graphicData>
            </a:graphic>
          </wp:inline>
        </w:drawing>
      </w:r>
    </w:p>
    <w:p>
      <w:pPr>
        <w:pStyle w:val="BodyText"/>
      </w:pPr>
      <w:r>
        <w:drawing>
          <wp:inline>
            <wp:extent cx="2781701" cy="1674795"/>
            <wp:effectExtent b="0" l="0" r="0" t="0"/>
            <wp:docPr descr="" title="" id="212" name="Picture"/>
            <a:graphic>
              <a:graphicData uri="http://schemas.openxmlformats.org/drawingml/2006/picture">
                <pic:pic>
                  <pic:nvPicPr>
                    <pic:cNvPr descr="figures/afterPMS_rwy02.png" id="213" name="Picture"/>
                    <pic:cNvPicPr>
                      <a:picLocks noChangeArrowheads="1" noChangeAspect="1"/>
                    </pic:cNvPicPr>
                  </pic:nvPicPr>
                  <pic:blipFill>
                    <a:blip r:embed="rId211"/>
                    <a:stretch>
                      <a:fillRect/>
                    </a:stretch>
                  </pic:blipFill>
                  <pic:spPr bwMode="auto">
                    <a:xfrm>
                      <a:off x="0" y="0"/>
                      <a:ext cx="2781701" cy="1674795"/>
                    </a:xfrm>
                    <a:prstGeom prst="rect">
                      <a:avLst/>
                    </a:prstGeom>
                    <a:noFill/>
                    <a:ln w="9525">
                      <a:noFill/>
                      <a:headEnd/>
                      <a:tailEnd/>
                    </a:ln>
                  </pic:spPr>
                </pic:pic>
              </a:graphicData>
            </a:graphic>
          </wp:inline>
        </w:drawing>
      </w:r>
    </w:p>
    <w:p>
      <w:pPr>
        <w:pStyle w:val="BodyText"/>
      </w:pPr>
      <w:r>
        <w:drawing>
          <wp:inline>
            <wp:extent cx="2637322" cy="1665170"/>
            <wp:effectExtent b="0" l="0" r="0" t="0"/>
            <wp:docPr descr="" title="" id="215" name="Picture"/>
            <a:graphic>
              <a:graphicData uri="http://schemas.openxmlformats.org/drawingml/2006/picture">
                <pic:pic>
                  <pic:nvPicPr>
                    <pic:cNvPr descr="figures/afterPMS_rwy20.png" id="216" name="Picture"/>
                    <pic:cNvPicPr>
                      <a:picLocks noChangeArrowheads="1" noChangeAspect="1"/>
                    </pic:cNvPicPr>
                  </pic:nvPicPr>
                  <pic:blipFill>
                    <a:blip r:embed="rId214"/>
                    <a:stretch>
                      <a:fillRect/>
                    </a:stretch>
                  </pic:blipFill>
                  <pic:spPr bwMode="auto">
                    <a:xfrm>
                      <a:off x="0" y="0"/>
                      <a:ext cx="2637322" cy="1665170"/>
                    </a:xfrm>
                    <a:prstGeom prst="rect">
                      <a:avLst/>
                    </a:prstGeom>
                    <a:noFill/>
                    <a:ln w="9525">
                      <a:noFill/>
                      <a:headEnd/>
                      <a:tailEnd/>
                    </a:ln>
                  </pic:spPr>
                </pic:pic>
              </a:graphicData>
            </a:graphic>
          </wp:inline>
        </w:drawing>
      </w:r>
    </w:p>
    <w:p>
      <w:pPr>
        <w:pStyle w:val="BodyText"/>
      </w:pPr>
      <w:r>
        <w:drawing>
          <wp:inline>
            <wp:extent cx="2704698" cy="1636294"/>
            <wp:effectExtent b="0" l="0" r="0" t="0"/>
            <wp:docPr descr="" title="" id="218" name="Picture"/>
            <a:graphic>
              <a:graphicData uri="http://schemas.openxmlformats.org/drawingml/2006/picture">
                <pic:pic>
                  <pic:nvPicPr>
                    <pic:cNvPr descr="figures/beforePMS_rwy20.png" id="219" name="Picture"/>
                    <pic:cNvPicPr>
                      <a:picLocks noChangeArrowheads="1" noChangeAspect="1"/>
                    </pic:cNvPicPr>
                  </pic:nvPicPr>
                  <pic:blipFill>
                    <a:blip r:embed="rId217"/>
                    <a:stretch>
                      <a:fillRect/>
                    </a:stretch>
                  </pic:blipFill>
                  <pic:spPr bwMode="auto">
                    <a:xfrm>
                      <a:off x="0" y="0"/>
                      <a:ext cx="2704698" cy="1636294"/>
                    </a:xfrm>
                    <a:prstGeom prst="rect">
                      <a:avLst/>
                    </a:prstGeom>
                    <a:noFill/>
                    <a:ln w="9525">
                      <a:noFill/>
                      <a:headEnd/>
                      <a:tailEnd/>
                    </a:ln>
                  </pic:spPr>
                </pic:pic>
              </a:graphicData>
            </a:graphic>
          </wp:inline>
        </w:drawing>
      </w:r>
    </w:p>
    <w:p>
      <w:pPr>
        <w:pStyle w:val="BodyText"/>
      </w:pPr>
      <w:r>
        <w:drawing>
          <wp:inline>
            <wp:extent cx="2695073" cy="1655545"/>
            <wp:effectExtent b="0" l="0" r="0" t="0"/>
            <wp:docPr descr="" title="" id="221" name="Picture"/>
            <a:graphic>
              <a:graphicData uri="http://schemas.openxmlformats.org/drawingml/2006/picture">
                <pic:pic>
                  <pic:nvPicPr>
                    <pic:cNvPr descr="figures/beforePMS_rwy02.png" id="222" name="Picture"/>
                    <pic:cNvPicPr>
                      <a:picLocks noChangeArrowheads="1" noChangeAspect="1"/>
                    </pic:cNvPicPr>
                  </pic:nvPicPr>
                  <pic:blipFill>
                    <a:blip r:embed="rId220"/>
                    <a:stretch>
                      <a:fillRect/>
                    </a:stretch>
                  </pic:blipFill>
                  <pic:spPr bwMode="auto">
                    <a:xfrm>
                      <a:off x="0" y="0"/>
                      <a:ext cx="2695073" cy="1655545"/>
                    </a:xfrm>
                    <a:prstGeom prst="rect">
                      <a:avLst/>
                    </a:prstGeom>
                    <a:noFill/>
                    <a:ln w="9525">
                      <a:noFill/>
                      <a:headEnd/>
                      <a:tailEnd/>
                    </a:ln>
                  </pic:spPr>
                </pic:pic>
              </a:graphicData>
            </a:graphic>
          </wp:inline>
        </w:drawing>
      </w:r>
    </w:p>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p>
      <w:pPr>
        <w:pStyle w:val="BodyText"/>
      </w:pPr>
      <w:r>
        <w:drawing>
          <wp:inline>
            <wp:extent cx="4446871" cy="2656572"/>
            <wp:effectExtent b="0" l="0" r="0" t="0"/>
            <wp:docPr descr="" title="" id="224" name="Picture"/>
            <a:graphic>
              <a:graphicData uri="http://schemas.openxmlformats.org/drawingml/2006/picture">
                <pic:pic>
                  <pic:nvPicPr>
                    <pic:cNvPr descr="figures/asma_LPPT.png" id="225" name="Picture"/>
                    <pic:cNvPicPr>
                      <a:picLocks noChangeArrowheads="1" noChangeAspect="1"/>
                    </pic:cNvPicPr>
                  </pic:nvPicPr>
                  <pic:blipFill>
                    <a:blip r:embed="rId223"/>
                    <a:stretch>
                      <a:fillRect/>
                    </a:stretch>
                  </pic:blipFill>
                  <pic:spPr bwMode="auto">
                    <a:xfrm>
                      <a:off x="0" y="0"/>
                      <a:ext cx="4446871" cy="2656572"/>
                    </a:xfrm>
                    <a:prstGeom prst="rect">
                      <a:avLst/>
                    </a:prstGeom>
                    <a:noFill/>
                    <a:ln w="9525">
                      <a:noFill/>
                      <a:headEnd/>
                      <a:tailEnd/>
                    </a:ln>
                  </pic:spPr>
                </pic:pic>
              </a:graphicData>
            </a:graphic>
          </wp:inline>
        </w:drawing>
      </w:r>
    </w:p>
    <w:p>
      <w:pPr>
        <w:pStyle w:val="BodyText"/>
      </w:pPr>
      <w:r>
        <w:drawing>
          <wp:inline>
            <wp:extent cx="2877953" cy="2310063"/>
            <wp:effectExtent b="0" l="0" r="0" t="0"/>
            <wp:docPr descr="" title="" id="227" name="Picture"/>
            <a:graphic>
              <a:graphicData uri="http://schemas.openxmlformats.org/drawingml/2006/picture">
                <pic:pic>
                  <pic:nvPicPr>
                    <pic:cNvPr descr="figures/asma_SBGR_2019.png" id="228" name="Picture"/>
                    <pic:cNvPicPr>
                      <a:picLocks noChangeArrowheads="1" noChangeAspect="1"/>
                    </pic:cNvPicPr>
                  </pic:nvPicPr>
                  <pic:blipFill>
                    <a:blip r:embed="rId226"/>
                    <a:stretch>
                      <a:fillRect/>
                    </a:stretch>
                  </pic:blipFill>
                  <pic:spPr bwMode="auto">
                    <a:xfrm>
                      <a:off x="0" y="0"/>
                      <a:ext cx="2877953" cy="2310063"/>
                    </a:xfrm>
                    <a:prstGeom prst="rect">
                      <a:avLst/>
                    </a:prstGeom>
                    <a:noFill/>
                    <a:ln w="9525">
                      <a:noFill/>
                      <a:headEnd/>
                      <a:tailEnd/>
                    </a:ln>
                  </pic:spPr>
                </pic:pic>
              </a:graphicData>
            </a:graphic>
          </wp:inline>
        </w:drawing>
      </w:r>
    </w:p>
    <w:p>
      <w:pPr>
        <w:pStyle w:val="BodyText"/>
      </w:pPr>
      <w:r>
        <w:drawing>
          <wp:inline>
            <wp:extent cx="2781701" cy="2233061"/>
            <wp:effectExtent b="0" l="0" r="0" t="0"/>
            <wp:docPr descr="" title="" id="230" name="Picture"/>
            <a:graphic>
              <a:graphicData uri="http://schemas.openxmlformats.org/drawingml/2006/picture">
                <pic:pic>
                  <pic:nvPicPr>
                    <pic:cNvPr descr="figures/asma_SBGR_2024.png" id="231" name="Picture"/>
                    <pic:cNvPicPr>
                      <a:picLocks noChangeArrowheads="1" noChangeAspect="1"/>
                    </pic:cNvPicPr>
                  </pic:nvPicPr>
                  <pic:blipFill>
                    <a:blip r:embed="rId229"/>
                    <a:stretch>
                      <a:fillRect/>
                    </a:stretch>
                  </pic:blipFill>
                  <pic:spPr bwMode="auto">
                    <a:xfrm>
                      <a:off x="0" y="0"/>
                      <a:ext cx="2781701" cy="2233061"/>
                    </a:xfrm>
                    <a:prstGeom prst="rect">
                      <a:avLst/>
                    </a:prstGeom>
                    <a:noFill/>
                    <a:ln w="9525">
                      <a:noFill/>
                      <a:headEnd/>
                      <a:tailEnd/>
                    </a:ln>
                  </pic:spPr>
                </pic:pic>
              </a:graphicData>
            </a:graphic>
          </wp:inline>
        </w:drawing>
      </w:r>
    </w:p>
    <w:p>
      <w:pPr>
        <w:pStyle w:val="BodyText"/>
      </w:pPr>
      <w:r>
        <w:drawing>
          <wp:inline>
            <wp:extent cx="3946357" cy="2338938"/>
            <wp:effectExtent b="0" l="0" r="0" t="0"/>
            <wp:docPr descr="" title="" id="233" name="Picture"/>
            <a:graphic>
              <a:graphicData uri="http://schemas.openxmlformats.org/drawingml/2006/picture">
                <pic:pic>
                  <pic:nvPicPr>
                    <pic:cNvPr descr="figures/asma_SBGR_2019_2024.png" id="234" name="Picture"/>
                    <pic:cNvPicPr>
                      <a:picLocks noChangeArrowheads="1" noChangeAspect="1"/>
                    </pic:cNvPicPr>
                  </pic:nvPicPr>
                  <pic:blipFill>
                    <a:blip r:embed="rId232"/>
                    <a:stretch>
                      <a:fillRect/>
                    </a:stretch>
                  </pic:blipFill>
                  <pic:spPr bwMode="auto">
                    <a:xfrm>
                      <a:off x="0" y="0"/>
                      <a:ext cx="3946357" cy="2338938"/>
                    </a:xfrm>
                    <a:prstGeom prst="rect">
                      <a:avLst/>
                    </a:prstGeom>
                    <a:noFill/>
                    <a:ln w="9525">
                      <a:noFill/>
                      <a:headEnd/>
                      <a:tailEnd/>
                    </a:ln>
                  </pic:spPr>
                </pic:pic>
              </a:graphicData>
            </a:graphic>
          </wp:inline>
        </w:drawing>
      </w:r>
    </w:p>
    <w:p>
      <w:pPr>
        <w:pStyle w:val="BodyText"/>
      </w:pPr>
      <w:r>
        <w:t xml:space="preserve">The results indicated an increase in additional time for both airports following the implementation of the PMS. This suggests that, operationally, the PMS enabled a higher occupancy rate within the TMA. By design, the PMS enhances the terminal’s capacity to manage and organize inbound traffic more efficiently. However, the runway throughput remained unchanged, as increasing runway capacity would require physical infrastructure modifications. 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p>
      <w:pPr>
        <w:pStyle w:val="BodyText"/>
      </w:pPr>
      <w:r>
        <w:rPr>
          <w:bCs/>
          <w:b/>
        </w:rPr>
        <w:t xml:space="preserve">References</w:t>
      </w:r>
    </w:p>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p>
      <w:pPr>
        <w:pStyle w:val="BodyText"/>
      </w:pPr>
      <w:r>
        <w:t xml:space="preserve">Curitiba Area Control Center (ACC-CW)</w:t>
      </w:r>
    </w:p>
    <w:p>
      <w:pPr>
        <w:pStyle w:val="BodyText"/>
      </w:pPr>
      <w:r>
        <w:t xml:space="preserve">The Curitiba Area Control Center (ACC-CW) is one of four Area Control Centers strategically distributed across Brazil. 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w:t>
      </w:r>
    </w:p>
    <w:p>
      <w:pPr>
        <w:pStyle w:val="BodyText"/>
      </w:pPr>
      <w:r>
        <w:drawing>
          <wp:inline>
            <wp:extent cx="4674310" cy="3133258"/>
            <wp:effectExtent b="0" l="0" r="0" t="0"/>
            <wp:docPr descr="" title="" id="236" name="Picture"/>
            <a:graphic>
              <a:graphicData uri="http://schemas.openxmlformats.org/drawingml/2006/picture">
                <pic:pic>
                  <pic:nvPicPr>
                    <pic:cNvPr descr="figures/traffic%20by%20FIR.png" id="237" name="Picture"/>
                    <pic:cNvPicPr>
                      <a:picLocks noChangeArrowheads="1" noChangeAspect="1"/>
                    </pic:cNvPicPr>
                  </pic:nvPicPr>
                  <pic:blipFill>
                    <a:blip r:embed="rId235"/>
                    <a:stretch>
                      <a:fillRect/>
                    </a:stretch>
                  </pic:blipFill>
                  <pic:spPr bwMode="auto">
                    <a:xfrm>
                      <a:off x="0" y="0"/>
                      <a:ext cx="4674310" cy="3133258"/>
                    </a:xfrm>
                    <a:prstGeom prst="rect">
                      <a:avLst/>
                    </a:prstGeom>
                    <a:noFill/>
                    <a:ln w="9525">
                      <a:noFill/>
                      <a:headEnd/>
                      <a:tailEnd/>
                    </a:ln>
                  </pic:spPr>
                </pic:pic>
              </a:graphicData>
            </a:graphic>
          </wp:inline>
        </w:drawing>
      </w:r>
    </w:p>
    <w:p>
      <w:pPr>
        <w:pStyle w:val="BodyText"/>
      </w:pPr>
      <w:r>
        <w:t xml:space="preserve">The FIR-CW encompasses the Terminal Control Areas (TMA) of São Paulo, Rio de Janeiro, Curitiba, Florianópolis, Porto Alegre, Foz do Iguaçu, Campo Grande, Santa Maria, Macaé, Londrina, and Presidente Prudente.</w:t>
      </w:r>
    </w:p>
    <w:p>
      <w:pPr>
        <w:pStyle w:val="BodyText"/>
      </w:pPr>
      <w:r>
        <w:t xml:space="preserve">Currently, ACC-CW is divided into 18 sectors and two regions: North and South.</w:t>
      </w:r>
    </w:p>
    <w:p>
      <w:pPr>
        <w:pStyle w:val="BodyText"/>
      </w:pPr>
      <w:r>
        <w:t xml:space="preserve">Comparison with EUROCONTROL</w:t>
      </w:r>
    </w:p>
    <w:p>
      <w:pPr>
        <w:pStyle w:val="BodyText"/>
      </w:pPr>
      <w:r>
        <w:drawing>
          <wp:inline>
            <wp:extent cx="5334000" cy="1796715"/>
            <wp:effectExtent b="0" l="0" r="0" t="0"/>
            <wp:docPr descr="" title="" id="239" name="Picture"/>
            <a:graphic>
              <a:graphicData uri="http://schemas.openxmlformats.org/drawingml/2006/picture">
                <pic:pic>
                  <pic:nvPicPr>
                    <pic:cNvPr descr="figures/acc%20ctb%20overview.jpeg" id="240" name="Picture"/>
                    <pic:cNvPicPr>
                      <a:picLocks noChangeArrowheads="1" noChangeAspect="1"/>
                    </pic:cNvPicPr>
                  </pic:nvPicPr>
                  <pic:blipFill>
                    <a:blip r:embed="rId238"/>
                    <a:stretch>
                      <a:fillRect/>
                    </a:stretch>
                  </pic:blipFill>
                  <pic:spPr bwMode="auto">
                    <a:xfrm>
                      <a:off x="0" y="0"/>
                      <a:ext cx="5334000" cy="1796715"/>
                    </a:xfrm>
                    <a:prstGeom prst="rect">
                      <a:avLst/>
                    </a:prstGeom>
                    <a:noFill/>
                    <a:ln w="9525">
                      <a:noFill/>
                      <a:headEnd/>
                      <a:tailEnd/>
                    </a:ln>
                  </pic:spPr>
                </pic:pic>
              </a:graphicData>
            </a:graphic>
          </wp:inline>
        </w:drawing>
      </w:r>
    </w:p>
    <w:p>
      <w:pPr>
        <w:pStyle w:val="BodyText"/>
      </w:pPr>
      <w:r>
        <w:rPr>
          <w:bCs/>
          <w:b/>
        </w:rPr>
        <w:t xml:space="preserve">Flight-hours controlled:</w:t>
      </w:r>
      <w:r>
        <w:br/>
      </w:r>
      <w:r>
        <w:t xml:space="preserve"> </w:t>
      </w:r>
      <w:r>
        <w:t xml:space="preserve">The total number of controlled flight hours was calculated for the year 2023.</w:t>
      </w:r>
    </w:p>
    <w:p>
      <w:pPr>
        <w:pStyle w:val="BodyText"/>
      </w:pPr>
      <w:r>
        <w:rPr>
          <w:bCs/>
          <w:b/>
        </w:rPr>
        <w:t xml:space="preserve">ATCO-hours on duty:</w:t>
      </w:r>
      <w:r>
        <w:br/>
      </w:r>
      <w:r>
        <w:t xml:space="preserve"> </w:t>
      </w:r>
      <w:r>
        <w:t xml:space="preserve">The total monthly scheduled hours of operators in the year 2024 were summed, considering the operational positions: Controller, Control Assistant, Coordinator, and Supervisor.</w:t>
      </w:r>
    </w:p>
    <w:p>
      <w:pPr>
        <w:pStyle w:val="BodyText"/>
      </w:pPr>
      <w:r>
        <w:rPr>
          <w:bCs/>
          <w:b/>
        </w:rPr>
        <w:t xml:space="preserve">Average transit time in minutes:</w:t>
      </w:r>
      <w:r>
        <w:br/>
      </w:r>
      <w:r>
        <w:t xml:space="preserve"> </w:t>
      </w:r>
      <w:r>
        <w:t xml:space="preserve">The average transit time in minutes was calculated per</w:t>
      </w:r>
      <w:r>
        <w:t xml:space="preserve"> </w:t>
      </w:r>
      <w:r>
        <w:t xml:space="preserve">sector for the year 2023, as it provides a complete annual sample</w:t>
      </w:r>
    </w:p>
    <w:p>
      <w:pPr>
        <w:pStyle w:val="BodyText"/>
      </w:pPr>
      <w:r>
        <w:rPr>
          <w:bCs/>
          <w:b/>
        </w:rPr>
        <w:t xml:space="preserve">ATCOs in OPS:</w:t>
      </w:r>
      <w:r>
        <w:br/>
      </w:r>
      <w:r>
        <w:t xml:space="preserve"> </w:t>
      </w:r>
      <w:r>
        <w:t xml:space="preserve">The number of ATCOs in operation was calculated based on the monthly average of qualified operators at ACC-CW, as recorded in SGPO. Currently, ACC-CW has 2,013 operators and 10 trainees.</w:t>
      </w:r>
    </w:p>
    <w:bookmarkEnd w:id="241"/>
    <w:bookmarkStart w:id="248" w:name="references"/>
    <w:p>
      <w:pPr>
        <w:pStyle w:val="Heading1"/>
      </w:pPr>
      <w:r>
        <w:t xml:space="preserve">References</w:t>
      </w:r>
    </w:p>
    <w:bookmarkStart w:id="247" w:name="refs"/>
    <w:bookmarkStart w:id="243"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42">
        <w:r>
          <w:rPr>
            <w:rStyle w:val="Hyperlink"/>
          </w:rPr>
          <w:t xml:space="preserve">https://www.eurocontrol.int/publication/eurocontrol-specification-operational-ans-performance-monitoring</w:t>
        </w:r>
      </w:hyperlink>
      <w:r>
        <w:t xml:space="preserve">.</w:t>
      </w:r>
    </w:p>
    <w:bookmarkEnd w:id="243"/>
    <w:bookmarkStart w:id="245"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44">
        <w:r>
          <w:rPr>
            <w:rStyle w:val="Hyperlink"/>
          </w:rPr>
          <w:t xml:space="preserve">https://www.eurocontrol.int/publication/all-causes-delays-air-transport-europe-annual-2022</w:t>
        </w:r>
      </w:hyperlink>
      <w:r>
        <w:t xml:space="preserve">.</w:t>
      </w:r>
    </w:p>
    <w:bookmarkEnd w:id="245"/>
    <w:bookmarkStart w:id="246" w:name="ref-icao_doc9750_2019"/>
    <w:p>
      <w:pPr>
        <w:pStyle w:val="Bibliography"/>
      </w:pPr>
      <w:r>
        <w:t xml:space="preserve">ICAO. 2019.</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46"/>
    <w:bookmarkEnd w:id="247"/>
    <w:bookmarkEnd w:id="2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4">
    <w:p>
      <w:pPr>
        <w:pStyle w:val="FootnoteText"/>
      </w:pPr>
      <w:r>
        <w:rPr>
          <w:rStyle w:val="FootnoteReference"/>
        </w:rPr>
        <w:footnoteRef/>
      </w:r>
      <w:r>
        <w:t xml:space="preserve"> </w:t>
      </w:r>
      <w:r>
        <w:t xml:space="preserve">Enhanced Traffic Flow Management System</w:t>
      </w:r>
    </w:p>
  </w:footnote>
  <w:footnote w:id="134">
    <w:p>
      <w:pPr>
        <w:pStyle w:val="FootnoteText"/>
      </w:pPr>
      <w:r>
        <w:rPr>
          <w:rStyle w:val="FootnoteReference"/>
        </w:rPr>
        <w:footnoteRef/>
      </w:r>
      <w:r>
        <w:t xml:space="preserve"> </w:t>
      </w:r>
      <w:r>
        <w:t xml:space="preserve">It must be noted that conceptually, the number of aircraft remained unchanged in the both regions.</w:t>
      </w:r>
      <w:r>
        <w:t xml:space="preserve"> </w:t>
      </w:r>
      <w:r>
        <w:t xml:space="preserve">The higher utilisation of</w:t>
      </w:r>
      <w:r>
        <w:t xml:space="preserve"> </w:t>
      </w:r>
      <w:r>
        <w:t xml:space="preserve">“</w:t>
      </w:r>
      <w:r>
        <w:t xml:space="preserve">heavy</w:t>
      </w:r>
      <w:r>
        <w:t xml:space="preserve">”</w:t>
      </w:r>
      <w:r>
        <w:t xml:space="preserve"> </w:t>
      </w:r>
      <w:r>
        <w:t xml:space="preserve">aircraft for logistical support appeared to have offset the lower number international / long-haul passenger flights.</w:t>
      </w:r>
      <w:r>
        <w:t xml:space="preserve"> </w:t>
      </w:r>
      <w:r>
        <w:t xml:space="preserve">For the first six month of 2023, this pattern is continued</w:t>
      </w:r>
    </w:p>
  </w:footnote>
  <w:footnote w:id="167">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30" Target="media/rId30.png" /><Relationship Type="http://schemas.openxmlformats.org/officeDocument/2006/relationships/image" Id="rId47" Target="media/rId47.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103" Target="media/rId103.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97" Target="media/rId97.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90" Target="media/rId90.png" /><Relationship Type="http://schemas.openxmlformats.org/officeDocument/2006/relationships/image" Id="rId138" Target="media/rId138.png" /><Relationship Type="http://schemas.openxmlformats.org/officeDocument/2006/relationships/image" Id="rId169" Target="media/rId169.png" /><Relationship Type="http://schemas.openxmlformats.org/officeDocument/2006/relationships/image" Id="rId163" Target="media/rId163.png" /><Relationship Type="http://schemas.openxmlformats.org/officeDocument/2006/relationships/image" Id="rId182" Target="media/rId182.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86" Target="media/rId18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38" Target="media/rId238.jp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35" Target="media/rId235.png" /><Relationship Type="http://schemas.openxmlformats.org/officeDocument/2006/relationships/image" Id="rId208" Target="media/rId208.png" /><Relationship Type="http://schemas.openxmlformats.org/officeDocument/2006/relationships/hyperlink" Id="rId28" Target="https://ansperformance.eu/global/brazil" TargetMode="External" /><Relationship Type="http://schemas.openxmlformats.org/officeDocument/2006/relationships/hyperlink" Id="rId73"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44" Target="https://www.eurocontrol.int/publication/all-causes-delays-air-transport-europe-annual-2022" TargetMode="External" /><Relationship Type="http://schemas.openxmlformats.org/officeDocument/2006/relationships/hyperlink" Id="rId242"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8" Target="https://ansperformance.eu/global/brazil" TargetMode="External" /><Relationship Type="http://schemas.openxmlformats.org/officeDocument/2006/relationships/hyperlink" Id="rId73"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44" Target="https://www.eurocontrol.int/publication/all-causes-delays-air-transport-europe-annual-2022" TargetMode="External" /><Relationship Type="http://schemas.openxmlformats.org/officeDocument/2006/relationships/hyperlink" Id="rId242"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2025-04-18T17:27:22Z</dcterms:created>
  <dcterms:modified xsi:type="dcterms:W3CDTF">2025-04-18T17:27:22Z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2025-04-18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