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30.png" ContentType="image/png"/>
  <Override PartName="/word/media/rId47.png" ContentType="image/png"/>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2025-03-24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fourth and best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t xml:space="preserve"> </w:t>
      </w:r>
      <w:r>
        <w:t xml:space="preserve">Performance Review Unit, EUROCONTROL</w:t>
      </w:r>
    </w:p>
    <w:p>
      <w:pPr>
        <w:pStyle w:val="BodyText"/>
      </w:pPr>
      <w:r>
        <w:t xml:space="preserve">$$\\[1in]$$</w:t>
      </w:r>
    </w:p>
    <w:p>
      <w:pPr>
        <w:pStyle w:val="FirstParagraph"/>
      </w:pPr>
      <w:r>
        <w:rPr>
          <w:bCs/>
          <w:b/>
        </w:rPr>
        <w:t xml:space="preserve">COPYRIGHT NOTICE AND DISCLAIMER</w:t>
      </w:r>
    </w:p>
    <w:p>
      <w:pPr>
        <w:pStyle w:val="BodyText"/>
      </w:pPr>
      <w:r>
        <w:t xml:space="preserve">Every possible effort was made to ensure that the information and analysis contained in this document are as accurate and complete as possible.</w:t>
      </w:r>
      <w:r>
        <w:t xml:space="preserve"> </w:t>
      </w:r>
      <w:r>
        <w:t xml:space="preserve">Should you find any errors or inconsistencies we would be grateful if you could bring them to our attention.</w:t>
      </w:r>
    </w:p>
    <w:p>
      <w:pPr>
        <w:pStyle w:val="BodyText"/>
      </w:pPr>
      <w:r>
        <w:t xml:space="preserve">The views expressed herein do not necessarily reflect the offical views or policy of DECEA or EUROCONTROL, which - both jointly or individually - make no warranty, either implied or express, for the information contained in this document, neither do both organisations assume any legal liability or</w:t>
      </w:r>
      <w:r>
        <w:t xml:space="preserve"> </w:t>
      </w:r>
      <w:r>
        <w:t xml:space="preserve">responsibility for the accuracy, completeness or usefulness of this information.</w:t>
      </w:r>
    </w:p>
    <w:p>
      <w:pPr>
        <w:pStyle w:val="BodyText"/>
      </w:pPr>
      <w:r>
        <w:t xml:space="preserve">This document is jointly published by EUROCONTROL and DECEA for information purposes. It may be copied in whole or in part, provided that EUROCONTROL and DECEA are mentioned as the source and it is not used for commercial purposes (i.e. for financial gain). The information in this document may not be modified without prior written permission from EUROCONTROL and DECEA.</w:t>
      </w:r>
    </w:p>
    <w:p>
      <w:pPr>
        <w:pStyle w:val="BodyText"/>
      </w:pPr>
      <w:r>
        <w:t xml:space="preserve">www.eurocontrol.int &amp; www.decea.mil.br</w:t>
      </w:r>
    </w:p>
    <w:bookmarkEnd w:id="20"/>
    <w:bookmarkStart w:id="27" w:name="foreword"/>
    <w:p>
      <w:pPr>
        <w:pStyle w:val="Heading1"/>
      </w:pPr>
      <w:r>
        <w:t xml:space="preserve">Foreword</w:t>
      </w: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692203"/>
                  <wp:effectExtent b="0" l="0" r="0" t="0"/>
                  <wp:docPr descr="" title="" id="22" name="Picture"/>
                  <a:graphic>
                    <a:graphicData uri="http://schemas.openxmlformats.org/drawingml/2006/picture">
                      <pic:pic>
                        <pic:nvPicPr>
                          <pic:cNvPr descr="figures/foreword-alcides.png" id="23" name="Picture"/>
                          <pic:cNvPicPr>
                            <a:picLocks noChangeArrowheads="1" noChangeAspect="1"/>
                          </pic:cNvPicPr>
                        </pic:nvPicPr>
                        <pic:blipFill>
                          <a:blip r:embed="rId21"/>
                          <a:stretch>
                            <a:fillRect/>
                          </a:stretch>
                        </pic:blipFill>
                        <pic:spPr bwMode="auto">
                          <a:xfrm>
                            <a:off x="0" y="0"/>
                            <a:ext cx="5334000" cy="1692203"/>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left"/>
            </w:pPr>
            <w:r>
              <w:t xml:space="preserve">$$\\[0.5in]$$</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981012"/>
                  <wp:effectExtent b="0" l="0" r="0" t="0"/>
                  <wp:docPr descr="" title="" id="25" name="Picture"/>
                  <a:graphic>
                    <a:graphicData uri="http://schemas.openxmlformats.org/drawingml/2006/picture">
                      <pic:pic>
                        <pic:nvPicPr>
                          <pic:cNvPr descr="figures/foreword-peter.png" id="26" name="Picture"/>
                          <pic:cNvPicPr>
                            <a:picLocks noChangeArrowheads="1" noChangeAspect="1"/>
                          </pic:cNvPicPr>
                        </pic:nvPicPr>
                        <pic:blipFill>
                          <a:blip r:embed="rId24"/>
                          <a:stretch>
                            <a:fillRect/>
                          </a:stretch>
                        </pic:blipFill>
                        <pic:spPr bwMode="auto">
                          <a:xfrm>
                            <a:off x="0" y="0"/>
                            <a:ext cx="5334000" cy="1981012"/>
                          </a:xfrm>
                          <a:prstGeom prst="rect">
                            <a:avLst/>
                          </a:prstGeom>
                          <a:noFill/>
                          <a:ln w="9525">
                            <a:noFill/>
                            <a:headEnd/>
                            <a:tailEnd/>
                          </a:ln>
                        </pic:spPr>
                      </pic:pic>
                    </a:graphicData>
                  </a:graphic>
                </wp:inline>
              </w:drawing>
            </w:r>
          </w:p>
        </w:tc>
      </w:tr>
    </w:tbl>
    <w:bookmarkEnd w:id="27"/>
    <w:bookmarkStart w:id="34"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8">
        <w:r>
          <w:rPr>
            <w:rStyle w:val="Hyperlink"/>
          </w:rPr>
          <w:t xml:space="preserve">https://ansperformance.eu/global/brazil</w:t>
        </w:r>
      </w:hyperlink>
      <w:r>
        <w:t xml:space="preserve"> </w:t>
      </w:r>
      <w:r>
        <w:t xml:space="preserve">or</w:t>
      </w:r>
      <w:r>
        <w:t xml:space="preserve"> </w:t>
      </w:r>
      <w:r>
        <w:t xml:space="preserve">*</w:t>
      </w:r>
      <w:r>
        <w:t xml:space="preserve"> </w:t>
      </w:r>
      <w:hyperlink r:id="rId29">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Layout w:type="fixed"/>
      </w:tblPr>
      <w:tblGrid>
        <w:gridCol w:w="7920"/>
      </w:tblGrid>
      <w:tr>
        <w:tc>
          <w:tcPr/>
          <w:bookmarkStart w:id="33" w:name="fig-scope-KPAs-KPIs"/>
          <w:p>
            <w:pPr>
              <w:pStyle w:val="Compact"/>
              <w:jc w:val="center"/>
            </w:pPr>
            <w:r>
              <w:drawing>
                <wp:inline>
                  <wp:extent cx="3200400" cy="1685893"/>
                  <wp:effectExtent b="0" l="0" r="0" t="0"/>
                  <wp:docPr descr="" title="" id="31" name="Picture"/>
                  <a:graphic>
                    <a:graphicData uri="http://schemas.openxmlformats.org/drawingml/2006/picture">
                      <pic:pic>
                        <pic:nvPicPr>
                          <pic:cNvPr descr="./figures/scope-KPA-and-KPI.png" id="32" name="Picture"/>
                          <pic:cNvPicPr>
                            <a:picLocks noChangeArrowheads="1" noChangeAspect="1"/>
                          </pic:cNvPicPr>
                        </pic:nvPicPr>
                        <pic:blipFill>
                          <a:blip r:embed="rId30"/>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33"/>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34"/>
    <w:bookmarkStart w:id="57" w:name="introduction"/>
    <w:p>
      <w:pPr>
        <w:pStyle w:val="Heading1"/>
      </w:pPr>
      <w:r>
        <w:t xml:space="preserve">1. Introduction</w:t>
      </w:r>
    </w:p>
    <w:bookmarkStart w:id="35"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35"/>
    <w:bookmarkStart w:id="37"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36"/>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7"/>
    <w:bookmarkStart w:id="53"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BRA-airspace"/>
          <w:p>
            <w:pPr>
              <w:pStyle w:val="Compact"/>
              <w:jc w:val="center"/>
            </w:pPr>
            <w:r>
              <w:drawing>
                <wp:inline>
                  <wp:extent cx="5334000" cy="3026111"/>
                  <wp:effectExtent b="0" l="0" r="0" t="0"/>
                  <wp:docPr descr="" title="" id="39" name="Picture"/>
                  <a:graphic>
                    <a:graphicData uri="http://schemas.openxmlformats.org/drawingml/2006/picture">
                      <pic:pic>
                        <pic:nvPicPr>
                          <pic:cNvPr descr="./figures/BRAZIL_CINDACTA_AND_CRCEA.png" id="40" name="Picture"/>
                          <pic:cNvPicPr>
                            <a:picLocks noChangeArrowheads="1" noChangeAspect="1"/>
                          </pic:cNvPicPr>
                        </pic:nvPicPr>
                        <pic:blipFill>
                          <a:blip r:embed="rId38"/>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41"/>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Layout w:type="fixed"/>
      </w:tblPr>
      <w:tblGrid>
        <w:gridCol w:w="7920"/>
      </w:tblGrid>
      <w:tr>
        <w:tc>
          <w:tcPr/>
          <w:bookmarkStart w:id="45" w:name="fig-EUR-airspace"/>
          <w:p>
            <w:pPr>
              <w:pStyle w:val="Compact"/>
              <w:jc w:val="center"/>
            </w:pPr>
            <w:r>
              <w:drawing>
                <wp:inline>
                  <wp:extent cx="5334000" cy="4503009"/>
                  <wp:effectExtent b="0" l="0" r="0" t="0"/>
                  <wp:docPr descr="" title="" id="43" name="Picture"/>
                  <a:graphic>
                    <a:graphicData uri="http://schemas.openxmlformats.org/drawingml/2006/picture">
                      <pic:pic>
                        <pic:nvPicPr>
                          <pic:cNvPr descr="./figures/Europe-ECTRL.png" id="44" name="Picture"/>
                          <pic:cNvPicPr>
                            <a:picLocks noChangeArrowheads="1" noChangeAspect="1"/>
                          </pic:cNvPicPr>
                        </pic:nvPicPr>
                        <pic:blipFill>
                          <a:blip r:embed="rId42"/>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45"/>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volumes.</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51" w:name="study-airports"/>
    <w:p>
      <w:pPr>
        <w:pStyle w:val="Heading3"/>
      </w:pPr>
      <w:r>
        <w:t xml:space="preserve">1.3.1 Study Airports</w:t>
      </w:r>
    </w:p>
    <w:p>
      <w:pPr>
        <w:pStyle w:val="FirstParagraph"/>
      </w:pPr>
      <w:r>
        <w:t xml:space="preserve">As concerns airport-related operational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hyperlink w:anchor="tbl-scopetable">
        <w:r>
          <w:rPr>
            <w:rStyle w:val="Hyperlink"/>
          </w:rPr>
          <w:t xml:space="preserve">Table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tbl-scopetable"/>
          <w:p>
            <w:pPr>
              <w:jc w:val="center"/>
            </w:pPr>
            <w:pPr>
              <w:jc w:val="start"/>
              <w:spacing w:before="200"/>
              <w:pStyle w:val="ImageCaption"/>
            </w:pPr>
            <w:r>
              <w:t xml:space="preserve">Table 1.1: List of study airports for the Brazil / Europe operational ANS performance comparison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Brazil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Europe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Brasília (SBBR)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Amsterdam Schiphol (EHAM)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Guarulhos (SBGR)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Paris Charles de Gaulle (LFPG)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Congonhas (SBSP)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Heathrow (EGLL)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Campinas (SBKP)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Frankfurt (EDDF)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S. Dumont (SBRJ)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Munich (EDDM)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Galeão (SBGL)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Madrid (LEMD)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Belo Horizonte Confins (SBCF)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Rome Fiumicino (LIRF)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Salvador (SBSV)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Barcelona (LEBL)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Porto Alegre (SBPA)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Gatwick (EGKK)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Curitiba (SBCT)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Zurich (LSZH)</w:t>
                  </w:r>
                </w:p>
              </w:tc>
            </w:tr>
          </w:tbl>
          <w:bookmarkEnd w:id="46"/>
        </w:tc>
      </w:tr>
    </w:tbl>
    <w:tbl>
      <w:tblPr>
        <w:tblStyle w:val="Table"/>
        <w:tblW w:type="pct" w:w="5000"/>
        <w:tblLook w:firstRow="0" w:lastRow="0" w:firstColumn="0" w:lastColumn="0" w:noHBand="0" w:noVBand="0" w:val="0000"/>
        <w:jc w:val="start"/>
        <w:tblLayout w:type="fixed"/>
      </w:tblPr>
      <w:tblGrid>
        <w:gridCol w:w="7920"/>
      </w:tblGrid>
      <w:tr>
        <w:tc>
          <w:tcPr/>
          <w:bookmarkStart w:id="50" w:name="fig-scope-airports"/>
          <w:p>
            <w:pPr>
              <w:pStyle w:val="Compact"/>
              <w:jc w:val="center"/>
            </w:pPr>
            <w:r>
              <w:drawing>
                <wp:inline>
                  <wp:extent cx="4800600" cy="2966620"/>
                  <wp:effectExtent b="0" l="0" r="0" t="0"/>
                  <wp:docPr descr="" title="" id="48" name="Picture"/>
                  <a:graphic>
                    <a:graphicData uri="http://schemas.openxmlformats.org/drawingml/2006/picture">
                      <pic:pic>
                        <pic:nvPicPr>
                          <pic:cNvPr descr="./figures/scope-airports.png" id="49" name="Picture"/>
                          <pic:cNvPicPr>
                            <a:picLocks noChangeArrowheads="1" noChangeAspect="1"/>
                          </pic:cNvPicPr>
                        </pic:nvPicPr>
                        <pic:blipFill>
                          <a:blip r:embed="rId47"/>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50"/>
        </w:tc>
      </w:tr>
    </w:tbl>
    <w:bookmarkEnd w:id="51"/>
    <w:bookmarkStart w:id="52" w:name="temporal-scope"/>
    <w:p>
      <w:pPr>
        <w:pStyle w:val="Heading3"/>
      </w:pPr>
      <w:r>
        <w:t xml:space="preserve">1.3.2 Temporal Scope</w:t>
      </w:r>
    </w:p>
    <w:p>
      <w:pPr>
        <w:pStyle w:val="FirstParagraph"/>
      </w:pPr>
      <w:r>
        <w:t xml:space="preserve">This report focuses on the period from January 2019 to December 2023.</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52"/>
    <w:bookmarkEnd w:id="53"/>
    <w:bookmarkStart w:id="55"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data from the tower systems of the main airports as a data source for performance studies.</w:t>
      </w:r>
      <w:r>
        <w:t xml:space="preserve"> </w:t>
      </w:r>
      <w:r>
        <w:t xml:space="preserve">The control tower system collects and provides data for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analytical work.</w:t>
      </w:r>
      <w:r>
        <w:t xml:space="preserve"> </w:t>
      </w:r>
      <w:r>
        <w:t xml:space="preserve">The provided data include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54"/>
      </w:r>
      <w:r>
        <w:t xml:space="preserve">) complemented with airport operator reported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55"/>
    <w:bookmarkStart w:id="56"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 overview, purpose and scope of the comparison report; short description of data sources used;</w:t>
      </w:r>
    </w:p>
    <w:p>
      <w:pPr>
        <w:numPr>
          <w:ilvl w:val="0"/>
          <w:numId w:val="1002"/>
        </w:numPr>
        <w:pStyle w:val="Compact"/>
      </w:pPr>
      <w:r>
        <w:rPr>
          <w:bCs/>
          <w:b/>
        </w:rPr>
        <w:t xml:space="preserve">Air Navigation System Characteristics</w:t>
      </w:r>
      <w:r>
        <w:t xml:space="preserve"> </w:t>
      </w:r>
      <w:r>
        <w:t xml:space="preserve">–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 network level and airport level 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 and</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56"/>
    <w:bookmarkEnd w:id="57"/>
    <w:bookmarkStart w:id="58" w:name="next-chapter"/>
    <w:p>
      <w:pPr>
        <w:pStyle w:val="Heading1"/>
      </w:pPr>
      <w:r>
        <w:t xml:space="preserve">2. Next chapter</w:t>
      </w:r>
    </w:p>
    <w:p>
      <w:pPr>
        <w:pStyle w:val="FirstParagraph"/>
      </w:pPr>
      <w:r>
        <w:t xml:space="preserve">This placeholder chapter is used to practice the git workflow.</w:t>
      </w:r>
    </w:p>
    <w:p>
      <w:pPr>
        <w:pStyle w:val="BodyText"/>
      </w:pPr>
      <w:r>
        <w:t xml:space="preserve">As a reminder: we can always toggle between the</w:t>
      </w:r>
      <w:r>
        <w:t xml:space="preserve"> </w:t>
      </w:r>
      <w:r>
        <w:rPr>
          <w:rStyle w:val="VerbatimChar"/>
        </w:rPr>
        <w:t xml:space="preserve">docs</w:t>
      </w:r>
      <w:r>
        <w:t xml:space="preserve"> </w:t>
      </w:r>
      <w:r>
        <w:t xml:space="preserve">folder that is used to serve the site and the</w:t>
      </w:r>
      <w:r>
        <w:t xml:space="preserve"> </w:t>
      </w:r>
      <w:r>
        <w:rPr>
          <w:bCs/>
          <w:b/>
        </w:rPr>
        <w:t xml:space="preserve">internal</w:t>
      </w:r>
      <w:r>
        <w:t xml:space="preserve"> </w:t>
      </w:r>
      <w:r>
        <w:t xml:space="preserve">(local testing) by switching the output-dir in</w:t>
      </w:r>
      <w:r>
        <w:t xml:space="preserve"> </w:t>
      </w:r>
      <w:r>
        <w:rPr>
          <w:rStyle w:val="VerbatimChar"/>
        </w:rPr>
        <w:t xml:space="preserve">_quarto.yml</w:t>
      </w:r>
      <w:r>
        <w:t xml:space="preserve"> </w:t>
      </w:r>
      <w:r>
        <w:t xml:space="preserve">to</w:t>
      </w:r>
      <w:r>
        <w:t xml:space="preserve"> </w:t>
      </w:r>
      <w:r>
        <w:rPr>
          <w:rStyle w:val="VerbatimChar"/>
        </w:rPr>
        <w:t xml:space="preserve">_books</w:t>
      </w:r>
      <w:r>
        <w:t xml:space="preserve">.</w:t>
      </w:r>
    </w:p>
    <w:p>
      <w:pPr>
        <w:pStyle w:val="BodyText"/>
      </w:pPr>
      <w:r>
        <w:t xml:space="preserve">We can mock around with it without impacting the exising material.</w:t>
      </w:r>
    </w:p>
    <w:p>
      <w:pPr>
        <w:pStyle w:val="BodyText"/>
      </w:pPr>
      <w:r>
        <w:t xml:space="preserve">The workflow will be to update chapter by chapter - and use this for experimental purposes. In the end we simply delete / remove this file.</w:t>
      </w:r>
    </w:p>
    <w:bookmarkEnd w:id="58"/>
    <w:bookmarkStart w:id="62" w:name="references"/>
    <w:p>
      <w:pPr>
        <w:pStyle w:val="Heading1"/>
      </w:pPr>
      <w:r>
        <w:t xml:space="preserve">References</w:t>
      </w:r>
    </w:p>
    <w:bookmarkStart w:id="61" w:name="refs"/>
    <w:bookmarkStart w:id="60"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59">
        <w:r>
          <w:rPr>
            <w:rStyle w:val="Hyperlink"/>
          </w:rPr>
          <w:t xml:space="preserve">https://www.eurocontrol.int/publication/eurocontrol-specification-operational-ans-performance-monitoring</w:t>
        </w:r>
      </w:hyperlink>
      <w:r>
        <w:t xml:space="preserve">.</w:t>
      </w:r>
    </w:p>
    <w:bookmarkEnd w:id="60"/>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54">
    <w:p>
      <w:pPr>
        <w:pStyle w:val="FootnoteText"/>
      </w:pPr>
      <w:r>
        <w:rPr>
          <w:rStyle w:val="FootnoteReference"/>
        </w:rPr>
        <w:footnoteRef/>
      </w:r>
      <w:r>
        <w:t xml:space="preserve"> </w:t>
      </w:r>
      <w:r>
        <w:t xml:space="preserve">Enhanced Traffic Flow Management System</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9"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9"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2025-03-24T14:56:52Z</dcterms:created>
  <dcterms:modified xsi:type="dcterms:W3CDTF">2025-03-24T14:56:52Z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2025-03-24</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