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color w:val="1F4E79"/>
          <w:sz w:val="34"/>
        </w:rPr>
        <w:t>WAPA dams: plant generation, 2018-2022</w:t>
      </w:r>
    </w:p>
    <w:p>
      <w:pPr>
        <w:jc w:val="center"/>
      </w:pPr>
      <w:r>
        <w:rPr>
          <w:rFonts w:ascii="Calibri" w:hAnsi="Calibri"/>
          <w:b w:val="0"/>
          <w:color w:val="666666"/>
          <w:sz w:val="18"/>
        </w:rPr>
        <w:t>Prepared by Yi Lu for David Chassin (Eudoxys) and Bennet Meyers-Im (NLR)  |  Updated 2026-10-02</w:t>
      </w:r>
    </w:p>
    <w:p>
      <w:pPr>
        <w:spacing w:after="80"/>
      </w:pPr>
      <w:r>
        <w:rPr>
          <w:rFonts w:ascii="Calibri" w:hAnsi="Calibri"/>
          <w:b w:val="0"/>
          <w:sz w:val="20"/>
        </w:rPr>
        <w:t>Generation data for the five WAPA projects listed by David Chassin (email of 2026-10-01). Only generation data is kept, in one folder per project.</w:t>
      </w:r>
    </w:p>
    <w:p>
      <w:pPr>
        <w:pStyle w:val="Heading1"/>
      </w:pPr>
      <w:r>
        <w:t>1. Overview</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1728"/>
            <w:shd w:val="clear" w:color="auto" w:fill="1F4E79"/>
          </w:tcPr>
          <w:p>
            <w:r/>
            <w:r>
              <w:rPr>
                <w:rFonts w:ascii="Calibri" w:hAnsi="Calibri"/>
                <w:b/>
                <w:color w:val="FFFFFF"/>
                <w:sz w:val="15"/>
              </w:rPr>
              <w:t>Folder</w:t>
            </w:r>
          </w:p>
        </w:tc>
        <w:tc>
          <w:tcPr>
            <w:tcW w:type="dxa" w:w="2016"/>
            <w:shd w:val="clear" w:color="auto" w:fill="1F4E79"/>
          </w:tcPr>
          <w:p>
            <w:r/>
            <w:r>
              <w:rPr>
                <w:rFonts w:ascii="Calibri" w:hAnsi="Calibri"/>
                <w:b/>
                <w:color w:val="FFFFFF"/>
                <w:sz w:val="15"/>
              </w:rPr>
              <w:t>WAPA project</w:t>
            </w:r>
          </w:p>
        </w:tc>
        <w:tc>
          <w:tcPr>
            <w:tcW w:type="dxa" w:w="4608"/>
            <w:shd w:val="clear" w:color="auto" w:fill="1F4E79"/>
          </w:tcPr>
          <w:p>
            <w:r/>
            <w:r>
              <w:rPr>
                <w:rFonts w:ascii="Calibri" w:hAnsi="Calibri"/>
                <w:b/>
                <w:color w:val="FFFFFF"/>
                <w:sz w:val="15"/>
              </w:rPr>
              <w:t>Plants</w:t>
            </w:r>
          </w:p>
        </w:tc>
        <w:tc>
          <w:tcPr>
            <w:tcW w:type="dxa" w:w="1584"/>
            <w:shd w:val="clear" w:color="auto" w:fill="1F4E79"/>
          </w:tcPr>
          <w:p>
            <w:r/>
            <w:r>
              <w:rPr>
                <w:rFonts w:ascii="Calibri" w:hAnsi="Calibri"/>
                <w:b/>
                <w:color w:val="FFFFFF"/>
                <w:sz w:val="15"/>
              </w:rPr>
              <w:t>Best resolution</w:t>
            </w:r>
          </w:p>
        </w:tc>
      </w:tr>
      <w:tr>
        <w:tc>
          <w:tcPr>
            <w:tcW w:type="dxa" w:w="1728"/>
          </w:tcPr>
          <w:p>
            <w:r/>
            <w:r>
              <w:rPr>
                <w:rFonts w:ascii="Consolas" w:hAnsi="Consolas"/>
                <w:b w:val="0"/>
                <w:sz w:val="14"/>
              </w:rPr>
              <w:t>1_Boulder_Canyon/</w:t>
            </w:r>
          </w:p>
        </w:tc>
        <w:tc>
          <w:tcPr>
            <w:tcW w:type="dxa" w:w="2016"/>
          </w:tcPr>
          <w:p>
            <w:r/>
            <w:r>
              <w:rPr>
                <w:rFonts w:ascii="Calibri" w:hAnsi="Calibri"/>
                <w:b w:val="0"/>
                <w:sz w:val="15"/>
              </w:rPr>
              <w:t>Boulder Canyon Project</w:t>
            </w:r>
          </w:p>
        </w:tc>
        <w:tc>
          <w:tcPr>
            <w:tcW w:type="dxa" w:w="4608"/>
          </w:tcPr>
          <w:p>
            <w:r/>
            <w:r>
              <w:rPr>
                <w:rFonts w:ascii="Calibri" w:hAnsi="Calibri"/>
                <w:b w:val="0"/>
                <w:sz w:val="15"/>
              </w:rPr>
              <w:t>Hoover</w:t>
            </w:r>
          </w:p>
        </w:tc>
        <w:tc>
          <w:tcPr>
            <w:tcW w:type="dxa" w:w="1584"/>
          </w:tcPr>
          <w:p>
            <w:r/>
            <w:r>
              <w:rPr>
                <w:rFonts w:ascii="Calibri" w:hAnsi="Calibri"/>
                <w:b w:val="0"/>
                <w:sz w:val="15"/>
              </w:rPr>
              <w:t>Monthly</w:t>
            </w:r>
          </w:p>
        </w:tc>
      </w:tr>
      <w:tr>
        <w:tc>
          <w:tcPr>
            <w:tcW w:type="dxa" w:w="1728"/>
          </w:tcPr>
          <w:p>
            <w:r/>
            <w:r>
              <w:rPr>
                <w:rFonts w:ascii="Consolas" w:hAnsi="Consolas"/>
                <w:b w:val="0"/>
                <w:sz w:val="14"/>
              </w:rPr>
              <w:t>2_Parker_Davis/</w:t>
            </w:r>
          </w:p>
        </w:tc>
        <w:tc>
          <w:tcPr>
            <w:tcW w:type="dxa" w:w="2016"/>
          </w:tcPr>
          <w:p>
            <w:r/>
            <w:r>
              <w:rPr>
                <w:rFonts w:ascii="Calibri" w:hAnsi="Calibri"/>
                <w:b w:val="0"/>
                <w:sz w:val="15"/>
              </w:rPr>
              <w:t>Parker-Davis Project</w:t>
            </w:r>
          </w:p>
        </w:tc>
        <w:tc>
          <w:tcPr>
            <w:tcW w:type="dxa" w:w="4608"/>
          </w:tcPr>
          <w:p>
            <w:r/>
            <w:r>
              <w:rPr>
                <w:rFonts w:ascii="Calibri" w:hAnsi="Calibri"/>
                <w:b w:val="0"/>
                <w:sz w:val="15"/>
              </w:rPr>
              <w:t>Davis, Parker</w:t>
            </w:r>
          </w:p>
        </w:tc>
        <w:tc>
          <w:tcPr>
            <w:tcW w:type="dxa" w:w="1584"/>
          </w:tcPr>
          <w:p>
            <w:r/>
            <w:r>
              <w:rPr>
                <w:rFonts w:ascii="Calibri" w:hAnsi="Calibri"/>
                <w:b w:val="0"/>
                <w:sz w:val="15"/>
              </w:rPr>
              <w:t>Monthly</w:t>
            </w:r>
          </w:p>
        </w:tc>
      </w:tr>
      <w:tr>
        <w:tc>
          <w:tcPr>
            <w:tcW w:type="dxa" w:w="1728"/>
          </w:tcPr>
          <w:p>
            <w:r/>
            <w:r>
              <w:rPr>
                <w:rFonts w:ascii="Consolas" w:hAnsi="Consolas"/>
                <w:b w:val="0"/>
                <w:sz w:val="14"/>
              </w:rPr>
              <w:t>3_CRSP/</w:t>
            </w:r>
          </w:p>
        </w:tc>
        <w:tc>
          <w:tcPr>
            <w:tcW w:type="dxa" w:w="2016"/>
          </w:tcPr>
          <w:p>
            <w:r/>
            <w:r>
              <w:rPr>
                <w:rFonts w:ascii="Calibri" w:hAnsi="Calibri"/>
                <w:b w:val="0"/>
                <w:sz w:val="15"/>
              </w:rPr>
              <w:t>Colorado River Storage Project (CRSP)</w:t>
            </w:r>
          </w:p>
        </w:tc>
        <w:tc>
          <w:tcPr>
            <w:tcW w:type="dxa" w:w="4608"/>
          </w:tcPr>
          <w:p>
            <w:r/>
            <w:r>
              <w:rPr>
                <w:rFonts w:ascii="Calibri" w:hAnsi="Calibri"/>
                <w:b w:val="0"/>
                <w:sz w:val="15"/>
              </w:rPr>
              <w:t>Blue Mesa, Crystal, Flaming Gorge, Fontenelle, Glen Canyon, Morrow Point</w:t>
            </w:r>
          </w:p>
        </w:tc>
        <w:tc>
          <w:tcPr>
            <w:tcW w:type="dxa" w:w="1584"/>
          </w:tcPr>
          <w:p>
            <w:r/>
            <w:r>
              <w:rPr>
                <w:rFonts w:ascii="Calibri" w:hAnsi="Calibri"/>
                <w:b w:val="0"/>
                <w:sz w:val="15"/>
              </w:rPr>
              <w:t>Hourly (2018-01 to 2022-04) + monthly (2018-2022)</w:t>
            </w:r>
          </w:p>
        </w:tc>
      </w:tr>
      <w:tr>
        <w:tc>
          <w:tcPr>
            <w:tcW w:type="dxa" w:w="1728"/>
          </w:tcPr>
          <w:p>
            <w:r/>
            <w:r>
              <w:rPr>
                <w:rFonts w:ascii="Consolas" w:hAnsi="Consolas"/>
                <w:b w:val="0"/>
                <w:sz w:val="14"/>
              </w:rPr>
              <w:t>4_Pick_Sloan/</w:t>
            </w:r>
          </w:p>
        </w:tc>
        <w:tc>
          <w:tcPr>
            <w:tcW w:type="dxa" w:w="2016"/>
          </w:tcPr>
          <w:p>
            <w:r/>
            <w:r>
              <w:rPr>
                <w:rFonts w:ascii="Calibri" w:hAnsi="Calibri"/>
                <w:b w:val="0"/>
                <w:sz w:val="15"/>
              </w:rPr>
              <w:t>Pick-Sloan Missouri Basin Program</w:t>
            </w:r>
          </w:p>
        </w:tc>
        <w:tc>
          <w:tcPr>
            <w:tcW w:type="dxa" w:w="4608"/>
          </w:tcPr>
          <w:p>
            <w:r/>
            <w:r>
              <w:rPr>
                <w:rFonts w:ascii="Calibri" w:hAnsi="Calibri"/>
                <w:b w:val="0"/>
                <w:sz w:val="15"/>
              </w:rPr>
              <w:t>USBR: Alcova, Big Thompson, Boysen, Buffalo Bill, Canyon Ferry, Estes, Flatiron Unit 3 (pump-generating), Flatiron Units 1-2, Fremont Canyon, Glendo, Green Mountain, Guernsey, Heart Mountain, Kortes, Marys Lake, Pole Hill, Seminoe, Shoshone, Spirit Mountain, Yellowtail. USACE: Big Bend, Fort Peck, Fort Randall, Garrison, Gavins Point, Oahe</w:t>
            </w:r>
          </w:p>
        </w:tc>
        <w:tc>
          <w:tcPr>
            <w:tcW w:type="dxa" w:w="1584"/>
          </w:tcPr>
          <w:p>
            <w:r/>
            <w:r>
              <w:rPr>
                <w:rFonts w:ascii="Calibri" w:hAnsi="Calibri"/>
                <w:b w:val="0"/>
                <w:sz w:val="15"/>
              </w:rPr>
              <w:t>Monthly</w:t>
            </w:r>
          </w:p>
        </w:tc>
      </w:tr>
      <w:tr>
        <w:tc>
          <w:tcPr>
            <w:tcW w:type="dxa" w:w="1728"/>
          </w:tcPr>
          <w:p>
            <w:r/>
            <w:r>
              <w:rPr>
                <w:rFonts w:ascii="Consolas" w:hAnsi="Consolas"/>
                <w:b w:val="0"/>
                <w:sz w:val="14"/>
              </w:rPr>
              <w:t>5_Central_Valley/</w:t>
            </w:r>
          </w:p>
        </w:tc>
        <w:tc>
          <w:tcPr>
            <w:tcW w:type="dxa" w:w="2016"/>
          </w:tcPr>
          <w:p>
            <w:r/>
            <w:r>
              <w:rPr>
                <w:rFonts w:ascii="Calibri" w:hAnsi="Calibri"/>
                <w:b w:val="0"/>
                <w:sz w:val="15"/>
              </w:rPr>
              <w:t>Central Valley Project (CVP)</w:t>
            </w:r>
          </w:p>
        </w:tc>
        <w:tc>
          <w:tcPr>
            <w:tcW w:type="dxa" w:w="4608"/>
          </w:tcPr>
          <w:p>
            <w:r/>
            <w:r>
              <w:rPr>
                <w:rFonts w:ascii="Calibri" w:hAnsi="Calibri"/>
                <w:b w:val="0"/>
                <w:sz w:val="15"/>
              </w:rPr>
              <w:t>Folsom, Judge Francis Carr, Keswick, Lewiston, New Melones, Nimbus, Shasta, Spring Creek, Stampede, Trinity</w:t>
            </w:r>
          </w:p>
        </w:tc>
        <w:tc>
          <w:tcPr>
            <w:tcW w:type="dxa" w:w="1584"/>
          </w:tcPr>
          <w:p>
            <w:r/>
            <w:r>
              <w:rPr>
                <w:rFonts w:ascii="Calibri" w:hAnsi="Calibri"/>
                <w:b w:val="0"/>
                <w:sz w:val="15"/>
              </w:rPr>
              <w:t>Monthly</w:t>
            </w:r>
          </w:p>
        </w:tc>
      </w:tr>
    </w:tbl>
    <w:p/>
    <w:p>
      <w:pPr>
        <w:pStyle w:val="ListBullet"/>
        <w:spacing w:after="40"/>
      </w:pPr>
      <w:r>
        <w:rPr>
          <w:rFonts w:ascii="Calibri" w:hAnsi="Calibri"/>
          <w:b/>
          <w:sz w:val="20"/>
        </w:rPr>
        <w:t>Hourly</w:t>
      </w:r>
      <w:r>
        <w:rPr>
          <w:rFonts w:ascii="Calibri" w:hAnsi="Calibri"/>
          <w:b w:val="0"/>
          <w:sz w:val="20"/>
        </w:rPr>
        <w:t>: the only public hourly plant generation found is for the six CRSP plants (WAPA SCADA archive, 2018-01 to 2022-04).</w:t>
      </w:r>
    </w:p>
    <w:p>
      <w:pPr>
        <w:pStyle w:val="ListBullet"/>
        <w:spacing w:after="40"/>
      </w:pPr>
      <w:r>
        <w:rPr>
          <w:rFonts w:ascii="Calibri" w:hAnsi="Calibri"/>
          <w:b/>
          <w:sz w:val="20"/>
        </w:rPr>
        <w:t>Monthly</w:t>
      </w:r>
      <w:r>
        <w:rPr>
          <w:rFonts w:ascii="Calibri" w:hAnsi="Calibri"/>
          <w:b w:val="0"/>
          <w:sz w:val="20"/>
        </w:rPr>
        <w:t xml:space="preserve"> generation is public for every USBR plant (USBR RISE) and for the six USACE Pick-Sloan mainstem dams (EIA-923).</w:t>
      </w:r>
    </w:p>
    <w:p>
      <w:pPr>
        <w:pStyle w:val="ListBullet"/>
        <w:spacing w:after="40"/>
      </w:pPr>
      <w:r>
        <w:rPr>
          <w:rFonts w:ascii="Calibri" w:hAnsi="Calibri"/>
          <w:b w:val="0"/>
          <w:sz w:val="20"/>
        </w:rPr>
        <w:t>No public hourly or daily generation was found for Hoover, Davis, Parker, the Pick-Sloan plants or the Central Valley Project plants (checked: USBR RISE, USBR regional hydrodata pages, WAPA web site, CDEC, USACE Missouri River Basin bulletins). Hourly data for these would have to be requested from WAPA / USBR.</w:t>
      </w:r>
    </w:p>
    <w:p>
      <w:pPr>
        <w:pStyle w:val="Heading1"/>
      </w:pPr>
      <w:r>
        <w:t>2. Files</w:t>
      </w:r>
    </w:p>
    <w:tbl>
      <w:tblPr>
        <w:tblStyle w:val="TableGrid"/>
        <w:tblW w:type="auto" w:w="0"/>
        <w:jc w:val="center"/>
        <w:tblLayout w:type="fixed"/>
        <w:tblLook w:firstColumn="1" w:firstRow="1" w:lastColumn="0" w:lastRow="0" w:noHBand="0" w:noVBand="1" w:val="04A0"/>
      </w:tblPr>
      <w:tblGrid>
        <w:gridCol w:w="4968"/>
        <w:gridCol w:w="4968"/>
      </w:tblGrid>
      <w:tr>
        <w:tc>
          <w:tcPr>
            <w:tcW w:type="dxa" w:w="5184"/>
            <w:shd w:val="clear" w:color="auto" w:fill="1F4E79"/>
          </w:tcPr>
          <w:p>
            <w:r/>
            <w:r>
              <w:rPr>
                <w:rFonts w:ascii="Calibri" w:hAnsi="Calibri"/>
                <w:b/>
                <w:color w:val="FFFFFF"/>
                <w:sz w:val="16"/>
              </w:rPr>
              <w:t>File</w:t>
            </w:r>
          </w:p>
        </w:tc>
        <w:tc>
          <w:tcPr>
            <w:tcW w:type="dxa" w:w="4752"/>
            <w:shd w:val="clear" w:color="auto" w:fill="1F4E79"/>
          </w:tcPr>
          <w:p>
            <w:r/>
            <w:r>
              <w:rPr>
                <w:rFonts w:ascii="Calibri" w:hAnsi="Calibri"/>
                <w:b/>
                <w:color w:val="FFFFFF"/>
                <w:sz w:val="16"/>
              </w:rPr>
              <w:t>Content</w:t>
            </w:r>
          </w:p>
        </w:tc>
      </w:tr>
      <w:tr>
        <w:tc>
          <w:tcPr>
            <w:tcW w:type="dxa" w:w="5184"/>
          </w:tcPr>
          <w:p>
            <w:r/>
            <w:r>
              <w:rPr>
                <w:rFonts w:ascii="Consolas" w:hAnsi="Consolas"/>
                <w:b w:val="0"/>
                <w:sz w:val="15"/>
              </w:rPr>
              <w:t>&lt;n&gt;_&lt;Project&gt;/USBR_RISE_monthly/&lt;Project&gt;_plant_generation_monthly_2018_2022.csv</w:t>
            </w:r>
          </w:p>
        </w:tc>
        <w:tc>
          <w:tcPr>
            <w:tcW w:type="dxa" w:w="4752"/>
          </w:tcPr>
          <w:p>
            <w:r/>
            <w:r>
              <w:rPr>
                <w:rFonts w:ascii="Calibri" w:hAnsi="Calibri"/>
                <w:b w:val="0"/>
                <w:sz w:val="16"/>
              </w:rPr>
              <w:t>Monthly generation of every USBR plant of the project, 2018-01 to 2022-12</w:t>
            </w:r>
          </w:p>
        </w:tc>
      </w:tr>
      <w:tr>
        <w:tc>
          <w:tcPr>
            <w:tcW w:type="dxa" w:w="5184"/>
          </w:tcPr>
          <w:p>
            <w:r/>
            <w:r>
              <w:rPr>
                <w:rFonts w:ascii="Consolas" w:hAnsi="Consolas"/>
                <w:b w:val="0"/>
                <w:sz w:val="15"/>
              </w:rPr>
              <w:t>3_CRSP/WAPA_SCADA_hourly/&lt;Plant&gt;_hourly_generation_2018-01_2022-04_UTC.csv</w:t>
            </w:r>
          </w:p>
        </w:tc>
        <w:tc>
          <w:tcPr>
            <w:tcW w:type="dxa" w:w="4752"/>
          </w:tcPr>
          <w:p>
            <w:r/>
            <w:r>
              <w:rPr>
                <w:rFonts w:ascii="Calibri" w:hAnsi="Calibri"/>
                <w:b w:val="0"/>
                <w:sz w:val="16"/>
              </w:rPr>
              <w:t>Hourly generation of each CRSP plant</w:t>
            </w:r>
          </w:p>
        </w:tc>
      </w:tr>
      <w:tr>
        <w:tc>
          <w:tcPr>
            <w:tcW w:type="dxa" w:w="5184"/>
          </w:tcPr>
          <w:p>
            <w:r/>
            <w:r>
              <w:rPr>
                <w:rFonts w:ascii="Consolas" w:hAnsi="Consolas"/>
                <w:b w:val="0"/>
                <w:sz w:val="15"/>
              </w:rPr>
              <w:t>4_Pick_Sloan/EIA923_monthly_USACE_mainstem/Pick_Sloan_USACE_mainstem_generation_monthly_2018_2022.csv</w:t>
            </w:r>
          </w:p>
        </w:tc>
        <w:tc>
          <w:tcPr>
            <w:tcW w:type="dxa" w:w="4752"/>
          </w:tcPr>
          <w:p>
            <w:r/>
            <w:r>
              <w:rPr>
                <w:rFonts w:ascii="Calibri" w:hAnsi="Calibri"/>
                <w:b w:val="0"/>
                <w:sz w:val="16"/>
              </w:rPr>
              <w:t>Monthly net generation of the six USACE mainstem dams</w:t>
            </w:r>
          </w:p>
        </w:tc>
      </w:tr>
      <w:tr>
        <w:tc>
          <w:tcPr>
            <w:tcW w:type="dxa" w:w="5184"/>
          </w:tcPr>
          <w:p>
            <w:r/>
            <w:r>
              <w:rPr>
                <w:rFonts w:ascii="Consolas" w:hAnsi="Consolas"/>
                <w:b w:val="0"/>
                <w:sz w:val="15"/>
              </w:rPr>
              <w:t>plant_list.csv</w:t>
            </w:r>
          </w:p>
        </w:tc>
        <w:tc>
          <w:tcPr>
            <w:tcW w:type="dxa" w:w="4752"/>
          </w:tcPr>
          <w:p>
            <w:r/>
            <w:r>
              <w:rPr>
                <w:rFonts w:ascii="Calibri" w:hAnsi="Calibri"/>
                <w:b w:val="0"/>
                <w:sz w:val="16"/>
              </w:rPr>
              <w:t>All 45 plants: project, owner, state, Pick-Sloan division, data source and data file</w:t>
            </w:r>
          </w:p>
        </w:tc>
      </w:tr>
      <w:tr>
        <w:tc>
          <w:tcPr>
            <w:tcW w:type="dxa" w:w="5184"/>
          </w:tcPr>
          <w:p>
            <w:r/>
            <w:r>
              <w:rPr>
                <w:rFonts w:ascii="Consolas" w:hAnsi="Consolas"/>
                <w:b w:val="0"/>
                <w:sz w:val="15"/>
              </w:rPr>
              <w:t>sources.csv</w:t>
            </w:r>
          </w:p>
        </w:tc>
        <w:tc>
          <w:tcPr>
            <w:tcW w:type="dxa" w:w="4752"/>
          </w:tcPr>
          <w:p>
            <w:r/>
            <w:r>
              <w:rPr>
                <w:rFonts w:ascii="Calibri" w:hAnsi="Calibri"/>
                <w:b w:val="0"/>
                <w:sz w:val="16"/>
              </w:rPr>
              <w:t>All 235 source records: RISE series (web page + direct CSV link), SCADA PDFs, EIA-923 files</w:t>
            </w:r>
          </w:p>
        </w:tc>
      </w:tr>
      <w:tr>
        <w:tc>
          <w:tcPr>
            <w:tcW w:type="dxa" w:w="5184"/>
          </w:tcPr>
          <w:p>
            <w:r/>
            <w:r>
              <w:rPr>
                <w:rFonts w:ascii="Consolas" w:hAnsi="Consolas"/>
                <w:b w:val="0"/>
                <w:sz w:val="15"/>
              </w:rPr>
              <w:t>data_dictionary.csv</w:t>
            </w:r>
          </w:p>
        </w:tc>
        <w:tc>
          <w:tcPr>
            <w:tcW w:type="dxa" w:w="4752"/>
          </w:tcPr>
          <w:p>
            <w:r/>
            <w:r>
              <w:rPr>
                <w:rFonts w:ascii="Calibri" w:hAnsi="Calibri"/>
                <w:b w:val="0"/>
                <w:sz w:val="16"/>
              </w:rPr>
              <w:t>Column definitions and units of every file type</w:t>
            </w:r>
          </w:p>
        </w:tc>
      </w:tr>
    </w:tbl>
    <w:p/>
    <w:p>
      <w:pPr>
        <w:spacing w:after="80"/>
      </w:pPr>
      <w:r>
        <w:rPr>
          <w:rFonts w:ascii="Calibri" w:hAnsi="Calibri"/>
          <w:b w:val="0"/>
          <w:sz w:val="20"/>
        </w:rPr>
        <w:t xml:space="preserve">All timestamps are UTC and hour-ending: the value at HH:00 is the average or total over the hour HH-1:00 to HH:00 (for instantaneous quantities, the reading at HH:00). Monthly values belong to the plant's local calendar month; they cannot be re-cut to UTC months without changing them, so the month is kept (RISE files also give its UTC start, </w:t>
      </w:r>
      <w:r>
        <w:rPr>
          <w:rFonts w:ascii="Consolas" w:hAnsi="Consolas"/>
          <w:b w:val="0"/>
          <w:sz w:val="19"/>
        </w:rPr>
        <w:t>period_start_utc</w:t>
      </w:r>
      <w:r>
        <w:rPr>
          <w:rFonts w:ascii="Calibri" w:hAnsi="Calibri"/>
          <w:b w:val="0"/>
          <w:sz w:val="20"/>
        </w:rPr>
        <w:t>).</w:t>
      </w:r>
    </w:p>
    <w:p>
      <w:pPr>
        <w:pStyle w:val="Heading1"/>
      </w:pPr>
      <w:r>
        <w:t>3. Sources and method</w:t>
      </w:r>
    </w:p>
    <w:p>
      <w:pPr>
        <w:pStyle w:val="Heading2"/>
      </w:pPr>
      <w:r>
        <w:t>3.1 USBR RISE (monthly generation, all USBR plants)</w:t>
      </w:r>
    </w:p>
    <w:p>
      <w:pPr>
        <w:pStyle w:val="ListBullet"/>
        <w:spacing w:after="40"/>
      </w:pPr>
      <w:r>
        <w:rPr>
          <w:rFonts w:ascii="Calibri" w:hAnsi="Calibri"/>
          <w:b w:val="0"/>
          <w:sz w:val="20"/>
        </w:rPr>
        <w:t xml:space="preserve">U.S. Bureau of Reclamation, Reclamation Information Sharing Environment (RISE), data from the Power Operations and Maintenance Tracking System: </w:t>
      </w:r>
      <w:hyperlink r:id="rId9">
        <w:r>
          <w:rPr>
            <w:color w:val="0563C1"/>
            <w:u w:val="single"/>
            <w:rFonts w:ascii="Calibri" w:hAnsi="Calibri"/>
            <w:sz w:val="20"/>
          </w:rPr>
          <w:t>https://data.usbr.gov/</w:t>
        </w:r>
      </w:hyperlink>
    </w:p>
    <w:p>
      <w:pPr>
        <w:pStyle w:val="ListBullet"/>
        <w:spacing w:after="40"/>
      </w:pPr>
      <w:r>
        <w:rPr>
          <w:rFonts w:ascii="Calibri" w:hAnsi="Calibri"/>
          <w:b w:val="0"/>
          <w:sz w:val="20"/>
        </w:rPr>
        <w:t xml:space="preserve">Every series has its own web page and a direct CSV download link in </w:t>
      </w:r>
      <w:r>
        <w:rPr>
          <w:rFonts w:ascii="Consolas" w:hAnsi="Consolas"/>
          <w:b w:val="0"/>
          <w:sz w:val="19"/>
        </w:rPr>
        <w:t>sources.csv</w:t>
      </w:r>
      <w:r>
        <w:rPr>
          <w:rFonts w:ascii="Calibri" w:hAnsi="Calibri"/>
          <w:b w:val="0"/>
          <w:sz w:val="20"/>
        </w:rPr>
        <w:t>.</w:t>
      </w:r>
    </w:p>
    <w:p>
      <w:pPr>
        <w:pStyle w:val="ListBullet"/>
        <w:spacing w:after="40"/>
      </w:pPr>
      <w:r>
        <w:rPr>
          <w:rFonts w:ascii="Calibri" w:hAnsi="Calibri"/>
          <w:b w:val="0"/>
          <w:sz w:val="20"/>
        </w:rPr>
        <w:t>USBR dates monthly values on the 1st of the month, but each value is the total (or end-of-month reading) for the whole month.</w:t>
      </w:r>
    </w:p>
    <w:p>
      <w:pPr>
        <w:pStyle w:val="ListBullet"/>
        <w:spacing w:after="40"/>
      </w:pPr>
      <w:r>
        <w:rPr>
          <w:rFonts w:ascii="Calibri" w:hAnsi="Calibri"/>
          <w:b w:val="0"/>
          <w:sz w:val="20"/>
        </w:rPr>
        <w:t xml:space="preserve">RISE stores some months twice (time stamps one hour apart). Duplicates are collapsed keeping the most recently created record; series where the two copies differ are flagged in the </w:t>
      </w:r>
      <w:r>
        <w:rPr>
          <w:rFonts w:ascii="Consolas" w:hAnsi="Consolas"/>
          <w:b w:val="0"/>
          <w:sz w:val="19"/>
        </w:rPr>
        <w:t>notes</w:t>
      </w:r>
      <w:r>
        <w:rPr>
          <w:rFonts w:ascii="Calibri" w:hAnsi="Calibri"/>
          <w:b w:val="0"/>
          <w:sz w:val="20"/>
        </w:rPr>
        <w:t xml:space="preserve"> column of </w:t>
      </w:r>
      <w:r>
        <w:rPr>
          <w:rFonts w:ascii="Consolas" w:hAnsi="Consolas"/>
          <w:b w:val="0"/>
          <w:sz w:val="19"/>
        </w:rPr>
        <w:t>sources.csv</w:t>
      </w:r>
      <w:r>
        <w:rPr>
          <w:rFonts w:ascii="Calibri" w:hAnsi="Calibri"/>
          <w:b w:val="0"/>
          <w:sz w:val="20"/>
        </w:rPr>
        <w:t xml:space="preserve"> (12 series).</w:t>
      </w:r>
    </w:p>
    <w:p>
      <w:pPr>
        <w:pStyle w:val="Heading2"/>
      </w:pPr>
      <w:r>
        <w:t>3.2 WAPA SCADA archive (hourly generation, CRSP)</w:t>
      </w:r>
    </w:p>
    <w:p>
      <w:pPr>
        <w:pStyle w:val="ListBullet"/>
        <w:spacing w:after="40"/>
      </w:pPr>
      <w:r>
        <w:rPr>
          <w:rFonts w:ascii="Calibri" w:hAnsi="Calibri"/>
          <w:b w:val="0"/>
          <w:sz w:val="20"/>
        </w:rPr>
        <w:t xml:space="preserve">WAPA CRSP Management Center, "Historical power plant data": </w:t>
      </w:r>
      <w:hyperlink r:id="rId10">
        <w:r>
          <w:rPr>
            <w:color w:val="0563C1"/>
            <w:u w:val="single"/>
            <w:rFonts w:ascii="Calibri" w:hAnsi="Calibri"/>
            <w:sz w:val="20"/>
          </w:rPr>
          <w:t>https://www.wapa.gov/about-wapa/regions/crsp/about-crsp/operations-maintenance/historical-power-plant-data/</w:t>
        </w:r>
      </w:hyperlink>
    </w:p>
    <w:p>
      <w:pPr>
        <w:pStyle w:val="ListBullet"/>
        <w:spacing w:after="40"/>
      </w:pPr>
      <w:r>
        <w:rPr>
          <w:rFonts w:ascii="Calibri" w:hAnsi="Calibri"/>
          <w:b w:val="0"/>
          <w:sz w:val="20"/>
        </w:rPr>
        <w:t>One PDF per plant per year (2018-2021) and per month (January-April 2022); later months are not posted.</w:t>
      </w:r>
    </w:p>
    <w:p>
      <w:pPr>
        <w:pStyle w:val="ListBullet"/>
        <w:spacing w:after="40"/>
      </w:pPr>
      <w:r>
        <w:rPr>
          <w:rFonts w:ascii="Calibri" w:hAnsi="Calibri"/>
          <w:b w:val="0"/>
          <w:sz w:val="20"/>
        </w:rPr>
        <w:t>Only the Generation (MW) column is kept. It is read by the position of its header, so a blank cell elsewhere cannot shift values. Hours that are blank in the PDF stay empty; nothing is filled.</w:t>
      </w:r>
    </w:p>
    <w:p>
      <w:pPr>
        <w:pStyle w:val="ListBullet"/>
        <w:spacing w:after="40"/>
      </w:pPr>
      <w:r>
        <w:rPr>
          <w:rFonts w:ascii="Calibri" w:hAnsi="Calibri"/>
          <w:b w:val="0"/>
          <w:sz w:val="20"/>
        </w:rPr>
        <w:t>The SCADA clock is Mountain Standard Time all year (every day has 24 hours); converted to UTC by adding 7 hours.</w:t>
      </w:r>
    </w:p>
    <w:p>
      <w:pPr>
        <w:pStyle w:val="ListBullet"/>
        <w:spacing w:after="40"/>
      </w:pPr>
      <w:r>
        <w:rPr>
          <w:rFonts w:ascii="Calibri" w:hAnsi="Calibri"/>
          <w:b w:val="0"/>
          <w:sz w:val="20"/>
        </w:rPr>
        <w:t>WAPA's own note: the SCADA information "is believed to be reliable but is not guaranteed to be correct".</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304"/>
            <w:shd w:val="clear" w:color="auto" w:fill="1F4E79"/>
          </w:tcPr>
          <w:p>
            <w:r/>
            <w:r>
              <w:rPr>
                <w:rFonts w:ascii="Calibri" w:hAnsi="Calibri"/>
                <w:b/>
                <w:color w:val="FFFFFF"/>
                <w:sz w:val="16"/>
              </w:rPr>
              <w:t>Plant</w:t>
            </w:r>
          </w:p>
        </w:tc>
        <w:tc>
          <w:tcPr>
            <w:tcW w:type="dxa" w:w="2304"/>
            <w:shd w:val="clear" w:color="auto" w:fill="1F4E79"/>
          </w:tcPr>
          <w:p>
            <w:r/>
            <w:r>
              <w:rPr>
                <w:rFonts w:ascii="Calibri" w:hAnsi="Calibri"/>
                <w:b/>
                <w:color w:val="FFFFFF"/>
                <w:sz w:val="16"/>
              </w:rPr>
              <w:t>Hours in period</w:t>
            </w:r>
          </w:p>
        </w:tc>
        <w:tc>
          <w:tcPr>
            <w:tcW w:type="dxa" w:w="2592"/>
            <w:shd w:val="clear" w:color="auto" w:fill="1F4E79"/>
          </w:tcPr>
          <w:p>
            <w:r/>
            <w:r>
              <w:rPr>
                <w:rFonts w:ascii="Calibri" w:hAnsi="Calibri"/>
                <w:b/>
                <w:color w:val="FFFFFF"/>
                <w:sz w:val="16"/>
              </w:rPr>
              <w:t>Hours with generation</w:t>
            </w:r>
          </w:p>
        </w:tc>
        <w:tc>
          <w:tcPr>
            <w:tcW w:type="dxa" w:w="1728"/>
            <w:shd w:val="clear" w:color="auto" w:fill="1F4E79"/>
          </w:tcPr>
          <w:p>
            <w:r/>
            <w:r>
              <w:rPr>
                <w:rFonts w:ascii="Calibri" w:hAnsi="Calibri"/>
                <w:b/>
                <w:color w:val="FFFFFF"/>
                <w:sz w:val="16"/>
              </w:rPr>
              <w:t>Coverage</w:t>
            </w:r>
          </w:p>
        </w:tc>
      </w:tr>
      <w:tr>
        <w:tc>
          <w:tcPr>
            <w:tcW w:type="dxa" w:w="2304"/>
          </w:tcPr>
          <w:p>
            <w:r/>
            <w:r>
              <w:rPr>
                <w:rFonts w:ascii="Calibri" w:hAnsi="Calibri"/>
                <w:b w:val="0"/>
                <w:sz w:val="16"/>
              </w:rPr>
              <w:t>Blue Mesa</w:t>
            </w:r>
          </w:p>
        </w:tc>
        <w:tc>
          <w:tcPr>
            <w:tcW w:type="dxa" w:w="2304"/>
          </w:tcPr>
          <w:p>
            <w:r/>
            <w:r>
              <w:rPr>
                <w:rFonts w:ascii="Calibri" w:hAnsi="Calibri"/>
                <w:b w:val="0"/>
                <w:sz w:val="16"/>
              </w:rPr>
              <w:t>37,944</w:t>
            </w:r>
          </w:p>
        </w:tc>
        <w:tc>
          <w:tcPr>
            <w:tcW w:type="dxa" w:w="2592"/>
          </w:tcPr>
          <w:p>
            <w:r/>
            <w:r>
              <w:rPr>
                <w:rFonts w:ascii="Calibri" w:hAnsi="Calibri"/>
                <w:b w:val="0"/>
                <w:sz w:val="16"/>
              </w:rPr>
              <w:t>33,790</w:t>
            </w:r>
          </w:p>
        </w:tc>
        <w:tc>
          <w:tcPr>
            <w:tcW w:type="dxa" w:w="1728"/>
          </w:tcPr>
          <w:p>
            <w:r/>
            <w:r>
              <w:rPr>
                <w:rFonts w:ascii="Calibri" w:hAnsi="Calibri"/>
                <w:b w:val="0"/>
                <w:sz w:val="16"/>
              </w:rPr>
              <w:t>89.1%</w:t>
            </w:r>
          </w:p>
        </w:tc>
      </w:tr>
      <w:tr>
        <w:tc>
          <w:tcPr>
            <w:tcW w:type="dxa" w:w="2304"/>
          </w:tcPr>
          <w:p>
            <w:r/>
            <w:r>
              <w:rPr>
                <w:rFonts w:ascii="Calibri" w:hAnsi="Calibri"/>
                <w:b w:val="0"/>
                <w:sz w:val="16"/>
              </w:rPr>
              <w:t>Crystal</w:t>
            </w:r>
          </w:p>
        </w:tc>
        <w:tc>
          <w:tcPr>
            <w:tcW w:type="dxa" w:w="2304"/>
          </w:tcPr>
          <w:p>
            <w:r/>
            <w:r>
              <w:rPr>
                <w:rFonts w:ascii="Calibri" w:hAnsi="Calibri"/>
                <w:b w:val="0"/>
                <w:sz w:val="16"/>
              </w:rPr>
              <w:t>37,944</w:t>
            </w:r>
          </w:p>
        </w:tc>
        <w:tc>
          <w:tcPr>
            <w:tcW w:type="dxa" w:w="2592"/>
          </w:tcPr>
          <w:p>
            <w:r/>
            <w:r>
              <w:rPr>
                <w:rFonts w:ascii="Calibri" w:hAnsi="Calibri"/>
                <w:b w:val="0"/>
                <w:sz w:val="16"/>
              </w:rPr>
              <w:t>33,953</w:t>
            </w:r>
          </w:p>
        </w:tc>
        <w:tc>
          <w:tcPr>
            <w:tcW w:type="dxa" w:w="1728"/>
          </w:tcPr>
          <w:p>
            <w:r/>
            <w:r>
              <w:rPr>
                <w:rFonts w:ascii="Calibri" w:hAnsi="Calibri"/>
                <w:b w:val="0"/>
                <w:sz w:val="16"/>
              </w:rPr>
              <w:t>89.5%</w:t>
            </w:r>
          </w:p>
        </w:tc>
      </w:tr>
      <w:tr>
        <w:tc>
          <w:tcPr>
            <w:tcW w:type="dxa" w:w="2304"/>
          </w:tcPr>
          <w:p>
            <w:r/>
            <w:r>
              <w:rPr>
                <w:rFonts w:ascii="Calibri" w:hAnsi="Calibri"/>
                <w:b w:val="0"/>
                <w:sz w:val="16"/>
              </w:rPr>
              <w:t>Flaming Gorge</w:t>
            </w:r>
          </w:p>
        </w:tc>
        <w:tc>
          <w:tcPr>
            <w:tcW w:type="dxa" w:w="2304"/>
          </w:tcPr>
          <w:p>
            <w:r/>
            <w:r>
              <w:rPr>
                <w:rFonts w:ascii="Calibri" w:hAnsi="Calibri"/>
                <w:b w:val="0"/>
                <w:sz w:val="16"/>
              </w:rPr>
              <w:t>37,944</w:t>
            </w:r>
          </w:p>
        </w:tc>
        <w:tc>
          <w:tcPr>
            <w:tcW w:type="dxa" w:w="2592"/>
          </w:tcPr>
          <w:p>
            <w:r/>
            <w:r>
              <w:rPr>
                <w:rFonts w:ascii="Calibri" w:hAnsi="Calibri"/>
                <w:b w:val="0"/>
                <w:sz w:val="16"/>
              </w:rPr>
              <w:t>33,593</w:t>
            </w:r>
          </w:p>
        </w:tc>
        <w:tc>
          <w:tcPr>
            <w:tcW w:type="dxa" w:w="1728"/>
          </w:tcPr>
          <w:p>
            <w:r/>
            <w:r>
              <w:rPr>
                <w:rFonts w:ascii="Calibri" w:hAnsi="Calibri"/>
                <w:b w:val="0"/>
                <w:sz w:val="16"/>
              </w:rPr>
              <w:t>88.5%</w:t>
            </w:r>
          </w:p>
        </w:tc>
      </w:tr>
      <w:tr>
        <w:tc>
          <w:tcPr>
            <w:tcW w:type="dxa" w:w="2304"/>
          </w:tcPr>
          <w:p>
            <w:r/>
            <w:r>
              <w:rPr>
                <w:rFonts w:ascii="Calibri" w:hAnsi="Calibri"/>
                <w:b w:val="0"/>
                <w:sz w:val="16"/>
              </w:rPr>
              <w:t>Fontenelle</w:t>
            </w:r>
          </w:p>
        </w:tc>
        <w:tc>
          <w:tcPr>
            <w:tcW w:type="dxa" w:w="2304"/>
          </w:tcPr>
          <w:p>
            <w:r/>
            <w:r>
              <w:rPr>
                <w:rFonts w:ascii="Calibri" w:hAnsi="Calibri"/>
                <w:b w:val="0"/>
                <w:sz w:val="16"/>
              </w:rPr>
              <w:t>37,944</w:t>
            </w:r>
          </w:p>
        </w:tc>
        <w:tc>
          <w:tcPr>
            <w:tcW w:type="dxa" w:w="2592"/>
          </w:tcPr>
          <w:p>
            <w:r/>
            <w:r>
              <w:rPr>
                <w:rFonts w:ascii="Calibri" w:hAnsi="Calibri"/>
                <w:b w:val="0"/>
                <w:sz w:val="16"/>
              </w:rPr>
              <w:t>33,305</w:t>
            </w:r>
          </w:p>
        </w:tc>
        <w:tc>
          <w:tcPr>
            <w:tcW w:type="dxa" w:w="1728"/>
          </w:tcPr>
          <w:p>
            <w:r/>
            <w:r>
              <w:rPr>
                <w:rFonts w:ascii="Calibri" w:hAnsi="Calibri"/>
                <w:b w:val="0"/>
                <w:sz w:val="16"/>
              </w:rPr>
              <w:t>87.8%</w:t>
            </w:r>
          </w:p>
        </w:tc>
      </w:tr>
      <w:tr>
        <w:tc>
          <w:tcPr>
            <w:tcW w:type="dxa" w:w="2304"/>
          </w:tcPr>
          <w:p>
            <w:r/>
            <w:r>
              <w:rPr>
                <w:rFonts w:ascii="Calibri" w:hAnsi="Calibri"/>
                <w:b w:val="0"/>
                <w:sz w:val="16"/>
              </w:rPr>
              <w:t>Glen Canyon</w:t>
            </w:r>
          </w:p>
        </w:tc>
        <w:tc>
          <w:tcPr>
            <w:tcW w:type="dxa" w:w="2304"/>
          </w:tcPr>
          <w:p>
            <w:r/>
            <w:r>
              <w:rPr>
                <w:rFonts w:ascii="Calibri" w:hAnsi="Calibri"/>
                <w:b w:val="0"/>
                <w:sz w:val="16"/>
              </w:rPr>
              <w:t>37,944</w:t>
            </w:r>
          </w:p>
        </w:tc>
        <w:tc>
          <w:tcPr>
            <w:tcW w:type="dxa" w:w="2592"/>
          </w:tcPr>
          <w:p>
            <w:r/>
            <w:r>
              <w:rPr>
                <w:rFonts w:ascii="Calibri" w:hAnsi="Calibri"/>
                <w:b w:val="0"/>
                <w:sz w:val="16"/>
              </w:rPr>
              <w:t>33,206</w:t>
            </w:r>
          </w:p>
        </w:tc>
        <w:tc>
          <w:tcPr>
            <w:tcW w:type="dxa" w:w="1728"/>
          </w:tcPr>
          <w:p>
            <w:r/>
            <w:r>
              <w:rPr>
                <w:rFonts w:ascii="Calibri" w:hAnsi="Calibri"/>
                <w:b w:val="0"/>
                <w:sz w:val="16"/>
              </w:rPr>
              <w:t>87.5%</w:t>
            </w:r>
          </w:p>
        </w:tc>
      </w:tr>
      <w:tr>
        <w:tc>
          <w:tcPr>
            <w:tcW w:type="dxa" w:w="2304"/>
          </w:tcPr>
          <w:p>
            <w:r/>
            <w:r>
              <w:rPr>
                <w:rFonts w:ascii="Calibri" w:hAnsi="Calibri"/>
                <w:b w:val="0"/>
                <w:sz w:val="16"/>
              </w:rPr>
              <w:t>Morrow Point</w:t>
            </w:r>
          </w:p>
        </w:tc>
        <w:tc>
          <w:tcPr>
            <w:tcW w:type="dxa" w:w="2304"/>
          </w:tcPr>
          <w:p>
            <w:r/>
            <w:r>
              <w:rPr>
                <w:rFonts w:ascii="Calibri" w:hAnsi="Calibri"/>
                <w:b w:val="0"/>
                <w:sz w:val="16"/>
              </w:rPr>
              <w:t>37,944</w:t>
            </w:r>
          </w:p>
        </w:tc>
        <w:tc>
          <w:tcPr>
            <w:tcW w:type="dxa" w:w="2592"/>
          </w:tcPr>
          <w:p>
            <w:r/>
            <w:r>
              <w:rPr>
                <w:rFonts w:ascii="Calibri" w:hAnsi="Calibri"/>
                <w:b w:val="0"/>
                <w:sz w:val="16"/>
              </w:rPr>
              <w:t>33,939</w:t>
            </w:r>
          </w:p>
        </w:tc>
        <w:tc>
          <w:tcPr>
            <w:tcW w:type="dxa" w:w="1728"/>
          </w:tcPr>
          <w:p>
            <w:r/>
            <w:r>
              <w:rPr>
                <w:rFonts w:ascii="Calibri" w:hAnsi="Calibri"/>
                <w:b w:val="0"/>
                <w:sz w:val="16"/>
              </w:rPr>
              <w:t>89.4%</w:t>
            </w:r>
          </w:p>
        </w:tc>
      </w:tr>
    </w:tbl>
    <w:p/>
    <w:p>
      <w:pPr>
        <w:pStyle w:val="Heading2"/>
      </w:pPr>
      <w:r>
        <w:t>3.3 EIA-923 (monthly generation, USACE Pick-Sloan mainstem dams)</w:t>
      </w:r>
    </w:p>
    <w:p>
      <w:pPr>
        <w:pStyle w:val="ListBullet"/>
        <w:spacing w:after="40"/>
      </w:pPr>
      <w:r>
        <w:rPr>
          <w:rFonts w:ascii="Calibri" w:hAnsi="Calibri"/>
          <w:b w:val="0"/>
          <w:sz w:val="20"/>
        </w:rPr>
        <w:t xml:space="preserve">The six USACE mainstem dams (Fort Peck, Garrison, Oahe, Big Bend, Fort Randall, Gavins Point) are not in RISE and USACE does not publish their generation (its public bulletins give only elevations, storage and flows). Their monthly net generation comes from EIA-923, the mandatory monthly report of every US power plant: </w:t>
      </w:r>
      <w:hyperlink r:id="rId11">
        <w:r>
          <w:rPr>
            <w:color w:val="0563C1"/>
            <w:u w:val="single"/>
            <w:rFonts w:ascii="Calibri" w:hAnsi="Calibri"/>
            <w:sz w:val="20"/>
          </w:rPr>
          <w:t>https://www.eia.gov/electricity/data/eia923/</w:t>
        </w:r>
      </w:hyperlink>
      <w:r>
        <w:rPr>
          <w:rFonts w:ascii="Calibri" w:hAnsi="Calibri"/>
          <w:b w:val="0"/>
          <w:sz w:val="20"/>
        </w:rPr>
        <w:t xml:space="preserve"> (file </w:t>
      </w:r>
      <w:r>
        <w:rPr>
          <w:rFonts w:ascii="Consolas" w:hAnsi="Consolas"/>
          <w:b w:val="0"/>
          <w:sz w:val="19"/>
        </w:rPr>
        <w:t>f923_&lt;year&gt;.zip</w:t>
      </w:r>
      <w:r>
        <w:rPr>
          <w:rFonts w:ascii="Calibri" w:hAnsi="Calibri"/>
          <w:b w:val="0"/>
          <w:sz w:val="20"/>
        </w:rPr>
        <w:t>, sheet "Page 1 Generation and Fuel Data", columns "Netgen January" to "Netgen December", summed over the rows of each plant; matched by EIA plant id).</w:t>
      </w:r>
    </w:p>
    <w:p>
      <w:pPr>
        <w:pStyle w:val="Heading1"/>
      </w:pPr>
      <w:r>
        <w:t>4. Projects</w:t>
      </w:r>
    </w:p>
    <w:p>
      <w:pPr>
        <w:pStyle w:val="Heading2"/>
      </w:pPr>
      <w:r>
        <w:t>4.1 Boulder Canyon Project  (folder 1_Boulder_Canyon/)</w:t>
      </w:r>
    </w:p>
    <w:p>
      <w:pPr>
        <w:spacing w:after="80"/>
      </w:pPr>
      <w:r>
        <w:rPr>
          <w:rFonts w:ascii="Calibri" w:hAnsi="Calibri"/>
          <w:b w:val="0"/>
          <w:sz w:val="20"/>
        </w:rPr>
        <w:t>Hoover Dam on the Colorado River (Lake Mead). Power marketed by WAPA Desert Southwest Region.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168"/>
            <w:shd w:val="clear" w:color="auto" w:fill="1F4E79"/>
          </w:tcPr>
          <w:p>
            <w:r/>
            <w:r>
              <w:rPr>
                <w:rFonts w:ascii="Calibri" w:hAnsi="Calibri"/>
                <w:b/>
                <w:color w:val="FFFFFF"/>
                <w:sz w:val="15"/>
              </w:rPr>
              <w:t>USBR plant (RISE)</w:t>
            </w:r>
          </w:p>
        </w:tc>
        <w:tc>
          <w:tcPr>
            <w:tcW w:type="dxa" w:w="1152"/>
            <w:shd w:val="clear" w:color="auto" w:fill="1F4E79"/>
          </w:tcPr>
          <w:p>
            <w:r/>
            <w:r>
              <w:rPr>
                <w:rFonts w:ascii="Calibri" w:hAnsi="Calibri"/>
                <w:b/>
                <w:color w:val="FFFFFF"/>
                <w:sz w:val="15"/>
              </w:rPr>
              <w:t>Months</w:t>
            </w:r>
          </w:p>
        </w:tc>
        <w:tc>
          <w:tcPr>
            <w:tcW w:type="dxa" w:w="2880"/>
            <w:shd w:val="clear" w:color="auto" w:fill="1F4E79"/>
          </w:tcPr>
          <w:p>
            <w:r/>
            <w:r>
              <w:rPr>
                <w:rFonts w:ascii="Calibri" w:hAnsi="Calibri"/>
                <w:b/>
                <w:color w:val="FFFFFF"/>
                <w:sz w:val="15"/>
              </w:rPr>
              <w:t>Avg annual net generation (GWh)</w:t>
            </w:r>
          </w:p>
        </w:tc>
        <w:tc>
          <w:tcPr>
            <w:tcW w:type="dxa" w:w="2016"/>
            <w:shd w:val="clear" w:color="auto" w:fill="1F4E79"/>
          </w:tcPr>
          <w:p>
            <w:r/>
            <w:r>
              <w:rPr>
                <w:rFonts w:ascii="Calibri" w:hAnsi="Calibri"/>
                <w:b/>
                <w:color w:val="FFFFFF"/>
                <w:sz w:val="15"/>
              </w:rPr>
              <w:t>Installed capacity (MW)</w:t>
            </w:r>
          </w:p>
        </w:tc>
      </w:tr>
      <w:tr>
        <w:tc>
          <w:tcPr>
            <w:tcW w:type="dxa" w:w="3168"/>
          </w:tcPr>
          <w:p>
            <w:r/>
            <w:r>
              <w:rPr>
                <w:rFonts w:ascii="Calibri" w:hAnsi="Calibri"/>
                <w:b w:val="0"/>
                <w:sz w:val="15"/>
              </w:rPr>
              <w:t>Hoover</w:t>
            </w:r>
          </w:p>
        </w:tc>
        <w:tc>
          <w:tcPr>
            <w:tcW w:type="dxa" w:w="1152"/>
          </w:tcPr>
          <w:p>
            <w:r/>
            <w:r>
              <w:rPr>
                <w:rFonts w:ascii="Calibri" w:hAnsi="Calibri"/>
                <w:b w:val="0"/>
                <w:sz w:val="15"/>
              </w:rPr>
              <w:t>60</w:t>
            </w:r>
          </w:p>
        </w:tc>
        <w:tc>
          <w:tcPr>
            <w:tcW w:type="dxa" w:w="2880"/>
          </w:tcPr>
          <w:p>
            <w:r/>
            <w:r>
              <w:rPr>
                <w:rFonts w:ascii="Calibri" w:hAnsi="Calibri"/>
                <w:b w:val="0"/>
                <w:sz w:val="15"/>
              </w:rPr>
              <w:t>3,394</w:t>
            </w:r>
          </w:p>
        </w:tc>
        <w:tc>
          <w:tcPr>
            <w:tcW w:type="dxa" w:w="2016"/>
          </w:tcPr>
          <w:p>
            <w:r/>
            <w:r>
              <w:rPr>
                <w:rFonts w:ascii="Calibri" w:hAnsi="Calibri"/>
                <w:b w:val="0"/>
                <w:sz w:val="15"/>
              </w:rPr>
              <w:t>2,079</w:t>
            </w:r>
          </w:p>
        </w:tc>
      </w:tr>
    </w:tbl>
    <w:p/>
    <w:p>
      <w:pPr>
        <w:pStyle w:val="ListBullet"/>
        <w:spacing w:after="40"/>
      </w:pPr>
      <w:r>
        <w:rPr>
          <w:rFonts w:ascii="Calibri" w:hAnsi="Calibri"/>
          <w:b w:val="0"/>
          <w:sz w:val="20"/>
        </w:rPr>
        <w:t>Not available: public hourly or daily plant generation (would have to be requested from WAPA / USBR).</w:t>
      </w:r>
    </w:p>
    <w:p>
      <w:pPr>
        <w:pStyle w:val="Heading2"/>
      </w:pPr>
      <w:r>
        <w:t>4.2 Parker-Davis Project  (folder 2_Parker_Davis/)</w:t>
      </w:r>
    </w:p>
    <w:p>
      <w:pPr>
        <w:spacing w:after="80"/>
      </w:pPr>
      <w:r>
        <w:rPr>
          <w:rFonts w:ascii="Calibri" w:hAnsi="Calibri"/>
          <w:b w:val="0"/>
          <w:sz w:val="20"/>
        </w:rPr>
        <w:t>Davis Dam (Lake Mohave) and Parker Dam (Lake Havasu) on the lower Colorado River. Power marketed by WAPA Desert Southwest Region.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168"/>
            <w:shd w:val="clear" w:color="auto" w:fill="1F4E79"/>
          </w:tcPr>
          <w:p>
            <w:r/>
            <w:r>
              <w:rPr>
                <w:rFonts w:ascii="Calibri" w:hAnsi="Calibri"/>
                <w:b/>
                <w:color w:val="FFFFFF"/>
                <w:sz w:val="15"/>
              </w:rPr>
              <w:t>USBR plant (RISE)</w:t>
            </w:r>
          </w:p>
        </w:tc>
        <w:tc>
          <w:tcPr>
            <w:tcW w:type="dxa" w:w="1152"/>
            <w:shd w:val="clear" w:color="auto" w:fill="1F4E79"/>
          </w:tcPr>
          <w:p>
            <w:r/>
            <w:r>
              <w:rPr>
                <w:rFonts w:ascii="Calibri" w:hAnsi="Calibri"/>
                <w:b/>
                <w:color w:val="FFFFFF"/>
                <w:sz w:val="15"/>
              </w:rPr>
              <w:t>Months</w:t>
            </w:r>
          </w:p>
        </w:tc>
        <w:tc>
          <w:tcPr>
            <w:tcW w:type="dxa" w:w="2880"/>
            <w:shd w:val="clear" w:color="auto" w:fill="1F4E79"/>
          </w:tcPr>
          <w:p>
            <w:r/>
            <w:r>
              <w:rPr>
                <w:rFonts w:ascii="Calibri" w:hAnsi="Calibri"/>
                <w:b/>
                <w:color w:val="FFFFFF"/>
                <w:sz w:val="15"/>
              </w:rPr>
              <w:t>Avg annual net generation (GWh)</w:t>
            </w:r>
          </w:p>
        </w:tc>
        <w:tc>
          <w:tcPr>
            <w:tcW w:type="dxa" w:w="2016"/>
            <w:shd w:val="clear" w:color="auto" w:fill="1F4E79"/>
          </w:tcPr>
          <w:p>
            <w:r/>
            <w:r>
              <w:rPr>
                <w:rFonts w:ascii="Calibri" w:hAnsi="Calibri"/>
                <w:b/>
                <w:color w:val="FFFFFF"/>
                <w:sz w:val="15"/>
              </w:rPr>
              <w:t>Installed capacity (MW)</w:t>
            </w:r>
          </w:p>
        </w:tc>
      </w:tr>
      <w:tr>
        <w:tc>
          <w:tcPr>
            <w:tcW w:type="dxa" w:w="3168"/>
          </w:tcPr>
          <w:p>
            <w:r/>
            <w:r>
              <w:rPr>
                <w:rFonts w:ascii="Calibri" w:hAnsi="Calibri"/>
                <w:b w:val="0"/>
                <w:sz w:val="15"/>
              </w:rPr>
              <w:t>Davis</w:t>
            </w:r>
          </w:p>
        </w:tc>
        <w:tc>
          <w:tcPr>
            <w:tcW w:type="dxa" w:w="1152"/>
          </w:tcPr>
          <w:p>
            <w:r/>
            <w:r>
              <w:rPr>
                <w:rFonts w:ascii="Calibri" w:hAnsi="Calibri"/>
                <w:b w:val="0"/>
                <w:sz w:val="15"/>
              </w:rPr>
              <w:t>60</w:t>
            </w:r>
          </w:p>
        </w:tc>
        <w:tc>
          <w:tcPr>
            <w:tcW w:type="dxa" w:w="2880"/>
          </w:tcPr>
          <w:p>
            <w:r/>
            <w:r>
              <w:rPr>
                <w:rFonts w:ascii="Calibri" w:hAnsi="Calibri"/>
                <w:b w:val="0"/>
                <w:sz w:val="15"/>
              </w:rPr>
              <w:t>1,076</w:t>
            </w:r>
          </w:p>
        </w:tc>
        <w:tc>
          <w:tcPr>
            <w:tcW w:type="dxa" w:w="2016"/>
          </w:tcPr>
          <w:p>
            <w:r/>
            <w:r>
              <w:rPr>
                <w:rFonts w:ascii="Calibri" w:hAnsi="Calibri"/>
                <w:b w:val="0"/>
                <w:sz w:val="15"/>
              </w:rPr>
              <w:t>255</w:t>
            </w:r>
          </w:p>
        </w:tc>
      </w:tr>
      <w:tr>
        <w:tc>
          <w:tcPr>
            <w:tcW w:type="dxa" w:w="3168"/>
          </w:tcPr>
          <w:p>
            <w:r/>
            <w:r>
              <w:rPr>
                <w:rFonts w:ascii="Calibri" w:hAnsi="Calibri"/>
                <w:b w:val="0"/>
                <w:sz w:val="15"/>
              </w:rPr>
              <w:t>Parker</w:t>
            </w:r>
          </w:p>
        </w:tc>
        <w:tc>
          <w:tcPr>
            <w:tcW w:type="dxa" w:w="1152"/>
          </w:tcPr>
          <w:p>
            <w:r/>
            <w:r>
              <w:rPr>
                <w:rFonts w:ascii="Calibri" w:hAnsi="Calibri"/>
                <w:b w:val="0"/>
                <w:sz w:val="15"/>
              </w:rPr>
              <w:t>60</w:t>
            </w:r>
          </w:p>
        </w:tc>
        <w:tc>
          <w:tcPr>
            <w:tcW w:type="dxa" w:w="2880"/>
          </w:tcPr>
          <w:p>
            <w:r/>
            <w:r>
              <w:rPr>
                <w:rFonts w:ascii="Calibri" w:hAnsi="Calibri"/>
                <w:b w:val="0"/>
                <w:sz w:val="15"/>
              </w:rPr>
              <w:t>431</w:t>
            </w:r>
          </w:p>
        </w:tc>
        <w:tc>
          <w:tcPr>
            <w:tcW w:type="dxa" w:w="2016"/>
          </w:tcPr>
          <w:p>
            <w:r/>
            <w:r>
              <w:rPr>
                <w:rFonts w:ascii="Calibri" w:hAnsi="Calibri"/>
                <w:b w:val="0"/>
                <w:sz w:val="15"/>
              </w:rPr>
              <w:t>120</w:t>
            </w:r>
          </w:p>
        </w:tc>
      </w:tr>
    </w:tbl>
    <w:p/>
    <w:p>
      <w:pPr>
        <w:pStyle w:val="ListBullet"/>
        <w:spacing w:after="40"/>
      </w:pPr>
      <w:r>
        <w:rPr>
          <w:rFonts w:ascii="Calibri" w:hAnsi="Calibri"/>
          <w:b w:val="0"/>
          <w:sz w:val="20"/>
        </w:rPr>
        <w:t>Not available: public hourly or daily plant generation (would have to be requested from WAPA / USBR).</w:t>
      </w:r>
    </w:p>
    <w:p>
      <w:pPr>
        <w:pStyle w:val="Heading2"/>
      </w:pPr>
      <w:r>
        <w:t>4.3 Colorado River Storage Project (CRSP)  (folder 3_CRSP/)</w:t>
      </w:r>
    </w:p>
    <w:p>
      <w:pPr>
        <w:spacing w:after="80"/>
      </w:pPr>
      <w:r>
        <w:rPr>
          <w:rFonts w:ascii="Calibri" w:hAnsi="Calibri"/>
          <w:b w:val="0"/>
          <w:sz w:val="20"/>
        </w:rPr>
        <w:t>Glen Canyon (Lake Powell), Flaming Gorge, Fontenelle and the Aspinall Unit (Blue Mesa, Morrow Point, Crystal). Power marketed by the WAPA CRSP Management Center.</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168"/>
            <w:shd w:val="clear" w:color="auto" w:fill="1F4E79"/>
          </w:tcPr>
          <w:p>
            <w:r/>
            <w:r>
              <w:rPr>
                <w:rFonts w:ascii="Calibri" w:hAnsi="Calibri"/>
                <w:b/>
                <w:color w:val="FFFFFF"/>
                <w:sz w:val="15"/>
              </w:rPr>
              <w:t>USBR plant (RISE)</w:t>
            </w:r>
          </w:p>
        </w:tc>
        <w:tc>
          <w:tcPr>
            <w:tcW w:type="dxa" w:w="1152"/>
            <w:shd w:val="clear" w:color="auto" w:fill="1F4E79"/>
          </w:tcPr>
          <w:p>
            <w:r/>
            <w:r>
              <w:rPr>
                <w:rFonts w:ascii="Calibri" w:hAnsi="Calibri"/>
                <w:b/>
                <w:color w:val="FFFFFF"/>
                <w:sz w:val="15"/>
              </w:rPr>
              <w:t>Months</w:t>
            </w:r>
          </w:p>
        </w:tc>
        <w:tc>
          <w:tcPr>
            <w:tcW w:type="dxa" w:w="2880"/>
            <w:shd w:val="clear" w:color="auto" w:fill="1F4E79"/>
          </w:tcPr>
          <w:p>
            <w:r/>
            <w:r>
              <w:rPr>
                <w:rFonts w:ascii="Calibri" w:hAnsi="Calibri"/>
                <w:b/>
                <w:color w:val="FFFFFF"/>
                <w:sz w:val="15"/>
              </w:rPr>
              <w:t>Avg annual net generation (GWh)</w:t>
            </w:r>
          </w:p>
        </w:tc>
        <w:tc>
          <w:tcPr>
            <w:tcW w:type="dxa" w:w="2016"/>
            <w:shd w:val="clear" w:color="auto" w:fill="1F4E79"/>
          </w:tcPr>
          <w:p>
            <w:r/>
            <w:r>
              <w:rPr>
                <w:rFonts w:ascii="Calibri" w:hAnsi="Calibri"/>
                <w:b/>
                <w:color w:val="FFFFFF"/>
                <w:sz w:val="15"/>
              </w:rPr>
              <w:t>Installed capacity (MW)</w:t>
            </w:r>
          </w:p>
        </w:tc>
      </w:tr>
      <w:tr>
        <w:tc>
          <w:tcPr>
            <w:tcW w:type="dxa" w:w="3168"/>
          </w:tcPr>
          <w:p>
            <w:r/>
            <w:r>
              <w:rPr>
                <w:rFonts w:ascii="Calibri" w:hAnsi="Calibri"/>
                <w:b w:val="0"/>
                <w:sz w:val="15"/>
              </w:rPr>
              <w:t>Blue Mesa</w:t>
            </w:r>
          </w:p>
        </w:tc>
        <w:tc>
          <w:tcPr>
            <w:tcW w:type="dxa" w:w="1152"/>
          </w:tcPr>
          <w:p>
            <w:r/>
            <w:r>
              <w:rPr>
                <w:rFonts w:ascii="Calibri" w:hAnsi="Calibri"/>
                <w:b w:val="0"/>
                <w:sz w:val="15"/>
              </w:rPr>
              <w:t>60</w:t>
            </w:r>
          </w:p>
        </w:tc>
        <w:tc>
          <w:tcPr>
            <w:tcW w:type="dxa" w:w="2880"/>
          </w:tcPr>
          <w:p>
            <w:r/>
            <w:r>
              <w:rPr>
                <w:rFonts w:ascii="Calibri" w:hAnsi="Calibri"/>
                <w:b w:val="0"/>
                <w:sz w:val="15"/>
              </w:rPr>
              <w:t>184</w:t>
            </w:r>
          </w:p>
        </w:tc>
        <w:tc>
          <w:tcPr>
            <w:tcW w:type="dxa" w:w="2016"/>
          </w:tcPr>
          <w:p>
            <w:r/>
            <w:r>
              <w:rPr>
                <w:rFonts w:ascii="Calibri" w:hAnsi="Calibri"/>
                <w:b w:val="0"/>
                <w:sz w:val="15"/>
              </w:rPr>
              <w:t>86</w:t>
            </w:r>
          </w:p>
        </w:tc>
      </w:tr>
      <w:tr>
        <w:tc>
          <w:tcPr>
            <w:tcW w:type="dxa" w:w="3168"/>
          </w:tcPr>
          <w:p>
            <w:r/>
            <w:r>
              <w:rPr>
                <w:rFonts w:ascii="Calibri" w:hAnsi="Calibri"/>
                <w:b w:val="0"/>
                <w:sz w:val="15"/>
              </w:rPr>
              <w:t>Crystal</w:t>
            </w:r>
          </w:p>
        </w:tc>
        <w:tc>
          <w:tcPr>
            <w:tcW w:type="dxa" w:w="1152"/>
          </w:tcPr>
          <w:p>
            <w:r/>
            <w:r>
              <w:rPr>
                <w:rFonts w:ascii="Calibri" w:hAnsi="Calibri"/>
                <w:b w:val="0"/>
                <w:sz w:val="15"/>
              </w:rPr>
              <w:t>60</w:t>
            </w:r>
          </w:p>
        </w:tc>
        <w:tc>
          <w:tcPr>
            <w:tcW w:type="dxa" w:w="2880"/>
          </w:tcPr>
          <w:p>
            <w:r/>
            <w:r>
              <w:rPr>
                <w:rFonts w:ascii="Calibri" w:hAnsi="Calibri"/>
                <w:b w:val="0"/>
                <w:sz w:val="15"/>
              </w:rPr>
              <w:t>140</w:t>
            </w:r>
          </w:p>
        </w:tc>
        <w:tc>
          <w:tcPr>
            <w:tcW w:type="dxa" w:w="2016"/>
          </w:tcPr>
          <w:p>
            <w:r/>
            <w:r>
              <w:rPr>
                <w:rFonts w:ascii="Calibri" w:hAnsi="Calibri"/>
                <w:b w:val="0"/>
                <w:sz w:val="15"/>
              </w:rPr>
              <w:t>32</w:t>
            </w:r>
          </w:p>
        </w:tc>
      </w:tr>
      <w:tr>
        <w:tc>
          <w:tcPr>
            <w:tcW w:type="dxa" w:w="3168"/>
          </w:tcPr>
          <w:p>
            <w:r/>
            <w:r>
              <w:rPr>
                <w:rFonts w:ascii="Calibri" w:hAnsi="Calibri"/>
                <w:b w:val="0"/>
                <w:sz w:val="15"/>
              </w:rPr>
              <w:t>Flaming Gorge</w:t>
            </w:r>
          </w:p>
        </w:tc>
        <w:tc>
          <w:tcPr>
            <w:tcW w:type="dxa" w:w="1152"/>
          </w:tcPr>
          <w:p>
            <w:r/>
            <w:r>
              <w:rPr>
                <w:rFonts w:ascii="Calibri" w:hAnsi="Calibri"/>
                <w:b w:val="0"/>
                <w:sz w:val="15"/>
              </w:rPr>
              <w:t>60</w:t>
            </w:r>
          </w:p>
        </w:tc>
        <w:tc>
          <w:tcPr>
            <w:tcW w:type="dxa" w:w="2880"/>
          </w:tcPr>
          <w:p>
            <w:r/>
            <w:r>
              <w:rPr>
                <w:rFonts w:ascii="Calibri" w:hAnsi="Calibri"/>
                <w:b w:val="0"/>
                <w:sz w:val="15"/>
              </w:rPr>
              <w:t>450</w:t>
            </w:r>
          </w:p>
        </w:tc>
        <w:tc>
          <w:tcPr>
            <w:tcW w:type="dxa" w:w="2016"/>
          </w:tcPr>
          <w:p>
            <w:r/>
            <w:r>
              <w:rPr>
                <w:rFonts w:ascii="Calibri" w:hAnsi="Calibri"/>
                <w:b w:val="0"/>
                <w:sz w:val="15"/>
              </w:rPr>
              <w:t>152</w:t>
            </w:r>
          </w:p>
        </w:tc>
      </w:tr>
      <w:tr>
        <w:tc>
          <w:tcPr>
            <w:tcW w:type="dxa" w:w="3168"/>
          </w:tcPr>
          <w:p>
            <w:r/>
            <w:r>
              <w:rPr>
                <w:rFonts w:ascii="Calibri" w:hAnsi="Calibri"/>
                <w:b w:val="0"/>
                <w:sz w:val="15"/>
              </w:rPr>
              <w:t>Fontenelle</w:t>
            </w:r>
          </w:p>
        </w:tc>
        <w:tc>
          <w:tcPr>
            <w:tcW w:type="dxa" w:w="1152"/>
          </w:tcPr>
          <w:p>
            <w:r/>
            <w:r>
              <w:rPr>
                <w:rFonts w:ascii="Calibri" w:hAnsi="Calibri"/>
                <w:b w:val="0"/>
                <w:sz w:val="15"/>
              </w:rPr>
              <w:t>60</w:t>
            </w:r>
          </w:p>
        </w:tc>
        <w:tc>
          <w:tcPr>
            <w:tcW w:type="dxa" w:w="2880"/>
          </w:tcPr>
          <w:p>
            <w:r/>
            <w:r>
              <w:rPr>
                <w:rFonts w:ascii="Calibri" w:hAnsi="Calibri"/>
                <w:b w:val="0"/>
                <w:sz w:val="15"/>
              </w:rPr>
              <w:t>50</w:t>
            </w:r>
          </w:p>
        </w:tc>
        <w:tc>
          <w:tcPr>
            <w:tcW w:type="dxa" w:w="2016"/>
          </w:tcPr>
          <w:p>
            <w:r/>
            <w:r>
              <w:rPr>
                <w:rFonts w:ascii="Calibri" w:hAnsi="Calibri"/>
                <w:b w:val="0"/>
                <w:sz w:val="15"/>
              </w:rPr>
              <w:t>10</w:t>
            </w:r>
          </w:p>
        </w:tc>
      </w:tr>
      <w:tr>
        <w:tc>
          <w:tcPr>
            <w:tcW w:type="dxa" w:w="3168"/>
          </w:tcPr>
          <w:p>
            <w:r/>
            <w:r>
              <w:rPr>
                <w:rFonts w:ascii="Calibri" w:hAnsi="Calibri"/>
                <w:b w:val="0"/>
                <w:sz w:val="15"/>
              </w:rPr>
              <w:t>Glen Canyon</w:t>
            </w:r>
          </w:p>
        </w:tc>
        <w:tc>
          <w:tcPr>
            <w:tcW w:type="dxa" w:w="1152"/>
          </w:tcPr>
          <w:p>
            <w:r/>
            <w:r>
              <w:rPr>
                <w:rFonts w:ascii="Calibri" w:hAnsi="Calibri"/>
                <w:b w:val="0"/>
                <w:sz w:val="15"/>
              </w:rPr>
              <w:t>60</w:t>
            </w:r>
          </w:p>
        </w:tc>
        <w:tc>
          <w:tcPr>
            <w:tcW w:type="dxa" w:w="2880"/>
          </w:tcPr>
          <w:p>
            <w:r/>
            <w:r>
              <w:rPr>
                <w:rFonts w:ascii="Calibri" w:hAnsi="Calibri"/>
                <w:b w:val="0"/>
                <w:sz w:val="15"/>
              </w:rPr>
              <w:t>3,415</w:t>
            </w:r>
          </w:p>
        </w:tc>
        <w:tc>
          <w:tcPr>
            <w:tcW w:type="dxa" w:w="2016"/>
          </w:tcPr>
          <w:p>
            <w:r/>
            <w:r>
              <w:rPr>
                <w:rFonts w:ascii="Calibri" w:hAnsi="Calibri"/>
                <w:b w:val="0"/>
                <w:sz w:val="15"/>
              </w:rPr>
              <w:t>1,320</w:t>
            </w:r>
          </w:p>
        </w:tc>
      </w:tr>
      <w:tr>
        <w:tc>
          <w:tcPr>
            <w:tcW w:type="dxa" w:w="3168"/>
          </w:tcPr>
          <w:p>
            <w:r/>
            <w:r>
              <w:rPr>
                <w:rFonts w:ascii="Calibri" w:hAnsi="Calibri"/>
                <w:b w:val="0"/>
                <w:sz w:val="15"/>
              </w:rPr>
              <w:t>Morrow Point</w:t>
            </w:r>
          </w:p>
        </w:tc>
        <w:tc>
          <w:tcPr>
            <w:tcW w:type="dxa" w:w="1152"/>
          </w:tcPr>
          <w:p>
            <w:r/>
            <w:r>
              <w:rPr>
                <w:rFonts w:ascii="Calibri" w:hAnsi="Calibri"/>
                <w:b w:val="0"/>
                <w:sz w:val="15"/>
              </w:rPr>
              <w:t>60</w:t>
            </w:r>
          </w:p>
        </w:tc>
        <w:tc>
          <w:tcPr>
            <w:tcW w:type="dxa" w:w="2880"/>
          </w:tcPr>
          <w:p>
            <w:r/>
            <w:r>
              <w:rPr>
                <w:rFonts w:ascii="Calibri" w:hAnsi="Calibri"/>
                <w:b w:val="0"/>
                <w:sz w:val="15"/>
              </w:rPr>
              <w:t>267</w:t>
            </w:r>
          </w:p>
        </w:tc>
        <w:tc>
          <w:tcPr>
            <w:tcW w:type="dxa" w:w="2016"/>
          </w:tcPr>
          <w:p>
            <w:r/>
            <w:r>
              <w:rPr>
                <w:rFonts w:ascii="Calibri" w:hAnsi="Calibri"/>
                <w:b w:val="0"/>
                <w:sz w:val="15"/>
              </w:rPr>
              <w:t>173</w:t>
            </w:r>
          </w:p>
        </w:tc>
      </w:tr>
    </w:tbl>
    <w:p/>
    <w:p>
      <w:pPr>
        <w:pStyle w:val="ListBullet"/>
        <w:spacing w:after="40"/>
      </w:pPr>
      <w:r>
        <w:rPr>
          <w:rFonts w:ascii="Calibri" w:hAnsi="Calibri"/>
          <w:b w:val="0"/>
          <w:sz w:val="20"/>
        </w:rPr>
        <w:t>Hourly generation comes from the WAPA SCADA archive (section 3); the monthly RISE file covers all of 2018-2022.</w:t>
      </w:r>
    </w:p>
    <w:p>
      <w:pPr>
        <w:pStyle w:val="ListBullet"/>
        <w:spacing w:after="40"/>
      </w:pPr>
      <w:r>
        <w:rPr>
          <w:rFonts w:ascii="Calibri" w:hAnsi="Calibri"/>
          <w:b w:val="0"/>
          <w:sz w:val="20"/>
        </w:rPr>
        <w:t>For Blue Mesa, Morrow Point, Crystal, Fontenelle and Flaming Gorge, EIA-923 differs from USBR by up to 32 % in 2018-2020 (identical in 2021-2022). The WAPA hourly SCADA data agrees with USBR, so the USBR figures are kept.</w:t>
      </w:r>
    </w:p>
    <w:p>
      <w:pPr>
        <w:pStyle w:val="ListBullet"/>
        <w:spacing w:after="40"/>
      </w:pPr>
      <w:r>
        <w:rPr>
          <w:rFonts w:ascii="Calibri" w:hAnsi="Calibri"/>
          <w:b w:val="0"/>
          <w:sz w:val="20"/>
        </w:rPr>
        <w:t>Not available: hourly generation after April 2022 (not posted by WAPA).</w:t>
      </w:r>
    </w:p>
    <w:p>
      <w:pPr>
        <w:pStyle w:val="Heading2"/>
      </w:pPr>
      <w:r>
        <w:t>4.4 Pick-Sloan Missouri Basin Program  (folder 4_Pick_Sloan/)</w:t>
      </w:r>
    </w:p>
    <w:p>
      <w:pPr>
        <w:spacing w:after="80"/>
      </w:pPr>
      <w:r>
        <w:rPr>
          <w:rFonts w:ascii="Calibri" w:hAnsi="Calibri"/>
          <w:b w:val="0"/>
          <w:sz w:val="20"/>
        </w:rPr>
        <w:t>Eastern Division: six USACE Missouri River mainstem dams plus USBR Canyon Ferry and Yellowtail. Western Division: USBR plants in Wyoming and the Colorado-Big Thompson Project. Power marketed by WAPA Upper Great Plains and Rocky Mountain Regions.</w:t>
      </w:r>
    </w:p>
    <w:tbl>
      <w:tblPr>
        <w:tblStyle w:val="TableGrid"/>
        <w:tblW w:type="auto" w:w="0"/>
        <w:jc w:val="center"/>
        <w:tblLayout w:type="fixed"/>
        <w:tblLook w:firstColumn="1" w:firstRow="1" w:lastColumn="0" w:lastRow="0" w:noHBand="0" w:noVBand="1" w:val="04A0"/>
      </w:tblPr>
      <w:tblGrid>
        <w:gridCol w:w="1987"/>
        <w:gridCol w:w="1987"/>
        <w:gridCol w:w="1987"/>
        <w:gridCol w:w="1987"/>
        <w:gridCol w:w="1987"/>
      </w:tblGrid>
      <w:tr>
        <w:tc>
          <w:tcPr>
            <w:tcW w:type="dxa" w:w="2880"/>
            <w:shd w:val="clear" w:color="auto" w:fill="1F4E79"/>
          </w:tcPr>
          <w:p>
            <w:r/>
            <w:r>
              <w:rPr>
                <w:rFonts w:ascii="Calibri" w:hAnsi="Calibri"/>
                <w:b/>
                <w:color w:val="FFFFFF"/>
                <w:sz w:val="15"/>
              </w:rPr>
              <w:t>USBR plant (RISE)</w:t>
            </w:r>
          </w:p>
        </w:tc>
        <w:tc>
          <w:tcPr>
            <w:tcW w:type="dxa" w:w="3024"/>
            <w:shd w:val="clear" w:color="auto" w:fill="1F4E79"/>
          </w:tcPr>
          <w:p>
            <w:r/>
            <w:r>
              <w:rPr>
                <w:rFonts w:ascii="Calibri" w:hAnsi="Calibri"/>
                <w:b/>
                <w:color w:val="FFFFFF"/>
                <w:sz w:val="15"/>
              </w:rPr>
              <w:t>Division</w:t>
            </w:r>
          </w:p>
        </w:tc>
        <w:tc>
          <w:tcPr>
            <w:tcW w:type="dxa" w:w="864"/>
            <w:shd w:val="clear" w:color="auto" w:fill="1F4E79"/>
          </w:tcPr>
          <w:p>
            <w:r/>
            <w:r>
              <w:rPr>
                <w:rFonts w:ascii="Calibri" w:hAnsi="Calibri"/>
                <w:b/>
                <w:color w:val="FFFFFF"/>
                <w:sz w:val="15"/>
              </w:rPr>
              <w:t>Months</w:t>
            </w:r>
          </w:p>
        </w:tc>
        <w:tc>
          <w:tcPr>
            <w:tcW w:type="dxa" w:w="1728"/>
            <w:shd w:val="clear" w:color="auto" w:fill="1F4E79"/>
          </w:tcPr>
          <w:p>
            <w:r/>
            <w:r>
              <w:rPr>
                <w:rFonts w:ascii="Calibri" w:hAnsi="Calibri"/>
                <w:b/>
                <w:color w:val="FFFFFF"/>
                <w:sz w:val="15"/>
              </w:rPr>
              <w:t>Avg annual net generation (GWh)</w:t>
            </w:r>
          </w:p>
        </w:tc>
        <w:tc>
          <w:tcPr>
            <w:tcW w:type="dxa" w:w="1440"/>
            <w:shd w:val="clear" w:color="auto" w:fill="1F4E79"/>
          </w:tcPr>
          <w:p>
            <w:r/>
            <w:r>
              <w:rPr>
                <w:rFonts w:ascii="Calibri" w:hAnsi="Calibri"/>
                <w:b/>
                <w:color w:val="FFFFFF"/>
                <w:sz w:val="15"/>
              </w:rPr>
              <w:t>Installed capacity (MW)</w:t>
            </w:r>
          </w:p>
        </w:tc>
      </w:tr>
      <w:tr>
        <w:tc>
          <w:tcPr>
            <w:tcW w:type="dxa" w:w="2880"/>
          </w:tcPr>
          <w:p>
            <w:r/>
            <w:r>
              <w:rPr>
                <w:rFonts w:ascii="Calibri" w:hAnsi="Calibri"/>
                <w:b w:val="0"/>
                <w:sz w:val="15"/>
              </w:rPr>
              <w:t>Alcova</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102</w:t>
            </w:r>
          </w:p>
        </w:tc>
        <w:tc>
          <w:tcPr>
            <w:tcW w:type="dxa" w:w="1440"/>
          </w:tcPr>
          <w:p>
            <w:r/>
            <w:r>
              <w:rPr>
                <w:rFonts w:ascii="Calibri" w:hAnsi="Calibri"/>
                <w:b w:val="0"/>
                <w:sz w:val="15"/>
              </w:rPr>
              <w:t>41</w:t>
            </w:r>
          </w:p>
        </w:tc>
      </w:tr>
      <w:tr>
        <w:tc>
          <w:tcPr>
            <w:tcW w:type="dxa" w:w="2880"/>
          </w:tcPr>
          <w:p>
            <w:r/>
            <w:r>
              <w:rPr>
                <w:rFonts w:ascii="Calibri" w:hAnsi="Calibri"/>
                <w:b w:val="0"/>
                <w:sz w:val="15"/>
              </w:rPr>
              <w:t>Big Thompson</w:t>
            </w:r>
          </w:p>
        </w:tc>
        <w:tc>
          <w:tcPr>
            <w:tcW w:type="dxa" w:w="3024"/>
          </w:tcPr>
          <w:p>
            <w:r/>
            <w:r>
              <w:rPr>
                <w:rFonts w:ascii="Calibri" w:hAnsi="Calibri"/>
                <w:b w:val="0"/>
                <w:sz w:val="15"/>
              </w:rPr>
              <w:t>Western Division (Colorado-Big Thompson)</w:t>
            </w:r>
          </w:p>
        </w:tc>
        <w:tc>
          <w:tcPr>
            <w:tcW w:type="dxa" w:w="864"/>
          </w:tcPr>
          <w:p>
            <w:r/>
            <w:r>
              <w:rPr>
                <w:rFonts w:ascii="Calibri" w:hAnsi="Calibri"/>
                <w:b w:val="0"/>
                <w:sz w:val="15"/>
              </w:rPr>
              <w:t>60</w:t>
            </w:r>
          </w:p>
        </w:tc>
        <w:tc>
          <w:tcPr>
            <w:tcW w:type="dxa" w:w="1728"/>
          </w:tcPr>
          <w:p>
            <w:r/>
            <w:r>
              <w:rPr>
                <w:rFonts w:ascii="Calibri" w:hAnsi="Calibri"/>
                <w:b w:val="0"/>
                <w:sz w:val="15"/>
              </w:rPr>
              <w:t>4.9</w:t>
            </w:r>
          </w:p>
        </w:tc>
        <w:tc>
          <w:tcPr>
            <w:tcW w:type="dxa" w:w="1440"/>
          </w:tcPr>
          <w:p>
            <w:r/>
            <w:r>
              <w:rPr>
                <w:rFonts w:ascii="Calibri" w:hAnsi="Calibri"/>
                <w:b w:val="0"/>
                <w:sz w:val="15"/>
              </w:rPr>
              <w:t>4.5</w:t>
            </w:r>
          </w:p>
        </w:tc>
      </w:tr>
      <w:tr>
        <w:tc>
          <w:tcPr>
            <w:tcW w:type="dxa" w:w="2880"/>
          </w:tcPr>
          <w:p>
            <w:r/>
            <w:r>
              <w:rPr>
                <w:rFonts w:ascii="Calibri" w:hAnsi="Calibri"/>
                <w:b w:val="0"/>
                <w:sz w:val="15"/>
              </w:rPr>
              <w:t>Boysen</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64</w:t>
            </w:r>
          </w:p>
        </w:tc>
        <w:tc>
          <w:tcPr>
            <w:tcW w:type="dxa" w:w="1440"/>
          </w:tcPr>
          <w:p>
            <w:r/>
            <w:r>
              <w:rPr>
                <w:rFonts w:ascii="Calibri" w:hAnsi="Calibri"/>
                <w:b w:val="0"/>
                <w:sz w:val="15"/>
              </w:rPr>
              <w:t>15</w:t>
            </w:r>
          </w:p>
        </w:tc>
      </w:tr>
      <w:tr>
        <w:tc>
          <w:tcPr>
            <w:tcW w:type="dxa" w:w="2880"/>
          </w:tcPr>
          <w:p>
            <w:r/>
            <w:r>
              <w:rPr>
                <w:rFonts w:ascii="Calibri" w:hAnsi="Calibri"/>
                <w:b w:val="0"/>
                <w:sz w:val="15"/>
              </w:rPr>
              <w:t>Buffalo Bill</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79</w:t>
            </w:r>
          </w:p>
        </w:tc>
        <w:tc>
          <w:tcPr>
            <w:tcW w:type="dxa" w:w="1440"/>
          </w:tcPr>
          <w:p>
            <w:r/>
            <w:r>
              <w:rPr>
                <w:rFonts w:ascii="Calibri" w:hAnsi="Calibri"/>
                <w:b w:val="0"/>
                <w:sz w:val="15"/>
              </w:rPr>
              <w:t>18</w:t>
            </w:r>
          </w:p>
        </w:tc>
      </w:tr>
      <w:tr>
        <w:tc>
          <w:tcPr>
            <w:tcW w:type="dxa" w:w="2880"/>
          </w:tcPr>
          <w:p>
            <w:r/>
            <w:r>
              <w:rPr>
                <w:rFonts w:ascii="Calibri" w:hAnsi="Calibri"/>
                <w:b w:val="0"/>
                <w:sz w:val="15"/>
              </w:rPr>
              <w:t>Canyon Ferry</w:t>
            </w:r>
          </w:p>
        </w:tc>
        <w:tc>
          <w:tcPr>
            <w:tcW w:type="dxa" w:w="3024"/>
          </w:tcPr>
          <w:p>
            <w:r/>
            <w:r>
              <w:rPr>
                <w:rFonts w:ascii="Calibri" w:hAnsi="Calibri"/>
                <w:b w:val="0"/>
                <w:sz w:val="15"/>
              </w:rPr>
              <w:t>Eastern Division</w:t>
            </w:r>
          </w:p>
        </w:tc>
        <w:tc>
          <w:tcPr>
            <w:tcW w:type="dxa" w:w="864"/>
          </w:tcPr>
          <w:p>
            <w:r/>
            <w:r>
              <w:rPr>
                <w:rFonts w:ascii="Calibri" w:hAnsi="Calibri"/>
                <w:b w:val="0"/>
                <w:sz w:val="15"/>
              </w:rPr>
              <w:t>60</w:t>
            </w:r>
          </w:p>
        </w:tc>
        <w:tc>
          <w:tcPr>
            <w:tcW w:type="dxa" w:w="1728"/>
          </w:tcPr>
          <w:p>
            <w:r/>
            <w:r>
              <w:rPr>
                <w:rFonts w:ascii="Calibri" w:hAnsi="Calibri"/>
                <w:b w:val="0"/>
                <w:sz w:val="15"/>
              </w:rPr>
              <w:t>313</w:t>
            </w:r>
          </w:p>
        </w:tc>
        <w:tc>
          <w:tcPr>
            <w:tcW w:type="dxa" w:w="1440"/>
          </w:tcPr>
          <w:p>
            <w:r/>
            <w:r>
              <w:rPr>
                <w:rFonts w:ascii="Calibri" w:hAnsi="Calibri"/>
                <w:b w:val="0"/>
                <w:sz w:val="15"/>
              </w:rPr>
              <w:t>50</w:t>
            </w:r>
          </w:p>
        </w:tc>
      </w:tr>
      <w:tr>
        <w:tc>
          <w:tcPr>
            <w:tcW w:type="dxa" w:w="2880"/>
          </w:tcPr>
          <w:p>
            <w:r/>
            <w:r>
              <w:rPr>
                <w:rFonts w:ascii="Calibri" w:hAnsi="Calibri"/>
                <w:b w:val="0"/>
                <w:sz w:val="15"/>
              </w:rPr>
              <w:t>Estes</w:t>
            </w:r>
          </w:p>
        </w:tc>
        <w:tc>
          <w:tcPr>
            <w:tcW w:type="dxa" w:w="3024"/>
          </w:tcPr>
          <w:p>
            <w:r/>
            <w:r>
              <w:rPr>
                <w:rFonts w:ascii="Calibri" w:hAnsi="Calibri"/>
                <w:b w:val="0"/>
                <w:sz w:val="15"/>
              </w:rPr>
              <w:t>Western Division (Colorado-Big Thompson)</w:t>
            </w:r>
          </w:p>
        </w:tc>
        <w:tc>
          <w:tcPr>
            <w:tcW w:type="dxa" w:w="864"/>
          </w:tcPr>
          <w:p>
            <w:r/>
            <w:r>
              <w:rPr>
                <w:rFonts w:ascii="Calibri" w:hAnsi="Calibri"/>
                <w:b w:val="0"/>
                <w:sz w:val="15"/>
              </w:rPr>
              <w:t>60</w:t>
            </w:r>
          </w:p>
        </w:tc>
        <w:tc>
          <w:tcPr>
            <w:tcW w:type="dxa" w:w="1728"/>
          </w:tcPr>
          <w:p>
            <w:r/>
            <w:r>
              <w:rPr>
                <w:rFonts w:ascii="Calibri" w:hAnsi="Calibri"/>
                <w:b w:val="0"/>
                <w:sz w:val="15"/>
              </w:rPr>
              <w:t>109</w:t>
            </w:r>
          </w:p>
        </w:tc>
        <w:tc>
          <w:tcPr>
            <w:tcW w:type="dxa" w:w="1440"/>
          </w:tcPr>
          <w:p>
            <w:r/>
            <w:r>
              <w:rPr>
                <w:rFonts w:ascii="Calibri" w:hAnsi="Calibri"/>
                <w:b w:val="0"/>
                <w:sz w:val="15"/>
              </w:rPr>
              <w:t>45</w:t>
            </w:r>
          </w:p>
        </w:tc>
      </w:tr>
      <w:tr>
        <w:tc>
          <w:tcPr>
            <w:tcW w:type="dxa" w:w="2880"/>
          </w:tcPr>
          <w:p>
            <w:r/>
            <w:r>
              <w:rPr>
                <w:rFonts w:ascii="Calibri" w:hAnsi="Calibri"/>
                <w:b w:val="0"/>
                <w:sz w:val="15"/>
              </w:rPr>
              <w:t>Flatiron Unit 3 (pump-generating)</w:t>
            </w:r>
          </w:p>
        </w:tc>
        <w:tc>
          <w:tcPr>
            <w:tcW w:type="dxa" w:w="3024"/>
          </w:tcPr>
          <w:p>
            <w:r/>
            <w:r>
              <w:rPr>
                <w:rFonts w:ascii="Calibri" w:hAnsi="Calibri"/>
                <w:b w:val="0"/>
                <w:sz w:val="15"/>
              </w:rPr>
              <w:t>Western Division (Colorado-Big Thompson)</w:t>
            </w:r>
          </w:p>
        </w:tc>
        <w:tc>
          <w:tcPr>
            <w:tcW w:type="dxa" w:w="864"/>
          </w:tcPr>
          <w:p>
            <w:r/>
            <w:r>
              <w:rPr>
                <w:rFonts w:ascii="Calibri" w:hAnsi="Calibri"/>
                <w:b w:val="0"/>
                <w:sz w:val="15"/>
              </w:rPr>
              <w:t>60</w:t>
            </w:r>
          </w:p>
        </w:tc>
        <w:tc>
          <w:tcPr>
            <w:tcW w:type="dxa" w:w="1728"/>
          </w:tcPr>
          <w:p>
            <w:r/>
            <w:r>
              <w:rPr>
                <w:rFonts w:ascii="Calibri" w:hAnsi="Calibri"/>
                <w:b w:val="0"/>
                <w:sz w:val="15"/>
              </w:rPr>
              <w:t>0.32</w:t>
            </w:r>
          </w:p>
        </w:tc>
        <w:tc>
          <w:tcPr>
            <w:tcW w:type="dxa" w:w="1440"/>
          </w:tcPr>
          <w:p>
            <w:r/>
            <w:r>
              <w:rPr>
                <w:rFonts w:ascii="Calibri" w:hAnsi="Calibri"/>
                <w:b w:val="0"/>
                <w:sz w:val="15"/>
              </w:rPr>
              <w:t>8.5</w:t>
            </w:r>
          </w:p>
        </w:tc>
      </w:tr>
      <w:tr>
        <w:tc>
          <w:tcPr>
            <w:tcW w:type="dxa" w:w="2880"/>
          </w:tcPr>
          <w:p>
            <w:r/>
            <w:r>
              <w:rPr>
                <w:rFonts w:ascii="Calibri" w:hAnsi="Calibri"/>
                <w:b w:val="0"/>
                <w:sz w:val="15"/>
              </w:rPr>
              <w:t>Flatiron Units 1-2</w:t>
            </w:r>
          </w:p>
        </w:tc>
        <w:tc>
          <w:tcPr>
            <w:tcW w:type="dxa" w:w="3024"/>
          </w:tcPr>
          <w:p>
            <w:r/>
            <w:r>
              <w:rPr>
                <w:rFonts w:ascii="Calibri" w:hAnsi="Calibri"/>
                <w:b w:val="0"/>
                <w:sz w:val="15"/>
              </w:rPr>
              <w:t>Western Division (Colorado-Big Thompson)</w:t>
            </w:r>
          </w:p>
        </w:tc>
        <w:tc>
          <w:tcPr>
            <w:tcW w:type="dxa" w:w="864"/>
          </w:tcPr>
          <w:p>
            <w:r/>
            <w:r>
              <w:rPr>
                <w:rFonts w:ascii="Calibri" w:hAnsi="Calibri"/>
                <w:b w:val="0"/>
                <w:sz w:val="15"/>
              </w:rPr>
              <w:t>60</w:t>
            </w:r>
          </w:p>
        </w:tc>
        <w:tc>
          <w:tcPr>
            <w:tcW w:type="dxa" w:w="1728"/>
          </w:tcPr>
          <w:p>
            <w:r/>
            <w:r>
              <w:rPr>
                <w:rFonts w:ascii="Calibri" w:hAnsi="Calibri"/>
                <w:b w:val="0"/>
                <w:sz w:val="15"/>
              </w:rPr>
              <w:t>223</w:t>
            </w:r>
          </w:p>
        </w:tc>
        <w:tc>
          <w:tcPr>
            <w:tcW w:type="dxa" w:w="1440"/>
          </w:tcPr>
          <w:p>
            <w:r/>
            <w:r>
              <w:rPr>
                <w:rFonts w:ascii="Calibri" w:hAnsi="Calibri"/>
                <w:b w:val="0"/>
                <w:sz w:val="15"/>
              </w:rPr>
              <w:t>86</w:t>
            </w:r>
          </w:p>
        </w:tc>
      </w:tr>
      <w:tr>
        <w:tc>
          <w:tcPr>
            <w:tcW w:type="dxa" w:w="2880"/>
          </w:tcPr>
          <w:p>
            <w:r/>
            <w:r>
              <w:rPr>
                <w:rFonts w:ascii="Calibri" w:hAnsi="Calibri"/>
                <w:b w:val="0"/>
                <w:sz w:val="15"/>
              </w:rPr>
              <w:t>Fremont Canyon</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211</w:t>
            </w:r>
          </w:p>
        </w:tc>
        <w:tc>
          <w:tcPr>
            <w:tcW w:type="dxa" w:w="1440"/>
          </w:tcPr>
          <w:p>
            <w:r/>
            <w:r>
              <w:rPr>
                <w:rFonts w:ascii="Calibri" w:hAnsi="Calibri"/>
                <w:b w:val="0"/>
                <w:sz w:val="15"/>
              </w:rPr>
              <w:t>67</w:t>
            </w:r>
          </w:p>
        </w:tc>
      </w:tr>
      <w:tr>
        <w:tc>
          <w:tcPr>
            <w:tcW w:type="dxa" w:w="2880"/>
          </w:tcPr>
          <w:p>
            <w:r/>
            <w:r>
              <w:rPr>
                <w:rFonts w:ascii="Calibri" w:hAnsi="Calibri"/>
                <w:b w:val="0"/>
                <w:sz w:val="15"/>
              </w:rPr>
              <w:t>Glendo</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80</w:t>
            </w:r>
          </w:p>
        </w:tc>
        <w:tc>
          <w:tcPr>
            <w:tcW w:type="dxa" w:w="1440"/>
          </w:tcPr>
          <w:p>
            <w:r/>
            <w:r>
              <w:rPr>
                <w:rFonts w:ascii="Calibri" w:hAnsi="Calibri"/>
                <w:b w:val="0"/>
                <w:sz w:val="15"/>
              </w:rPr>
              <w:t>38</w:t>
            </w:r>
          </w:p>
        </w:tc>
      </w:tr>
      <w:tr>
        <w:tc>
          <w:tcPr>
            <w:tcW w:type="dxa" w:w="2880"/>
          </w:tcPr>
          <w:p>
            <w:r/>
            <w:r>
              <w:rPr>
                <w:rFonts w:ascii="Calibri" w:hAnsi="Calibri"/>
                <w:b w:val="0"/>
                <w:sz w:val="15"/>
              </w:rPr>
              <w:t>Green Mountain</w:t>
            </w:r>
          </w:p>
        </w:tc>
        <w:tc>
          <w:tcPr>
            <w:tcW w:type="dxa" w:w="3024"/>
          </w:tcPr>
          <w:p>
            <w:r/>
            <w:r>
              <w:rPr>
                <w:rFonts w:ascii="Calibri" w:hAnsi="Calibri"/>
                <w:b w:val="0"/>
                <w:sz w:val="15"/>
              </w:rPr>
              <w:t>Western Division (Colorado-Big Thompson)</w:t>
            </w:r>
          </w:p>
        </w:tc>
        <w:tc>
          <w:tcPr>
            <w:tcW w:type="dxa" w:w="864"/>
          </w:tcPr>
          <w:p>
            <w:r/>
            <w:r>
              <w:rPr>
                <w:rFonts w:ascii="Calibri" w:hAnsi="Calibri"/>
                <w:b w:val="0"/>
                <w:sz w:val="15"/>
              </w:rPr>
              <w:t>60</w:t>
            </w:r>
          </w:p>
        </w:tc>
        <w:tc>
          <w:tcPr>
            <w:tcW w:type="dxa" w:w="1728"/>
          </w:tcPr>
          <w:p>
            <w:r/>
            <w:r>
              <w:rPr>
                <w:rFonts w:ascii="Calibri" w:hAnsi="Calibri"/>
                <w:b w:val="0"/>
                <w:sz w:val="15"/>
              </w:rPr>
              <w:t>38</w:t>
            </w:r>
          </w:p>
        </w:tc>
        <w:tc>
          <w:tcPr>
            <w:tcW w:type="dxa" w:w="1440"/>
          </w:tcPr>
          <w:p>
            <w:r/>
            <w:r>
              <w:rPr>
                <w:rFonts w:ascii="Calibri" w:hAnsi="Calibri"/>
                <w:b w:val="0"/>
                <w:sz w:val="15"/>
              </w:rPr>
              <w:t>26</w:t>
            </w:r>
          </w:p>
        </w:tc>
      </w:tr>
      <w:tr>
        <w:tc>
          <w:tcPr>
            <w:tcW w:type="dxa" w:w="2880"/>
          </w:tcPr>
          <w:p>
            <w:r/>
            <w:r>
              <w:rPr>
                <w:rFonts w:ascii="Calibri" w:hAnsi="Calibri"/>
                <w:b w:val="0"/>
                <w:sz w:val="15"/>
              </w:rPr>
              <w:t>Guernsey</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17</w:t>
            </w:r>
          </w:p>
        </w:tc>
        <w:tc>
          <w:tcPr>
            <w:tcW w:type="dxa" w:w="1440"/>
          </w:tcPr>
          <w:p>
            <w:r/>
            <w:r>
              <w:rPr>
                <w:rFonts w:ascii="Calibri" w:hAnsi="Calibri"/>
                <w:b w:val="0"/>
                <w:sz w:val="15"/>
              </w:rPr>
              <w:t>6.4</w:t>
            </w:r>
          </w:p>
        </w:tc>
      </w:tr>
      <w:tr>
        <w:tc>
          <w:tcPr>
            <w:tcW w:type="dxa" w:w="2880"/>
          </w:tcPr>
          <w:p>
            <w:r/>
            <w:r>
              <w:rPr>
                <w:rFonts w:ascii="Calibri" w:hAnsi="Calibri"/>
                <w:b w:val="0"/>
                <w:sz w:val="15"/>
              </w:rPr>
              <w:t>Heart Mountain</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19</w:t>
            </w:r>
          </w:p>
        </w:tc>
        <w:tc>
          <w:tcPr>
            <w:tcW w:type="dxa" w:w="1440"/>
          </w:tcPr>
          <w:p>
            <w:r/>
            <w:r>
              <w:rPr>
                <w:rFonts w:ascii="Calibri" w:hAnsi="Calibri"/>
                <w:b w:val="0"/>
                <w:sz w:val="15"/>
              </w:rPr>
              <w:t>5.0</w:t>
            </w:r>
          </w:p>
        </w:tc>
      </w:tr>
      <w:tr>
        <w:tc>
          <w:tcPr>
            <w:tcW w:type="dxa" w:w="2880"/>
          </w:tcPr>
          <w:p>
            <w:r/>
            <w:r>
              <w:rPr>
                <w:rFonts w:ascii="Calibri" w:hAnsi="Calibri"/>
                <w:b w:val="0"/>
                <w:sz w:val="15"/>
              </w:rPr>
              <w:t>Kortes</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127</w:t>
            </w:r>
          </w:p>
        </w:tc>
        <w:tc>
          <w:tcPr>
            <w:tcW w:type="dxa" w:w="1440"/>
          </w:tcPr>
          <w:p>
            <w:r/>
            <w:r>
              <w:rPr>
                <w:rFonts w:ascii="Calibri" w:hAnsi="Calibri"/>
                <w:b w:val="0"/>
                <w:sz w:val="15"/>
              </w:rPr>
              <w:t>36</w:t>
            </w:r>
          </w:p>
        </w:tc>
      </w:tr>
      <w:tr>
        <w:tc>
          <w:tcPr>
            <w:tcW w:type="dxa" w:w="2880"/>
          </w:tcPr>
          <w:p>
            <w:r/>
            <w:r>
              <w:rPr>
                <w:rFonts w:ascii="Calibri" w:hAnsi="Calibri"/>
                <w:b w:val="0"/>
                <w:sz w:val="15"/>
              </w:rPr>
              <w:t>Marys Lake</w:t>
            </w:r>
          </w:p>
        </w:tc>
        <w:tc>
          <w:tcPr>
            <w:tcW w:type="dxa" w:w="3024"/>
          </w:tcPr>
          <w:p>
            <w:r/>
            <w:r>
              <w:rPr>
                <w:rFonts w:ascii="Calibri" w:hAnsi="Calibri"/>
                <w:b w:val="0"/>
                <w:sz w:val="15"/>
              </w:rPr>
              <w:t>Western Division (Colorado-Big Thompson)</w:t>
            </w:r>
          </w:p>
        </w:tc>
        <w:tc>
          <w:tcPr>
            <w:tcW w:type="dxa" w:w="864"/>
          </w:tcPr>
          <w:p>
            <w:r/>
            <w:r>
              <w:rPr>
                <w:rFonts w:ascii="Calibri" w:hAnsi="Calibri"/>
                <w:b w:val="0"/>
                <w:sz w:val="15"/>
              </w:rPr>
              <w:t>60</w:t>
            </w:r>
          </w:p>
        </w:tc>
        <w:tc>
          <w:tcPr>
            <w:tcW w:type="dxa" w:w="1728"/>
          </w:tcPr>
          <w:p>
            <w:r/>
            <w:r>
              <w:rPr>
                <w:rFonts w:ascii="Calibri" w:hAnsi="Calibri"/>
                <w:b w:val="0"/>
                <w:sz w:val="15"/>
              </w:rPr>
              <w:t>38</w:t>
            </w:r>
          </w:p>
        </w:tc>
        <w:tc>
          <w:tcPr>
            <w:tcW w:type="dxa" w:w="1440"/>
          </w:tcPr>
          <w:p>
            <w:r/>
            <w:r>
              <w:rPr>
                <w:rFonts w:ascii="Calibri" w:hAnsi="Calibri"/>
                <w:b w:val="0"/>
                <w:sz w:val="15"/>
              </w:rPr>
              <w:t>8.1</w:t>
            </w:r>
          </w:p>
        </w:tc>
      </w:tr>
      <w:tr>
        <w:tc>
          <w:tcPr>
            <w:tcW w:type="dxa" w:w="2880"/>
          </w:tcPr>
          <w:p>
            <w:r/>
            <w:r>
              <w:rPr>
                <w:rFonts w:ascii="Calibri" w:hAnsi="Calibri"/>
                <w:b w:val="0"/>
                <w:sz w:val="15"/>
              </w:rPr>
              <w:t>Pole Hill</w:t>
            </w:r>
          </w:p>
        </w:tc>
        <w:tc>
          <w:tcPr>
            <w:tcW w:type="dxa" w:w="3024"/>
          </w:tcPr>
          <w:p>
            <w:r/>
            <w:r>
              <w:rPr>
                <w:rFonts w:ascii="Calibri" w:hAnsi="Calibri"/>
                <w:b w:val="0"/>
                <w:sz w:val="15"/>
              </w:rPr>
              <w:t>Western Division (Colorado-Big Thompson)</w:t>
            </w:r>
          </w:p>
        </w:tc>
        <w:tc>
          <w:tcPr>
            <w:tcW w:type="dxa" w:w="864"/>
          </w:tcPr>
          <w:p>
            <w:r/>
            <w:r>
              <w:rPr>
                <w:rFonts w:ascii="Calibri" w:hAnsi="Calibri"/>
                <w:b w:val="0"/>
                <w:sz w:val="15"/>
              </w:rPr>
              <w:t>60</w:t>
            </w:r>
          </w:p>
        </w:tc>
        <w:tc>
          <w:tcPr>
            <w:tcW w:type="dxa" w:w="1728"/>
          </w:tcPr>
          <w:p>
            <w:r/>
            <w:r>
              <w:rPr>
                <w:rFonts w:ascii="Calibri" w:hAnsi="Calibri"/>
                <w:b w:val="0"/>
                <w:sz w:val="15"/>
              </w:rPr>
              <w:t>174</w:t>
            </w:r>
          </w:p>
        </w:tc>
        <w:tc>
          <w:tcPr>
            <w:tcW w:type="dxa" w:w="1440"/>
          </w:tcPr>
          <w:p>
            <w:r/>
            <w:r>
              <w:rPr>
                <w:rFonts w:ascii="Calibri" w:hAnsi="Calibri"/>
                <w:b w:val="0"/>
                <w:sz w:val="15"/>
              </w:rPr>
              <w:t>38</w:t>
            </w:r>
          </w:p>
        </w:tc>
      </w:tr>
      <w:tr>
        <w:tc>
          <w:tcPr>
            <w:tcW w:type="dxa" w:w="2880"/>
          </w:tcPr>
          <w:p>
            <w:r/>
            <w:r>
              <w:rPr>
                <w:rFonts w:ascii="Calibri" w:hAnsi="Calibri"/>
                <w:b w:val="0"/>
                <w:sz w:val="15"/>
              </w:rPr>
              <w:t>Seminoe</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106</w:t>
            </w:r>
          </w:p>
        </w:tc>
        <w:tc>
          <w:tcPr>
            <w:tcW w:type="dxa" w:w="1440"/>
          </w:tcPr>
          <w:p>
            <w:r/>
            <w:r>
              <w:rPr>
                <w:rFonts w:ascii="Calibri" w:hAnsi="Calibri"/>
                <w:b w:val="0"/>
                <w:sz w:val="15"/>
              </w:rPr>
              <w:t>52</w:t>
            </w:r>
          </w:p>
        </w:tc>
      </w:tr>
      <w:tr>
        <w:tc>
          <w:tcPr>
            <w:tcW w:type="dxa" w:w="2880"/>
          </w:tcPr>
          <w:p>
            <w:r/>
            <w:r>
              <w:rPr>
                <w:rFonts w:ascii="Calibri" w:hAnsi="Calibri"/>
                <w:b w:val="0"/>
                <w:sz w:val="15"/>
              </w:rPr>
              <w:t>Shoshone</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19</w:t>
            </w:r>
          </w:p>
        </w:tc>
        <w:tc>
          <w:tcPr>
            <w:tcW w:type="dxa" w:w="1440"/>
          </w:tcPr>
          <w:p>
            <w:r/>
            <w:r>
              <w:rPr>
                <w:rFonts w:ascii="Calibri" w:hAnsi="Calibri"/>
                <w:b w:val="0"/>
                <w:sz w:val="15"/>
              </w:rPr>
              <w:t>8.6</w:t>
            </w:r>
          </w:p>
        </w:tc>
      </w:tr>
      <w:tr>
        <w:tc>
          <w:tcPr>
            <w:tcW w:type="dxa" w:w="2880"/>
          </w:tcPr>
          <w:p>
            <w:r/>
            <w:r>
              <w:rPr>
                <w:rFonts w:ascii="Calibri" w:hAnsi="Calibri"/>
                <w:b w:val="0"/>
                <w:sz w:val="15"/>
              </w:rPr>
              <w:t>Spirit Mountain</w:t>
            </w:r>
          </w:p>
        </w:tc>
        <w:tc>
          <w:tcPr>
            <w:tcW w:type="dxa" w:w="3024"/>
          </w:tcPr>
          <w:p>
            <w:r/>
            <w:r>
              <w:rPr>
                <w:rFonts w:ascii="Calibri" w:hAnsi="Calibri"/>
                <w:b w:val="0"/>
                <w:sz w:val="15"/>
              </w:rPr>
              <w:t>Western Division</w:t>
            </w:r>
          </w:p>
        </w:tc>
        <w:tc>
          <w:tcPr>
            <w:tcW w:type="dxa" w:w="864"/>
          </w:tcPr>
          <w:p>
            <w:r/>
            <w:r>
              <w:rPr>
                <w:rFonts w:ascii="Calibri" w:hAnsi="Calibri"/>
                <w:b w:val="0"/>
                <w:sz w:val="15"/>
              </w:rPr>
              <w:t>60</w:t>
            </w:r>
          </w:p>
        </w:tc>
        <w:tc>
          <w:tcPr>
            <w:tcW w:type="dxa" w:w="1728"/>
          </w:tcPr>
          <w:p>
            <w:r/>
            <w:r>
              <w:rPr>
                <w:rFonts w:ascii="Calibri" w:hAnsi="Calibri"/>
                <w:b w:val="0"/>
                <w:sz w:val="15"/>
              </w:rPr>
              <w:t>16</w:t>
            </w:r>
          </w:p>
        </w:tc>
        <w:tc>
          <w:tcPr>
            <w:tcW w:type="dxa" w:w="1440"/>
          </w:tcPr>
          <w:p>
            <w:r/>
            <w:r>
              <w:rPr>
                <w:rFonts w:ascii="Calibri" w:hAnsi="Calibri"/>
                <w:b w:val="0"/>
                <w:sz w:val="15"/>
              </w:rPr>
              <w:t>4.5</w:t>
            </w:r>
          </w:p>
        </w:tc>
      </w:tr>
      <w:tr>
        <w:tc>
          <w:tcPr>
            <w:tcW w:type="dxa" w:w="2880"/>
          </w:tcPr>
          <w:p>
            <w:r/>
            <w:r>
              <w:rPr>
                <w:rFonts w:ascii="Calibri" w:hAnsi="Calibri"/>
                <w:b w:val="0"/>
                <w:sz w:val="15"/>
              </w:rPr>
              <w:t>Yellowtail</w:t>
            </w:r>
          </w:p>
        </w:tc>
        <w:tc>
          <w:tcPr>
            <w:tcW w:type="dxa" w:w="3024"/>
          </w:tcPr>
          <w:p>
            <w:r/>
            <w:r>
              <w:rPr>
                <w:rFonts w:ascii="Calibri" w:hAnsi="Calibri"/>
                <w:b w:val="0"/>
                <w:sz w:val="15"/>
              </w:rPr>
              <w:t>Eastern Division</w:t>
            </w:r>
          </w:p>
        </w:tc>
        <w:tc>
          <w:tcPr>
            <w:tcW w:type="dxa" w:w="864"/>
          </w:tcPr>
          <w:p>
            <w:r/>
            <w:r>
              <w:rPr>
                <w:rFonts w:ascii="Calibri" w:hAnsi="Calibri"/>
                <w:b w:val="0"/>
                <w:sz w:val="15"/>
              </w:rPr>
              <w:t>60</w:t>
            </w:r>
          </w:p>
        </w:tc>
        <w:tc>
          <w:tcPr>
            <w:tcW w:type="dxa" w:w="1728"/>
          </w:tcPr>
          <w:p>
            <w:r/>
            <w:r>
              <w:rPr>
                <w:rFonts w:ascii="Calibri" w:hAnsi="Calibri"/>
                <w:b w:val="0"/>
                <w:sz w:val="15"/>
              </w:rPr>
              <w:t>790</w:t>
            </w:r>
          </w:p>
        </w:tc>
        <w:tc>
          <w:tcPr>
            <w:tcW w:type="dxa" w:w="1440"/>
          </w:tcPr>
          <w:p>
            <w:r/>
            <w:r>
              <w:rPr>
                <w:rFonts w:ascii="Calibri" w:hAnsi="Calibri"/>
                <w:b w:val="0"/>
                <w:sz w:val="15"/>
              </w:rPr>
              <w:t>287</w:t>
            </w:r>
          </w:p>
        </w:tc>
      </w:tr>
    </w:tbl>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2880"/>
            <w:shd w:val="clear" w:color="auto" w:fill="1F4E79"/>
          </w:tcPr>
          <w:p>
            <w:r/>
            <w:r>
              <w:rPr>
                <w:rFonts w:ascii="Calibri" w:hAnsi="Calibri"/>
                <w:b/>
                <w:color w:val="FFFFFF"/>
                <w:sz w:val="15"/>
              </w:rPr>
              <w:t>USACE dam (EIA-923)</w:t>
            </w:r>
          </w:p>
        </w:tc>
        <w:tc>
          <w:tcPr>
            <w:tcW w:type="dxa" w:w="1728"/>
            <w:shd w:val="clear" w:color="auto" w:fill="1F4E79"/>
          </w:tcPr>
          <w:p>
            <w:r/>
            <w:r>
              <w:rPr>
                <w:rFonts w:ascii="Calibri" w:hAnsi="Calibri"/>
                <w:b/>
                <w:color w:val="FFFFFF"/>
                <w:sz w:val="15"/>
              </w:rPr>
              <w:t>EIA plant id</w:t>
            </w:r>
          </w:p>
        </w:tc>
        <w:tc>
          <w:tcPr>
            <w:tcW w:type="dxa" w:w="1152"/>
            <w:shd w:val="clear" w:color="auto" w:fill="1F4E79"/>
          </w:tcPr>
          <w:p>
            <w:r/>
            <w:r>
              <w:rPr>
                <w:rFonts w:ascii="Calibri" w:hAnsi="Calibri"/>
                <w:b/>
                <w:color w:val="FFFFFF"/>
                <w:sz w:val="15"/>
              </w:rPr>
              <w:t>Months</w:t>
            </w:r>
          </w:p>
        </w:tc>
        <w:tc>
          <w:tcPr>
            <w:tcW w:type="dxa" w:w="2880"/>
            <w:shd w:val="clear" w:color="auto" w:fill="1F4E79"/>
          </w:tcPr>
          <w:p>
            <w:r/>
            <w:r>
              <w:rPr>
                <w:rFonts w:ascii="Calibri" w:hAnsi="Calibri"/>
                <w:b/>
                <w:color w:val="FFFFFF"/>
                <w:sz w:val="15"/>
              </w:rPr>
              <w:t>Avg annual net generation (GWh)</w:t>
            </w:r>
          </w:p>
        </w:tc>
      </w:tr>
      <w:tr>
        <w:tc>
          <w:tcPr>
            <w:tcW w:type="dxa" w:w="2880"/>
          </w:tcPr>
          <w:p>
            <w:r/>
            <w:r>
              <w:rPr>
                <w:rFonts w:ascii="Calibri" w:hAnsi="Calibri"/>
                <w:b w:val="0"/>
                <w:sz w:val="15"/>
              </w:rPr>
              <w:t>Big Bend</w:t>
            </w:r>
          </w:p>
        </w:tc>
        <w:tc>
          <w:tcPr>
            <w:tcW w:type="dxa" w:w="1728"/>
          </w:tcPr>
          <w:p>
            <w:r/>
            <w:r>
              <w:rPr>
                <w:rFonts w:ascii="Calibri" w:hAnsi="Calibri"/>
                <w:b w:val="0"/>
                <w:sz w:val="15"/>
              </w:rPr>
              <w:t>3375</w:t>
            </w:r>
          </w:p>
        </w:tc>
        <w:tc>
          <w:tcPr>
            <w:tcW w:type="dxa" w:w="1152"/>
          </w:tcPr>
          <w:p>
            <w:r/>
            <w:r>
              <w:rPr>
                <w:rFonts w:ascii="Calibri" w:hAnsi="Calibri"/>
                <w:b w:val="0"/>
                <w:sz w:val="15"/>
              </w:rPr>
              <w:t>60</w:t>
            </w:r>
          </w:p>
        </w:tc>
        <w:tc>
          <w:tcPr>
            <w:tcW w:type="dxa" w:w="2880"/>
          </w:tcPr>
          <w:p>
            <w:r/>
            <w:r>
              <w:rPr>
                <w:rFonts w:ascii="Calibri" w:hAnsi="Calibri"/>
                <w:b w:val="0"/>
                <w:sz w:val="15"/>
              </w:rPr>
              <w:t>1,082</w:t>
            </w:r>
          </w:p>
        </w:tc>
      </w:tr>
      <w:tr>
        <w:tc>
          <w:tcPr>
            <w:tcW w:type="dxa" w:w="2880"/>
          </w:tcPr>
          <w:p>
            <w:r/>
            <w:r>
              <w:rPr>
                <w:rFonts w:ascii="Calibri" w:hAnsi="Calibri"/>
                <w:b w:val="0"/>
                <w:sz w:val="15"/>
              </w:rPr>
              <w:t>Fort Peck</w:t>
            </w:r>
          </w:p>
        </w:tc>
        <w:tc>
          <w:tcPr>
            <w:tcW w:type="dxa" w:w="1728"/>
          </w:tcPr>
          <w:p>
            <w:r/>
            <w:r>
              <w:rPr>
                <w:rFonts w:ascii="Calibri" w:hAnsi="Calibri"/>
                <w:b w:val="0"/>
                <w:sz w:val="15"/>
              </w:rPr>
              <w:t>6623</w:t>
            </w:r>
          </w:p>
        </w:tc>
        <w:tc>
          <w:tcPr>
            <w:tcW w:type="dxa" w:w="1152"/>
          </w:tcPr>
          <w:p>
            <w:r/>
            <w:r>
              <w:rPr>
                <w:rFonts w:ascii="Calibri" w:hAnsi="Calibri"/>
                <w:b w:val="0"/>
                <w:sz w:val="15"/>
              </w:rPr>
              <w:t>60</w:t>
            </w:r>
          </w:p>
        </w:tc>
        <w:tc>
          <w:tcPr>
            <w:tcW w:type="dxa" w:w="2880"/>
          </w:tcPr>
          <w:p>
            <w:r/>
            <w:r>
              <w:rPr>
                <w:rFonts w:ascii="Calibri" w:hAnsi="Calibri"/>
                <w:b w:val="0"/>
                <w:sz w:val="15"/>
              </w:rPr>
              <w:t>1,045</w:t>
            </w:r>
          </w:p>
        </w:tc>
      </w:tr>
      <w:tr>
        <w:tc>
          <w:tcPr>
            <w:tcW w:type="dxa" w:w="2880"/>
          </w:tcPr>
          <w:p>
            <w:r/>
            <w:r>
              <w:rPr>
                <w:rFonts w:ascii="Calibri" w:hAnsi="Calibri"/>
                <w:b w:val="0"/>
                <w:sz w:val="15"/>
              </w:rPr>
              <w:t>Fort Randall</w:t>
            </w:r>
          </w:p>
        </w:tc>
        <w:tc>
          <w:tcPr>
            <w:tcW w:type="dxa" w:w="1728"/>
          </w:tcPr>
          <w:p>
            <w:r/>
            <w:r>
              <w:rPr>
                <w:rFonts w:ascii="Calibri" w:hAnsi="Calibri"/>
                <w:b w:val="0"/>
                <w:sz w:val="15"/>
              </w:rPr>
              <w:t>3373</w:t>
            </w:r>
          </w:p>
        </w:tc>
        <w:tc>
          <w:tcPr>
            <w:tcW w:type="dxa" w:w="1152"/>
          </w:tcPr>
          <w:p>
            <w:r/>
            <w:r>
              <w:rPr>
                <w:rFonts w:ascii="Calibri" w:hAnsi="Calibri"/>
                <w:b w:val="0"/>
                <w:sz w:val="15"/>
              </w:rPr>
              <w:t>60</w:t>
            </w:r>
          </w:p>
        </w:tc>
        <w:tc>
          <w:tcPr>
            <w:tcW w:type="dxa" w:w="2880"/>
          </w:tcPr>
          <w:p>
            <w:r/>
            <w:r>
              <w:rPr>
                <w:rFonts w:ascii="Calibri" w:hAnsi="Calibri"/>
                <w:b w:val="0"/>
                <w:sz w:val="15"/>
              </w:rPr>
              <w:t>1,812</w:t>
            </w:r>
          </w:p>
        </w:tc>
      </w:tr>
      <w:tr>
        <w:tc>
          <w:tcPr>
            <w:tcW w:type="dxa" w:w="2880"/>
          </w:tcPr>
          <w:p>
            <w:r/>
            <w:r>
              <w:rPr>
                <w:rFonts w:ascii="Calibri" w:hAnsi="Calibri"/>
                <w:b w:val="0"/>
                <w:sz w:val="15"/>
              </w:rPr>
              <w:t>Garrison</w:t>
            </w:r>
          </w:p>
        </w:tc>
        <w:tc>
          <w:tcPr>
            <w:tcW w:type="dxa" w:w="1728"/>
          </w:tcPr>
          <w:p>
            <w:r/>
            <w:r>
              <w:rPr>
                <w:rFonts w:ascii="Calibri" w:hAnsi="Calibri"/>
                <w:b w:val="0"/>
                <w:sz w:val="15"/>
              </w:rPr>
              <w:t>2815</w:t>
            </w:r>
          </w:p>
        </w:tc>
        <w:tc>
          <w:tcPr>
            <w:tcW w:type="dxa" w:w="1152"/>
          </w:tcPr>
          <w:p>
            <w:r/>
            <w:r>
              <w:rPr>
                <w:rFonts w:ascii="Calibri" w:hAnsi="Calibri"/>
                <w:b w:val="0"/>
                <w:sz w:val="15"/>
              </w:rPr>
              <w:t>60</w:t>
            </w:r>
          </w:p>
        </w:tc>
        <w:tc>
          <w:tcPr>
            <w:tcW w:type="dxa" w:w="2880"/>
          </w:tcPr>
          <w:p>
            <w:r/>
            <w:r>
              <w:rPr>
                <w:rFonts w:ascii="Calibri" w:hAnsi="Calibri"/>
                <w:b w:val="0"/>
                <w:sz w:val="15"/>
              </w:rPr>
              <w:t>2,518</w:t>
            </w:r>
          </w:p>
        </w:tc>
      </w:tr>
      <w:tr>
        <w:tc>
          <w:tcPr>
            <w:tcW w:type="dxa" w:w="2880"/>
          </w:tcPr>
          <w:p>
            <w:r/>
            <w:r>
              <w:rPr>
                <w:rFonts w:ascii="Calibri" w:hAnsi="Calibri"/>
                <w:b w:val="0"/>
                <w:sz w:val="15"/>
              </w:rPr>
              <w:t>Gavins Point</w:t>
            </w:r>
          </w:p>
        </w:tc>
        <w:tc>
          <w:tcPr>
            <w:tcW w:type="dxa" w:w="1728"/>
          </w:tcPr>
          <w:p>
            <w:r/>
            <w:r>
              <w:rPr>
                <w:rFonts w:ascii="Calibri" w:hAnsi="Calibri"/>
                <w:b w:val="0"/>
                <w:sz w:val="15"/>
              </w:rPr>
              <w:t>6624</w:t>
            </w:r>
          </w:p>
        </w:tc>
        <w:tc>
          <w:tcPr>
            <w:tcW w:type="dxa" w:w="1152"/>
          </w:tcPr>
          <w:p>
            <w:r/>
            <w:r>
              <w:rPr>
                <w:rFonts w:ascii="Calibri" w:hAnsi="Calibri"/>
                <w:b w:val="0"/>
                <w:sz w:val="15"/>
              </w:rPr>
              <w:t>60</w:t>
            </w:r>
          </w:p>
        </w:tc>
        <w:tc>
          <w:tcPr>
            <w:tcW w:type="dxa" w:w="2880"/>
          </w:tcPr>
          <w:p>
            <w:r/>
            <w:r>
              <w:rPr>
                <w:rFonts w:ascii="Calibri" w:hAnsi="Calibri"/>
                <w:b w:val="0"/>
                <w:sz w:val="15"/>
              </w:rPr>
              <w:t>680</w:t>
            </w:r>
          </w:p>
        </w:tc>
      </w:tr>
      <w:tr>
        <w:tc>
          <w:tcPr>
            <w:tcW w:type="dxa" w:w="2880"/>
          </w:tcPr>
          <w:p>
            <w:r/>
            <w:r>
              <w:rPr>
                <w:rFonts w:ascii="Calibri" w:hAnsi="Calibri"/>
                <w:b w:val="0"/>
                <w:sz w:val="15"/>
              </w:rPr>
              <w:t>Oahe</w:t>
            </w:r>
          </w:p>
        </w:tc>
        <w:tc>
          <w:tcPr>
            <w:tcW w:type="dxa" w:w="1728"/>
          </w:tcPr>
          <w:p>
            <w:r/>
            <w:r>
              <w:rPr>
                <w:rFonts w:ascii="Calibri" w:hAnsi="Calibri"/>
                <w:b w:val="0"/>
                <w:sz w:val="15"/>
              </w:rPr>
              <w:t>3356</w:t>
            </w:r>
          </w:p>
        </w:tc>
        <w:tc>
          <w:tcPr>
            <w:tcW w:type="dxa" w:w="1152"/>
          </w:tcPr>
          <w:p>
            <w:r/>
            <w:r>
              <w:rPr>
                <w:rFonts w:ascii="Calibri" w:hAnsi="Calibri"/>
                <w:b w:val="0"/>
                <w:sz w:val="15"/>
              </w:rPr>
              <w:t>60</w:t>
            </w:r>
          </w:p>
        </w:tc>
        <w:tc>
          <w:tcPr>
            <w:tcW w:type="dxa" w:w="2880"/>
          </w:tcPr>
          <w:p>
            <w:r/>
            <w:r>
              <w:rPr>
                <w:rFonts w:ascii="Calibri" w:hAnsi="Calibri"/>
                <w:b w:val="0"/>
                <w:sz w:val="15"/>
              </w:rPr>
              <w:t>2,954</w:t>
            </w:r>
          </w:p>
        </w:tc>
      </w:tr>
    </w:tbl>
    <w:p/>
    <w:p>
      <w:pPr>
        <w:pStyle w:val="ListBullet"/>
        <w:spacing w:after="40"/>
      </w:pPr>
      <w:r>
        <w:rPr>
          <w:rFonts w:ascii="Calibri" w:hAnsi="Calibri"/>
          <w:b w:val="0"/>
          <w:sz w:val="20"/>
        </w:rPr>
        <w:t>Most mainstem dams are in the Eastern Interconnection, not WECC. Fort Peck's five units are split between the Western and Eastern grids.</w:t>
      </w:r>
    </w:p>
    <w:p>
      <w:pPr>
        <w:pStyle w:val="ListBullet"/>
        <w:spacing w:after="40"/>
      </w:pPr>
      <w:r>
        <w:rPr>
          <w:rFonts w:ascii="Calibri" w:hAnsi="Calibri"/>
          <w:b w:val="0"/>
          <w:sz w:val="20"/>
        </w:rPr>
        <w:t xml:space="preserve">Divisions (column </w:t>
      </w:r>
      <w:r>
        <w:rPr>
          <w:rFonts w:ascii="Consolas" w:hAnsi="Consolas"/>
          <w:b w:val="0"/>
          <w:sz w:val="19"/>
        </w:rPr>
        <w:t>pick_sloan_division</w:t>
      </w:r>
      <w:r>
        <w:rPr>
          <w:rFonts w:ascii="Calibri" w:hAnsi="Calibri"/>
          <w:b w:val="0"/>
          <w:sz w:val="20"/>
        </w:rPr>
        <w:t xml:space="preserve"> in plant_list.csv): WAPA states that the Eastern Division has eight dams - the six USACE mainstem dams plus USBR Canyon Ferry and Yellowtail (</w:t>
      </w:r>
      <w:hyperlink r:id="rId12">
        <w:r>
          <w:rPr>
            <w:color w:val="0563C1"/>
            <w:u w:val="single"/>
            <w:rFonts w:ascii="Calibri" w:hAnsi="Calibri"/>
            <w:sz w:val="20"/>
          </w:rPr>
          <w:t>https://www.wapa.gov/about-wapa/regions/ugp/power-projects/</w:t>
        </w:r>
      </w:hyperlink>
      <w:r>
        <w:rPr>
          <w:rFonts w:ascii="Calibri" w:hAnsi="Calibri"/>
          <w:b w:val="0"/>
          <w:sz w:val="20"/>
        </w:rPr>
        <w:t>). The other USBR plants are Western Division: the Colorado-Big Thompson, Kendrick, Riverton and Shoshone Projects were combined with Pick-Sloan in 1954 and the North Platte Project in 1959 (Federal Register, Loveland Area Projects rate orders). The Fryingpan-Arkansas Project (Mt. Elbert), marketed together with the Western Division as the Loveland Area Projects, is not part of Pick-Sloan and is not included.</w:t>
      </w:r>
    </w:p>
    <w:p>
      <w:pPr>
        <w:pStyle w:val="ListBullet"/>
        <w:spacing w:after="40"/>
      </w:pPr>
      <w:r>
        <w:rPr>
          <w:rFonts w:ascii="Calibri" w:hAnsi="Calibri"/>
          <w:b w:val="0"/>
          <w:sz w:val="20"/>
        </w:rPr>
        <w:t>Flatiron: RISE reports the two conventional units and the pump-generating Unit 3 separately; EIA-923 reports one plant (id 518). The conventional units match EIA's hydro rows within about 2.5 % except 2019 (+11 %). For Unit 3, EIA's net generation is generation minus pumping energy (negative); RISE gives the two separately (</w:t>
      </w:r>
      <w:r>
        <w:rPr>
          <w:rFonts w:ascii="Consolas" w:hAnsi="Consolas"/>
          <w:b w:val="0"/>
          <w:sz w:val="19"/>
        </w:rPr>
        <w:t>net_generation_kWh</w:t>
      </w:r>
      <w:r>
        <w:rPr>
          <w:rFonts w:ascii="Calibri" w:hAnsi="Calibri"/>
          <w:b w:val="0"/>
          <w:sz w:val="20"/>
        </w:rPr>
        <w:t xml:space="preserve">, </w:t>
      </w:r>
      <w:r>
        <w:rPr>
          <w:rFonts w:ascii="Consolas" w:hAnsi="Consolas"/>
          <w:b w:val="0"/>
          <w:sz w:val="19"/>
        </w:rPr>
        <w:t>pumping_energy_kWh</w:t>
      </w:r>
      <w:r>
        <w:rPr>
          <w:rFonts w:ascii="Calibri" w:hAnsi="Calibri"/>
          <w:b w:val="0"/>
          <w:sz w:val="20"/>
        </w:rPr>
        <w:t>), and net minus pumping matches EIA exactly in 2019 and 2022 and within 3-15 % in the other years.</w:t>
      </w:r>
    </w:p>
    <w:p>
      <w:pPr>
        <w:pStyle w:val="ListBullet"/>
        <w:spacing w:after="40"/>
      </w:pPr>
      <w:r>
        <w:rPr>
          <w:rFonts w:ascii="Calibri" w:hAnsi="Calibri"/>
          <w:b w:val="0"/>
          <w:sz w:val="20"/>
        </w:rPr>
        <w:t>Pilot Butte (Riverton Project) has no data in RISE and is not included.</w:t>
      </w:r>
    </w:p>
    <w:p>
      <w:pPr>
        <w:pStyle w:val="Heading2"/>
      </w:pPr>
      <w:r>
        <w:t>4.5 Central Valley Project (CVP)  (folder 5_Central_Valley/)</w:t>
      </w:r>
    </w:p>
    <w:p>
      <w:pPr>
        <w:spacing w:after="80"/>
      </w:pPr>
      <w:r>
        <w:rPr>
          <w:rFonts w:ascii="Calibri" w:hAnsi="Calibri"/>
          <w:b w:val="0"/>
          <w:sz w:val="20"/>
        </w:rPr>
        <w:t>USBR plants in northern and central California. Power marketed by WAPA Sierra Nevada Region.</w:t>
      </w:r>
    </w:p>
    <w:tbl>
      <w:tblPr>
        <w:tblStyle w:val="TableGrid"/>
        <w:tblW w:type="auto" w:w="0"/>
        <w:jc w:val="center"/>
        <w:tblLayout w:type="fixed"/>
        <w:tblLook w:firstColumn="1" w:firstRow="1" w:lastColumn="0" w:lastRow="0" w:noHBand="0" w:noVBand="1" w:val="04A0"/>
      </w:tblPr>
      <w:tblGrid>
        <w:gridCol w:w="2484"/>
        <w:gridCol w:w="2484"/>
        <w:gridCol w:w="2484"/>
        <w:gridCol w:w="2484"/>
      </w:tblGrid>
      <w:tr>
        <w:tc>
          <w:tcPr>
            <w:tcW w:type="dxa" w:w="3168"/>
            <w:shd w:val="clear" w:color="auto" w:fill="1F4E79"/>
          </w:tcPr>
          <w:p>
            <w:r/>
            <w:r>
              <w:rPr>
                <w:rFonts w:ascii="Calibri" w:hAnsi="Calibri"/>
                <w:b/>
                <w:color w:val="FFFFFF"/>
                <w:sz w:val="15"/>
              </w:rPr>
              <w:t>USBR plant (RISE)</w:t>
            </w:r>
          </w:p>
        </w:tc>
        <w:tc>
          <w:tcPr>
            <w:tcW w:type="dxa" w:w="1152"/>
            <w:shd w:val="clear" w:color="auto" w:fill="1F4E79"/>
          </w:tcPr>
          <w:p>
            <w:r/>
            <w:r>
              <w:rPr>
                <w:rFonts w:ascii="Calibri" w:hAnsi="Calibri"/>
                <w:b/>
                <w:color w:val="FFFFFF"/>
                <w:sz w:val="15"/>
              </w:rPr>
              <w:t>Months</w:t>
            </w:r>
          </w:p>
        </w:tc>
        <w:tc>
          <w:tcPr>
            <w:tcW w:type="dxa" w:w="2880"/>
            <w:shd w:val="clear" w:color="auto" w:fill="1F4E79"/>
          </w:tcPr>
          <w:p>
            <w:r/>
            <w:r>
              <w:rPr>
                <w:rFonts w:ascii="Calibri" w:hAnsi="Calibri"/>
                <w:b/>
                <w:color w:val="FFFFFF"/>
                <w:sz w:val="15"/>
              </w:rPr>
              <w:t>Avg annual net generation (GWh)</w:t>
            </w:r>
          </w:p>
        </w:tc>
        <w:tc>
          <w:tcPr>
            <w:tcW w:type="dxa" w:w="2016"/>
            <w:shd w:val="clear" w:color="auto" w:fill="1F4E79"/>
          </w:tcPr>
          <w:p>
            <w:r/>
            <w:r>
              <w:rPr>
                <w:rFonts w:ascii="Calibri" w:hAnsi="Calibri"/>
                <w:b/>
                <w:color w:val="FFFFFF"/>
                <w:sz w:val="15"/>
              </w:rPr>
              <w:t>Installed capacity (MW)</w:t>
            </w:r>
          </w:p>
        </w:tc>
      </w:tr>
      <w:tr>
        <w:tc>
          <w:tcPr>
            <w:tcW w:type="dxa" w:w="3168"/>
          </w:tcPr>
          <w:p>
            <w:r/>
            <w:r>
              <w:rPr>
                <w:rFonts w:ascii="Calibri" w:hAnsi="Calibri"/>
                <w:b w:val="0"/>
                <w:sz w:val="15"/>
              </w:rPr>
              <w:t>Folsom</w:t>
            </w:r>
          </w:p>
        </w:tc>
        <w:tc>
          <w:tcPr>
            <w:tcW w:type="dxa" w:w="1152"/>
          </w:tcPr>
          <w:p>
            <w:r/>
            <w:r>
              <w:rPr>
                <w:rFonts w:ascii="Calibri" w:hAnsi="Calibri"/>
                <w:b w:val="0"/>
                <w:sz w:val="15"/>
              </w:rPr>
              <w:t>60</w:t>
            </w:r>
          </w:p>
        </w:tc>
        <w:tc>
          <w:tcPr>
            <w:tcW w:type="dxa" w:w="2880"/>
          </w:tcPr>
          <w:p>
            <w:r/>
            <w:r>
              <w:rPr>
                <w:rFonts w:ascii="Calibri" w:hAnsi="Calibri"/>
                <w:b w:val="0"/>
                <w:sz w:val="15"/>
              </w:rPr>
              <w:t>458</w:t>
            </w:r>
          </w:p>
        </w:tc>
        <w:tc>
          <w:tcPr>
            <w:tcW w:type="dxa" w:w="2016"/>
          </w:tcPr>
          <w:p>
            <w:r/>
            <w:r>
              <w:rPr>
                <w:rFonts w:ascii="Calibri" w:hAnsi="Calibri"/>
                <w:b w:val="0"/>
                <w:sz w:val="15"/>
              </w:rPr>
              <w:t>207</w:t>
            </w:r>
          </w:p>
        </w:tc>
      </w:tr>
      <w:tr>
        <w:tc>
          <w:tcPr>
            <w:tcW w:type="dxa" w:w="3168"/>
          </w:tcPr>
          <w:p>
            <w:r/>
            <w:r>
              <w:rPr>
                <w:rFonts w:ascii="Calibri" w:hAnsi="Calibri"/>
                <w:b w:val="0"/>
                <w:sz w:val="15"/>
              </w:rPr>
              <w:t>Judge Francis Carr</w:t>
            </w:r>
          </w:p>
        </w:tc>
        <w:tc>
          <w:tcPr>
            <w:tcW w:type="dxa" w:w="1152"/>
          </w:tcPr>
          <w:p>
            <w:r/>
            <w:r>
              <w:rPr>
                <w:rFonts w:ascii="Calibri" w:hAnsi="Calibri"/>
                <w:b w:val="0"/>
                <w:sz w:val="15"/>
              </w:rPr>
              <w:t>60</w:t>
            </w:r>
          </w:p>
        </w:tc>
        <w:tc>
          <w:tcPr>
            <w:tcW w:type="dxa" w:w="2880"/>
          </w:tcPr>
          <w:p>
            <w:r/>
            <w:r>
              <w:rPr>
                <w:rFonts w:ascii="Calibri" w:hAnsi="Calibri"/>
                <w:b w:val="0"/>
                <w:sz w:val="15"/>
              </w:rPr>
              <w:t>268</w:t>
            </w:r>
          </w:p>
        </w:tc>
        <w:tc>
          <w:tcPr>
            <w:tcW w:type="dxa" w:w="2016"/>
          </w:tcPr>
          <w:p>
            <w:r/>
            <w:r>
              <w:rPr>
                <w:rFonts w:ascii="Calibri" w:hAnsi="Calibri"/>
                <w:b w:val="0"/>
                <w:sz w:val="15"/>
              </w:rPr>
              <w:t>154</w:t>
            </w:r>
          </w:p>
        </w:tc>
      </w:tr>
      <w:tr>
        <w:tc>
          <w:tcPr>
            <w:tcW w:type="dxa" w:w="3168"/>
          </w:tcPr>
          <w:p>
            <w:r/>
            <w:r>
              <w:rPr>
                <w:rFonts w:ascii="Calibri" w:hAnsi="Calibri"/>
                <w:b w:val="0"/>
                <w:sz w:val="15"/>
              </w:rPr>
              <w:t>Keswick</w:t>
            </w:r>
          </w:p>
        </w:tc>
        <w:tc>
          <w:tcPr>
            <w:tcW w:type="dxa" w:w="1152"/>
          </w:tcPr>
          <w:p>
            <w:r/>
            <w:r>
              <w:rPr>
                <w:rFonts w:ascii="Calibri" w:hAnsi="Calibri"/>
                <w:b w:val="0"/>
                <w:sz w:val="15"/>
              </w:rPr>
              <w:t>60</w:t>
            </w:r>
          </w:p>
        </w:tc>
        <w:tc>
          <w:tcPr>
            <w:tcW w:type="dxa" w:w="2880"/>
          </w:tcPr>
          <w:p>
            <w:r/>
            <w:r>
              <w:rPr>
                <w:rFonts w:ascii="Calibri" w:hAnsi="Calibri"/>
                <w:b w:val="0"/>
                <w:sz w:val="15"/>
              </w:rPr>
              <w:t>293</w:t>
            </w:r>
          </w:p>
        </w:tc>
        <w:tc>
          <w:tcPr>
            <w:tcW w:type="dxa" w:w="2016"/>
          </w:tcPr>
          <w:p>
            <w:r/>
            <w:r>
              <w:rPr>
                <w:rFonts w:ascii="Calibri" w:hAnsi="Calibri"/>
                <w:b w:val="0"/>
                <w:sz w:val="15"/>
              </w:rPr>
              <w:t>117</w:t>
            </w:r>
          </w:p>
        </w:tc>
      </w:tr>
      <w:tr>
        <w:tc>
          <w:tcPr>
            <w:tcW w:type="dxa" w:w="3168"/>
          </w:tcPr>
          <w:p>
            <w:r/>
            <w:r>
              <w:rPr>
                <w:rFonts w:ascii="Calibri" w:hAnsi="Calibri"/>
                <w:b w:val="0"/>
                <w:sz w:val="15"/>
              </w:rPr>
              <w:t>Lewiston</w:t>
            </w:r>
          </w:p>
        </w:tc>
        <w:tc>
          <w:tcPr>
            <w:tcW w:type="dxa" w:w="1152"/>
          </w:tcPr>
          <w:p>
            <w:r/>
            <w:r>
              <w:rPr>
                <w:rFonts w:ascii="Calibri" w:hAnsi="Calibri"/>
                <w:b w:val="0"/>
                <w:sz w:val="15"/>
              </w:rPr>
              <w:t>60</w:t>
            </w:r>
          </w:p>
        </w:tc>
        <w:tc>
          <w:tcPr>
            <w:tcW w:type="dxa" w:w="2880"/>
          </w:tcPr>
          <w:p>
            <w:r/>
            <w:r>
              <w:rPr>
                <w:rFonts w:ascii="Calibri" w:hAnsi="Calibri"/>
                <w:b w:val="0"/>
                <w:sz w:val="15"/>
              </w:rPr>
              <w:t>1.2</w:t>
            </w:r>
          </w:p>
        </w:tc>
        <w:tc>
          <w:tcPr>
            <w:tcW w:type="dxa" w:w="2016"/>
          </w:tcPr>
          <w:p>
            <w:r/>
            <w:r>
              <w:rPr>
                <w:rFonts w:ascii="Calibri" w:hAnsi="Calibri"/>
                <w:b w:val="0"/>
                <w:sz w:val="15"/>
              </w:rPr>
              <w:t>0.35</w:t>
            </w:r>
          </w:p>
        </w:tc>
      </w:tr>
      <w:tr>
        <w:tc>
          <w:tcPr>
            <w:tcW w:type="dxa" w:w="3168"/>
          </w:tcPr>
          <w:p>
            <w:r/>
            <w:r>
              <w:rPr>
                <w:rFonts w:ascii="Calibri" w:hAnsi="Calibri"/>
                <w:b w:val="0"/>
                <w:sz w:val="15"/>
              </w:rPr>
              <w:t>New Melones</w:t>
            </w:r>
          </w:p>
        </w:tc>
        <w:tc>
          <w:tcPr>
            <w:tcW w:type="dxa" w:w="1152"/>
          </w:tcPr>
          <w:p>
            <w:r/>
            <w:r>
              <w:rPr>
                <w:rFonts w:ascii="Calibri" w:hAnsi="Calibri"/>
                <w:b w:val="0"/>
                <w:sz w:val="15"/>
              </w:rPr>
              <w:t>60</w:t>
            </w:r>
          </w:p>
        </w:tc>
        <w:tc>
          <w:tcPr>
            <w:tcW w:type="dxa" w:w="2880"/>
          </w:tcPr>
          <w:p>
            <w:r/>
            <w:r>
              <w:rPr>
                <w:rFonts w:ascii="Calibri" w:hAnsi="Calibri"/>
                <w:b w:val="0"/>
                <w:sz w:val="15"/>
              </w:rPr>
              <w:t>460</w:t>
            </w:r>
          </w:p>
        </w:tc>
        <w:tc>
          <w:tcPr>
            <w:tcW w:type="dxa" w:w="2016"/>
          </w:tcPr>
          <w:p>
            <w:r/>
            <w:r>
              <w:rPr>
                <w:rFonts w:ascii="Calibri" w:hAnsi="Calibri"/>
                <w:b w:val="0"/>
                <w:sz w:val="15"/>
              </w:rPr>
              <w:t>380</w:t>
            </w:r>
          </w:p>
        </w:tc>
      </w:tr>
      <w:tr>
        <w:tc>
          <w:tcPr>
            <w:tcW w:type="dxa" w:w="3168"/>
          </w:tcPr>
          <w:p>
            <w:r/>
            <w:r>
              <w:rPr>
                <w:rFonts w:ascii="Calibri" w:hAnsi="Calibri"/>
                <w:b w:val="0"/>
                <w:sz w:val="15"/>
              </w:rPr>
              <w:t>Nimbus</w:t>
            </w:r>
          </w:p>
        </w:tc>
        <w:tc>
          <w:tcPr>
            <w:tcW w:type="dxa" w:w="1152"/>
          </w:tcPr>
          <w:p>
            <w:r/>
            <w:r>
              <w:rPr>
                <w:rFonts w:ascii="Calibri" w:hAnsi="Calibri"/>
                <w:b w:val="0"/>
                <w:sz w:val="15"/>
              </w:rPr>
              <w:t>60</w:t>
            </w:r>
          </w:p>
        </w:tc>
        <w:tc>
          <w:tcPr>
            <w:tcW w:type="dxa" w:w="2880"/>
          </w:tcPr>
          <w:p>
            <w:r/>
            <w:r>
              <w:rPr>
                <w:rFonts w:ascii="Calibri" w:hAnsi="Calibri"/>
                <w:b w:val="0"/>
                <w:sz w:val="15"/>
              </w:rPr>
              <w:t>43</w:t>
            </w:r>
          </w:p>
        </w:tc>
        <w:tc>
          <w:tcPr>
            <w:tcW w:type="dxa" w:w="2016"/>
          </w:tcPr>
          <w:p>
            <w:r/>
            <w:r>
              <w:rPr>
                <w:rFonts w:ascii="Calibri" w:hAnsi="Calibri"/>
                <w:b w:val="0"/>
                <w:sz w:val="15"/>
              </w:rPr>
              <w:t>14</w:t>
            </w:r>
          </w:p>
        </w:tc>
      </w:tr>
      <w:tr>
        <w:tc>
          <w:tcPr>
            <w:tcW w:type="dxa" w:w="3168"/>
          </w:tcPr>
          <w:p>
            <w:r/>
            <w:r>
              <w:rPr>
                <w:rFonts w:ascii="Calibri" w:hAnsi="Calibri"/>
                <w:b w:val="0"/>
                <w:sz w:val="15"/>
              </w:rPr>
              <w:t>Shasta</w:t>
            </w:r>
          </w:p>
        </w:tc>
        <w:tc>
          <w:tcPr>
            <w:tcW w:type="dxa" w:w="1152"/>
          </w:tcPr>
          <w:p>
            <w:r/>
            <w:r>
              <w:rPr>
                <w:rFonts w:ascii="Calibri" w:hAnsi="Calibri"/>
                <w:b w:val="0"/>
                <w:sz w:val="15"/>
              </w:rPr>
              <w:t>60</w:t>
            </w:r>
          </w:p>
        </w:tc>
        <w:tc>
          <w:tcPr>
            <w:tcW w:type="dxa" w:w="2880"/>
          </w:tcPr>
          <w:p>
            <w:r/>
            <w:r>
              <w:rPr>
                <w:rFonts w:ascii="Calibri" w:hAnsi="Calibri"/>
                <w:b w:val="0"/>
                <w:sz w:val="15"/>
              </w:rPr>
              <w:t>1,492</w:t>
            </w:r>
          </w:p>
        </w:tc>
        <w:tc>
          <w:tcPr>
            <w:tcW w:type="dxa" w:w="2016"/>
          </w:tcPr>
          <w:p>
            <w:r/>
            <w:r>
              <w:rPr>
                <w:rFonts w:ascii="Calibri" w:hAnsi="Calibri"/>
                <w:b w:val="0"/>
                <w:sz w:val="15"/>
              </w:rPr>
              <w:t>714</w:t>
            </w:r>
          </w:p>
        </w:tc>
      </w:tr>
      <w:tr>
        <w:tc>
          <w:tcPr>
            <w:tcW w:type="dxa" w:w="3168"/>
          </w:tcPr>
          <w:p>
            <w:r/>
            <w:r>
              <w:rPr>
                <w:rFonts w:ascii="Calibri" w:hAnsi="Calibri"/>
                <w:b w:val="0"/>
                <w:sz w:val="15"/>
              </w:rPr>
              <w:t>Spring Creek</w:t>
            </w:r>
          </w:p>
        </w:tc>
        <w:tc>
          <w:tcPr>
            <w:tcW w:type="dxa" w:w="1152"/>
          </w:tcPr>
          <w:p>
            <w:r/>
            <w:r>
              <w:rPr>
                <w:rFonts w:ascii="Calibri" w:hAnsi="Calibri"/>
                <w:b w:val="0"/>
                <w:sz w:val="15"/>
              </w:rPr>
              <w:t>60</w:t>
            </w:r>
          </w:p>
        </w:tc>
        <w:tc>
          <w:tcPr>
            <w:tcW w:type="dxa" w:w="2880"/>
          </w:tcPr>
          <w:p>
            <w:r/>
            <w:r>
              <w:rPr>
                <w:rFonts w:ascii="Calibri" w:hAnsi="Calibri"/>
                <w:b w:val="0"/>
                <w:sz w:val="15"/>
              </w:rPr>
              <w:t>233</w:t>
            </w:r>
          </w:p>
        </w:tc>
        <w:tc>
          <w:tcPr>
            <w:tcW w:type="dxa" w:w="2016"/>
          </w:tcPr>
          <w:p>
            <w:r/>
            <w:r>
              <w:rPr>
                <w:rFonts w:ascii="Calibri" w:hAnsi="Calibri"/>
                <w:b w:val="0"/>
                <w:sz w:val="15"/>
              </w:rPr>
              <w:t>180</w:t>
            </w:r>
          </w:p>
        </w:tc>
      </w:tr>
      <w:tr>
        <w:tc>
          <w:tcPr>
            <w:tcW w:type="dxa" w:w="3168"/>
          </w:tcPr>
          <w:p>
            <w:r/>
            <w:r>
              <w:rPr>
                <w:rFonts w:ascii="Calibri" w:hAnsi="Calibri"/>
                <w:b w:val="0"/>
                <w:sz w:val="15"/>
              </w:rPr>
              <w:t>Stampede</w:t>
            </w:r>
          </w:p>
        </w:tc>
        <w:tc>
          <w:tcPr>
            <w:tcW w:type="dxa" w:w="1152"/>
          </w:tcPr>
          <w:p>
            <w:r/>
            <w:r>
              <w:rPr>
                <w:rFonts w:ascii="Calibri" w:hAnsi="Calibri"/>
                <w:b w:val="0"/>
                <w:sz w:val="15"/>
              </w:rPr>
              <w:t>60</w:t>
            </w:r>
          </w:p>
        </w:tc>
        <w:tc>
          <w:tcPr>
            <w:tcW w:type="dxa" w:w="2880"/>
          </w:tcPr>
          <w:p>
            <w:r/>
            <w:r>
              <w:rPr>
                <w:rFonts w:ascii="Calibri" w:hAnsi="Calibri"/>
                <w:b w:val="0"/>
                <w:sz w:val="15"/>
              </w:rPr>
              <w:t>10</w:t>
            </w:r>
          </w:p>
        </w:tc>
        <w:tc>
          <w:tcPr>
            <w:tcW w:type="dxa" w:w="2016"/>
          </w:tcPr>
          <w:p>
            <w:r/>
            <w:r>
              <w:rPr>
                <w:rFonts w:ascii="Calibri" w:hAnsi="Calibri"/>
                <w:b w:val="0"/>
                <w:sz w:val="15"/>
              </w:rPr>
              <w:t>3.6</w:t>
            </w:r>
          </w:p>
        </w:tc>
      </w:tr>
      <w:tr>
        <w:tc>
          <w:tcPr>
            <w:tcW w:type="dxa" w:w="3168"/>
          </w:tcPr>
          <w:p>
            <w:r/>
            <w:r>
              <w:rPr>
                <w:rFonts w:ascii="Calibri" w:hAnsi="Calibri"/>
                <w:b w:val="0"/>
                <w:sz w:val="15"/>
              </w:rPr>
              <w:t>Trinity</w:t>
            </w:r>
          </w:p>
        </w:tc>
        <w:tc>
          <w:tcPr>
            <w:tcW w:type="dxa" w:w="1152"/>
          </w:tcPr>
          <w:p>
            <w:r/>
            <w:r>
              <w:rPr>
                <w:rFonts w:ascii="Calibri" w:hAnsi="Calibri"/>
                <w:b w:val="0"/>
                <w:sz w:val="15"/>
              </w:rPr>
              <w:t>60</w:t>
            </w:r>
          </w:p>
        </w:tc>
        <w:tc>
          <w:tcPr>
            <w:tcW w:type="dxa" w:w="2880"/>
          </w:tcPr>
          <w:p>
            <w:r/>
            <w:r>
              <w:rPr>
                <w:rFonts w:ascii="Calibri" w:hAnsi="Calibri"/>
                <w:b w:val="0"/>
                <w:sz w:val="15"/>
              </w:rPr>
              <w:t>269</w:t>
            </w:r>
          </w:p>
        </w:tc>
        <w:tc>
          <w:tcPr>
            <w:tcW w:type="dxa" w:w="2016"/>
          </w:tcPr>
          <w:p>
            <w:r/>
            <w:r>
              <w:rPr>
                <w:rFonts w:ascii="Calibri" w:hAnsi="Calibri"/>
                <w:b w:val="0"/>
                <w:sz w:val="15"/>
              </w:rPr>
              <w:t>140</w:t>
            </w:r>
          </w:p>
        </w:tc>
      </w:tr>
    </w:tbl>
    <w:p/>
    <w:p>
      <w:pPr>
        <w:pStyle w:val="ListBullet"/>
        <w:spacing w:after="40"/>
      </w:pPr>
      <w:r>
        <w:rPr>
          <w:rFonts w:ascii="Calibri" w:hAnsi="Calibri"/>
          <w:b w:val="0"/>
          <w:sz w:val="20"/>
        </w:rPr>
        <w:t>The San Luis (W.R. Gianelli) and O'Neill pumping-generating plants are not in RISE and are not included. Lewiston (0.35 MW) is too small to be reported to EIA, so it has no EIA cross-check.</w:t>
      </w:r>
    </w:p>
    <w:p>
      <w:pPr>
        <w:pStyle w:val="Heading1"/>
      </w:pPr>
      <w:r>
        <w:t>5. Notes for use</w:t>
      </w:r>
    </w:p>
    <w:p>
      <w:pPr>
        <w:pStyle w:val="ListBullet"/>
        <w:spacing w:after="40"/>
      </w:pPr>
      <w:r>
        <w:rPr>
          <w:rFonts w:ascii="Calibri" w:hAnsi="Calibri"/>
          <w:b w:val="0"/>
          <w:sz w:val="20"/>
        </w:rPr>
        <w:t>Energy units: RISE values are kWh (divide by 1,000 for MWh); EIA-923 values are MWh; SCADA values are hourly MW (= MWh per hour).</w:t>
      </w:r>
    </w:p>
    <w:p>
      <w:pPr>
        <w:pStyle w:val="ListBullet"/>
        <w:spacing w:after="40"/>
      </w:pPr>
      <w:r>
        <w:rPr>
          <w:rFonts w:ascii="Calibri" w:hAnsi="Calibri"/>
          <w:b w:val="0"/>
          <w:sz w:val="20"/>
        </w:rPr>
        <w:t xml:space="preserve">Use </w:t>
      </w:r>
      <w:r>
        <w:rPr>
          <w:rFonts w:ascii="Consolas" w:hAnsi="Consolas"/>
          <w:b w:val="0"/>
          <w:sz w:val="19"/>
        </w:rPr>
        <w:t>net_generation_kWh</w:t>
      </w:r>
      <w:r>
        <w:rPr>
          <w:rFonts w:ascii="Calibri" w:hAnsi="Calibri"/>
          <w:b w:val="0"/>
          <w:sz w:val="20"/>
        </w:rPr>
        <w:t xml:space="preserve"> for energy delivered to the grid; </w:t>
      </w:r>
      <w:r>
        <w:rPr>
          <w:rFonts w:ascii="Consolas" w:hAnsi="Consolas"/>
          <w:b w:val="0"/>
          <w:sz w:val="19"/>
        </w:rPr>
        <w:t>gross_generation_kWh</w:t>
      </w:r>
      <w:r>
        <w:rPr>
          <w:rFonts w:ascii="Calibri" w:hAnsi="Calibri"/>
          <w:b w:val="0"/>
          <w:sz w:val="20"/>
        </w:rPr>
        <w:t xml:space="preserve"> - </w:t>
      </w:r>
      <w:r>
        <w:rPr>
          <w:rFonts w:ascii="Consolas" w:hAnsi="Consolas"/>
          <w:b w:val="0"/>
          <w:sz w:val="19"/>
        </w:rPr>
        <w:t>station_service_kWh</w:t>
      </w:r>
      <w:r>
        <w:rPr>
          <w:rFonts w:ascii="Calibri" w:hAnsi="Calibri"/>
          <w:b w:val="0"/>
          <w:sz w:val="20"/>
        </w:rPr>
        <w:t xml:space="preserve"> = net. For the pump-generating Flatiron Unit 3, net minus </w:t>
      </w:r>
      <w:r>
        <w:rPr>
          <w:rFonts w:ascii="Consolas" w:hAnsi="Consolas"/>
          <w:b w:val="0"/>
          <w:sz w:val="19"/>
        </w:rPr>
        <w:t>pumping_energy_kWh</w:t>
      </w:r>
      <w:r>
        <w:rPr>
          <w:rFonts w:ascii="Calibri" w:hAnsi="Calibri"/>
          <w:b w:val="0"/>
          <w:sz w:val="20"/>
        </w:rPr>
        <w:t xml:space="preserve"> is the net contribution.</w:t>
      </w:r>
    </w:p>
    <w:p>
      <w:pPr>
        <w:pStyle w:val="ListBullet"/>
        <w:spacing w:after="40"/>
      </w:pPr>
      <w:r>
        <w:rPr>
          <w:rFonts w:ascii="Calibri" w:hAnsi="Calibri"/>
          <w:b w:val="0"/>
          <w:sz w:val="20"/>
        </w:rPr>
        <w:t>For CRSP, the hourly SCADA files give the shape within each month; blank hours can be filled from the monthly RISE totals if needed (not done here).</w:t>
      </w:r>
    </w:p>
    <w:p>
      <w:pPr>
        <w:pStyle w:val="ListBullet"/>
        <w:spacing w:after="40"/>
      </w:pPr>
      <w:r>
        <w:rPr>
          <w:rFonts w:ascii="Calibri" w:hAnsi="Calibri"/>
          <w:b w:val="0"/>
          <w:sz w:val="20"/>
        </w:rPr>
        <w:t>Monthly values are local calendar months; to distribute them to hours, use local time (Mountain or Pacific).</w:t>
      </w:r>
    </w:p>
    <w:p>
      <w:pPr>
        <w:pStyle w:val="ListBullet"/>
        <w:spacing w:after="40"/>
      </w:pPr>
      <w:r>
        <w:rPr>
          <w:rFonts w:ascii="Calibri" w:hAnsi="Calibri"/>
          <w:b w:val="0"/>
          <w:sz w:val="20"/>
        </w:rPr>
        <w:t>Most Pick-Sloan mainstem generation serves the Eastern Interconnection; check which plants belong in the WECC model before use.</w:t>
      </w:r>
    </w:p>
    <w:p>
      <w:pPr>
        <w:pStyle w:val="Heading1"/>
      </w:pPr>
      <w:r>
        <w:t>6. Accuracy checks (details in VERIFICATION_REPORT.docx)</w:t>
      </w:r>
    </w:p>
    <w:p>
      <w:pPr>
        <w:pStyle w:val="ListBullet"/>
        <w:spacing w:after="40"/>
      </w:pPr>
      <w:r>
        <w:rPr>
          <w:rFonts w:ascii="Calibri" w:hAnsi="Calibri"/>
          <w:b w:val="0"/>
          <w:sz w:val="20"/>
        </w:rPr>
        <w:t>Every RISE series was downloaded again through its CSV link: 0 differences; units (kWh / kW) confirmed for every series.</w:t>
      </w:r>
    </w:p>
    <w:p>
      <w:pPr>
        <w:pStyle w:val="ListBullet"/>
        <w:spacing w:after="40"/>
      </w:pPr>
      <w:r>
        <w:rPr>
          <w:rFonts w:ascii="Calibri" w:hAnsi="Calibri"/>
          <w:b w:val="0"/>
          <w:sz w:val="20"/>
        </w:rPr>
        <w:t>CRSP hourly: in every month with no missing hour, the hourly values sum to USBR's monthly gross generation (median ratio 1.000 for all six plants).</w:t>
      </w:r>
    </w:p>
    <w:p>
      <w:pPr>
        <w:pStyle w:val="ListBullet"/>
        <w:spacing w:after="40"/>
      </w:pPr>
      <w:r>
        <w:rPr>
          <w:rFonts w:ascii="Calibri" w:hAnsi="Calibri"/>
          <w:b w:val="0"/>
          <w:sz w:val="20"/>
        </w:rPr>
        <w:t>CRSP time conversion: Flaming Gorge generation lines up with the USGS gauge just below the dam at 0 h lag in both winter and summer.</w:t>
      </w:r>
    </w:p>
    <w:p>
      <w:pPr>
        <w:pStyle w:val="ListBullet"/>
        <w:spacing w:after="40"/>
      </w:pPr>
      <w:r>
        <w:rPr>
          <w:rFonts w:ascii="Calibri" w:hAnsi="Calibri"/>
          <w:b w:val="0"/>
          <w:sz w:val="20"/>
        </w:rPr>
        <w:t>RISE annual net generation vs EIA-923: ratio 1.000 for almost all plants (exceptions noted under CRSP and Pick-Sloan).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E75B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ata.usbr.gov/" TargetMode="External"/><Relationship Id="rId10" Type="http://schemas.openxmlformats.org/officeDocument/2006/relationships/hyperlink" Target="https://www.wapa.gov/about-wapa/regions/crsp/about-crsp/operations-maintenance/historical-power-plant-data/" TargetMode="External"/><Relationship Id="rId11" Type="http://schemas.openxmlformats.org/officeDocument/2006/relationships/hyperlink" Target="https://www.eia.gov/electricity/data/eia923/" TargetMode="External"/><Relationship Id="rId12" Type="http://schemas.openxmlformats.org/officeDocument/2006/relationships/hyperlink" Target="https://www.wapa.gov/about-wapa/regions/ugp/power-projec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