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4"/>
        </w:rPr>
        <w:t>Verification report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Prepared by Yi Lu  |  Checks run 2026-10-02</w:t>
      </w:r>
    </w:p>
    <w:p>
      <w:pPr>
        <w:spacing w:after="80"/>
      </w:pPr>
      <w:r>
        <w:rPr>
          <w:rFonts w:ascii="Calibri" w:hAnsi="Calibri"/>
          <w:b w:val="0"/>
          <w:sz w:val="20"/>
        </w:rPr>
        <w:t>Every check downloads the data again from the publishing agency; no data file is compared with itself.</w:t>
      </w:r>
    </w:p>
    <w:p>
      <w:pPr>
        <w:pStyle w:val="Heading1"/>
      </w:pPr>
      <w:r>
        <w:t>BPA dams (folder BPA_dams/)</w:t>
      </w:r>
    </w:p>
    <w:p>
      <w:pPr>
        <w:pStyle w:val="Heading2"/>
      </w:pPr>
      <w:r>
        <w:t>B1. Manual download links: full re-download and value-by-value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Dam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Columns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Values compared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Mismatches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ALF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349,901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394,265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394,273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DWR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392,349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438,095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HGH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392,855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IHR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350,157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JDA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306,694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LIB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348,457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LGS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350,119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LWG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349,835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LMN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349,931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MCN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306,405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TDA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306,525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0"/>
        </w:rPr>
        <w:t>Total: 5,029,861 values compared, 0 mismatches.</w:t>
      </w:r>
    </w:p>
    <w:p>
      <w:pPr>
        <w:pStyle w:val="Heading2"/>
      </w:pPr>
      <w:r>
        <w:t>B2. Time stamps: CWMS The Dalles outflow vs USGS 14105700 (Jan-Feb 2020)</w:t>
      </w:r>
    </w:p>
    <w:p>
      <w:pPr>
        <w:spacing w:after="80"/>
      </w:pPr>
      <w:r>
        <w:rPr>
          <w:rFonts w:ascii="Calibri" w:hAnsi="Calibri"/>
          <w:b w:val="0"/>
          <w:sz w:val="20"/>
        </w:rPr>
        <w:t xml:space="preserve">Best lag = </w:t>
      </w:r>
      <w:r>
        <w:rPr>
          <w:rFonts w:ascii="Calibri" w:hAnsi="Calibri"/>
          <w:b/>
          <w:sz w:val="20"/>
        </w:rPr>
        <w:t>0 h</w:t>
      </w:r>
      <w:r>
        <w:rPr>
          <w:rFonts w:ascii="Calibri" w:hAnsi="Calibri"/>
          <w:b w:val="0"/>
          <w:sz w:val="20"/>
        </w:rPr>
        <w:t xml:space="preserve"> (r = 0.87). A 0 h lag confirms the files are in UTC and hour-ending.</w:t>
      </w:r>
    </w:p>
    <w:p>
      <w:pPr>
        <w:pStyle w:val="Heading2"/>
      </w:pPr>
      <w:r>
        <w:t>B3. Annual energy vs EIA-923 plant net generation</w:t>
      </w:r>
    </w:p>
    <w:p>
      <w:pPr>
        <w:spacing w:after="80"/>
      </w:pPr>
      <w:r>
        <w:rPr>
          <w:rFonts w:ascii="Calibri" w:hAnsi="Calibri"/>
          <w:b w:val="0"/>
          <w:sz w:val="20"/>
        </w:rPr>
        <w:t xml:space="preserve">Ratio = sum of hourly </w:t>
      </w: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 over the calendar year (Pacific time) / EIA-923 annual net generation. CWMS reports gross output and EIA net output, so ratios slightly above 1.00 are expected. Bold = more than 3 % from EIA.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Dam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EIA plant id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2018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2019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2020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2021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ALF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851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BON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3075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3921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DWR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840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0.948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0.999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6163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1.114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1.079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1.106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1.107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1.116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HGH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2203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1.066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1.031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1.028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0.946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IHR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3925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JDA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3082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1.024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LIB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6172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0.972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1.009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LGS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3926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LWG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6175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LMN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3927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1.010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MCN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3084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0.995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1.008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1.071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/>
                <w:sz w:val="15"/>
              </w:rPr>
              <w:t>1.068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5"/>
              </w:rPr>
              <w:t>TDA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3895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1.004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1.009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5"/>
              </w:rPr>
              <w:t>1.006</w:t>
            </w:r>
          </w:p>
        </w:tc>
      </w:tr>
    </w:tbl>
    <w:p/>
    <w:p>
      <w:pPr>
        <w:pStyle w:val="Heading1"/>
      </w:pPr>
      <w:r>
        <w:t>WAPA dams (folder WAPA_dams/)</w:t>
      </w:r>
    </w:p>
    <w:p>
      <w:pPr>
        <w:pStyle w:val="Heading2"/>
      </w:pPr>
      <w:r>
        <w:t>W1. USBR RISE monthly series: full re-download through the download_url in sources.csv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Project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Series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Values compared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Mismatches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1_Boulder_Canyon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240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2_Parker_Davis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480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1,440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81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4,860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5"/>
              </w:rPr>
              <w:t>2,400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0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0"/>
        </w:rPr>
        <w:t xml:space="preserve">Units in the RISE CSV match the column units (kWh / kW) for every series: </w:t>
      </w:r>
      <w:r>
        <w:rPr>
          <w:rFonts w:ascii="Calibri" w:hAnsi="Calibri"/>
          <w:b/>
          <w:sz w:val="20"/>
        </w:rPr>
        <w:t>yes</w:t>
      </w:r>
      <w:r>
        <w:rPr>
          <w:rFonts w:ascii="Calibri" w:hAnsi="Calibri"/>
          <w:b w:val="0"/>
          <w:sz w:val="20"/>
        </w:rPr>
        <w:t>.</w:t>
      </w:r>
    </w:p>
    <w:p>
      <w:pPr>
        <w:pStyle w:val="Heading2"/>
      </w:pPr>
      <w:r>
        <w:t>W2. CRSP hourly SCADA generation vs USBR monthly gross generation</w:t>
      </w:r>
    </w:p>
    <w:p>
      <w:pPr>
        <w:spacing w:after="80"/>
      </w:pPr>
      <w:r>
        <w:rPr>
          <w:rFonts w:ascii="Calibri" w:hAnsi="Calibri"/>
          <w:b w:val="0"/>
          <w:sz w:val="20"/>
        </w:rPr>
        <w:t>Only months in which every hour has a SCADA value are compared.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Plant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Complete months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Median ratio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Min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Max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BlueMesa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Crystal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0.989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FlamingGorge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0.998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Fontenelle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0.998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GlenCanyon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5"/>
              </w:rPr>
              <w:t>MorrowPoint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0.987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5"/>
              </w:rPr>
              <w:t>1.030</w:t>
            </w:r>
          </w:p>
        </w:tc>
      </w:tr>
    </w:tbl>
    <w:p/>
    <w:p>
      <w:pPr>
        <w:pStyle w:val="Heading2"/>
      </w:pPr>
      <w:r>
        <w:t>W3. CRSP SCADA clock: Flaming Gorge generation vs USGS 09234500 (just below the dam)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 xml:space="preserve">Winter (Jan-Feb 2019): best lag = </w:t>
      </w:r>
      <w:r>
        <w:rPr>
          <w:rFonts w:ascii="Calibri" w:hAnsi="Calibri"/>
          <w:b/>
          <w:sz w:val="20"/>
        </w:rPr>
        <w:t>0 h</w:t>
      </w:r>
      <w:r>
        <w:rPr>
          <w:rFonts w:ascii="Calibri" w:hAnsi="Calibri"/>
          <w:b w:val="0"/>
          <w:sz w:val="20"/>
        </w:rPr>
        <w:t xml:space="preserve"> (r = 0.98)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 xml:space="preserve">Summer (Jul-Aug 2019): best lag = </w:t>
      </w:r>
      <w:r>
        <w:rPr>
          <w:rFonts w:ascii="Calibri" w:hAnsi="Calibri"/>
          <w:b/>
          <w:sz w:val="20"/>
        </w:rPr>
        <w:t>0 h</w:t>
      </w:r>
      <w:r>
        <w:rPr>
          <w:rFonts w:ascii="Calibri" w:hAnsi="Calibri"/>
          <w:b w:val="0"/>
          <w:sz w:val="20"/>
        </w:rPr>
        <w:t xml:space="preserve"> (r = 0.98)</w:t>
      </w:r>
    </w:p>
    <w:p>
      <w:pPr>
        <w:spacing w:after="80"/>
      </w:pPr>
      <w:r>
        <w:rPr>
          <w:rFonts w:ascii="Calibri" w:hAnsi="Calibri"/>
          <w:b w:val="0"/>
          <w:sz w:val="20"/>
        </w:rPr>
        <w:t>Same 0 h lag in winter and summer: the SCADA clock is Mountain Standard Time all year and the +7 h conversion to UTC is correct.</w:t>
      </w:r>
    </w:p>
    <w:p>
      <w:pPr>
        <w:pStyle w:val="Heading2"/>
      </w:pPr>
      <w:r>
        <w:t>W4. USBR RISE annual net generation vs EIA-923 (independent reporting systems)</w:t>
      </w:r>
    </w:p>
    <w:p>
      <w:pPr>
        <w:spacing w:after="80"/>
      </w:pPr>
      <w:r>
        <w:rPr>
          <w:rFonts w:ascii="Calibri" w:hAnsi="Calibri"/>
          <w:b w:val="0"/>
          <w:sz w:val="20"/>
        </w:rPr>
        <w:t>EIA plant ids are matched by plant name and operator 'U S Bureau of Reclamation' in EIA-923. Bold = more than 3 % apart.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58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Project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Plant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EIA plant id(s)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2018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2019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2020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2021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2022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1_Boulder_Canyon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Hoover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154,8902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0.991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2_Parker_Davis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Davis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152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2_Parker_Davis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Parker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Blue Mesa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0.798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1.320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0.823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Crystal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6159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0.805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1.272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Flaming Gorge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6405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0.930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0.986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0.910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Fontenelle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4185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0.900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1.041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0.840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Glen Canyon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153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3_CRSP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Morrow Point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0.834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1.179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0.856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Alcova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6409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Big Thompson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Boysen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505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Buffalo Bill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7317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Canyon Ferry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6400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Estes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Flatiron Unit 3 (pump-generating)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0.857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0.972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0.918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Flatiron Units 1-2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1.012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/>
                <w:sz w:val="15"/>
              </w:rPr>
              <w:t>1.114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1.025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Fremont Canyon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4176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Glendo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4177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Green Mountain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Guernsey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4178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0.998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Heart Mountain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6408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Kortes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4180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Marys Lake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517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Pole Hill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519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Seminoe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4182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Shoshone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4183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Spirit Mountain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7541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4_Pick_Sloan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Yellowtail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2204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Folsom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Judge Francis Carr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Keswick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Lewiston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not in EIA-923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New Melones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6158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Nimbus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444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Shasta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445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Spring Creek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450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Stampede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7066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5"/>
              </w:rPr>
              <w:t>5_Central_Valley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5"/>
              </w:rPr>
              <w:t>Trinity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5"/>
              </w:rPr>
              <w:t>451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5"/>
              </w:rPr>
              <w:t>1.000</w:t>
            </w:r>
          </w:p>
        </w:tc>
      </w:tr>
    </w:tbl>
    <w:p/>
    <w:p>
      <w:pPr>
        <w:pStyle w:val="Heading1"/>
      </w:pPr>
      <w:r>
        <w:t>Recording-error screening</w:t>
      </w:r>
    </w:p>
    <w:p>
      <w:pPr>
        <w:pStyle w:val="Heading2"/>
      </w:pPr>
      <w:r>
        <w:t>Q1. Rule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 xml:space="preserve">Every hour of BPA </w:t>
      </w: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 was compared with the independently measured turbine flow, and every CRSP hour with the power release read again from the 48 WAPA PDFs.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>A value is corrected only if it is an isolated value (neighbouring hours agree, flow / release steady), it is at least 5 times larger or smaller than the flow-implied output, and a single recording error - one extra digit, or a decimal point misplaced by 10 or 100 - reproduces the flow-implied output within 5 %. Where two reconstructions fit about equally well (within 1 % of each other), one is chosen and the other is listed.</w:t>
      </w:r>
    </w:p>
    <w:p>
      <w:pPr>
        <w:pStyle w:val="Heading2"/>
      </w:pPr>
      <w:r>
        <w:t>Q2. Corrected values (BPA, column power_MW_adjust)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Dam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Hour (UTC)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power_MW (original)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power_MW_adjust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MW implied by flow</w:t>
            </w:r>
          </w:p>
        </w:tc>
        <w:tc>
          <w:tcPr>
            <w:tcW w:type="dxa" w:w="1656"/>
            <w:shd w:val="clear" w:color="auto" w:fill="1F4E79"/>
          </w:tcPr>
          <w:p>
            <w:r/>
            <w:r>
              <w:rPr>
                <w:rFonts w:ascii="Calibri" w:hAnsi="Calibri"/>
                <w:b/>
                <w:color w:val="FFFFFF"/>
                <w:sz w:val="15"/>
              </w:rPr>
              <w:t>Recording error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2018-01-30 07:00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12,131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1,213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1,202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extra final digit '1' (1,211 equally close)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2018-02-17 16:00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10,992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1,992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1,986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extra digit '0'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CHJ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2018-03-18 15:00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10,936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1,093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1,075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extra digit '6' (1,096 equally close)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2018-06-25 12:00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27,620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2,762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2,748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extra final digit '0' (2,760 equally close)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2018-09-25 01:00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22,284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2,284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2,273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extra digit '2'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2018-10-28 20:00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18.1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1,810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1,889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decimal point (x100)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GCL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2022-11-28 11:00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16.9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1,690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1,663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b w:val="0"/>
                <w:sz w:val="15"/>
              </w:rPr>
              <w:t>decimal point (x100)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>No CRSP hourly value meets the rule; all CRSP values are kept as published.</w:t>
      </w:r>
    </w:p>
    <w:p>
      <w:pPr>
        <w:pStyle w:val="ListBullet"/>
        <w:spacing w:after="40"/>
      </w:pP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 keeps the published values; </w:t>
      </w:r>
      <w:r>
        <w:rPr>
          <w:rFonts w:ascii="Consolas" w:hAnsi="Consolas"/>
          <w:b w:val="0"/>
          <w:sz w:val="19"/>
        </w:rPr>
        <w:t>power_MW_adjust</w:t>
      </w:r>
      <w:r>
        <w:rPr>
          <w:rFonts w:ascii="Calibri" w:hAnsi="Calibri"/>
          <w:b w:val="0"/>
          <w:sz w:val="20"/>
        </w:rPr>
        <w:t xml:space="preserve"> equals </w:t>
      </w: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 except these 7 hours (change log: </w:t>
      </w:r>
      <w:r>
        <w:rPr>
          <w:rFonts w:ascii="Consolas" w:hAnsi="Consolas"/>
          <w:b w:val="0"/>
          <w:sz w:val="19"/>
        </w:rPr>
        <w:t>BPA_dams/power_MW_adjustments.csv</w:t>
      </w:r>
      <w:r>
        <w:rPr>
          <w:rFonts w:ascii="Calibri" w:hAnsi="Calibri"/>
          <w:b w:val="0"/>
          <w:sz w:val="20"/>
        </w:rPr>
        <w:t>).</w:t>
      </w:r>
    </w:p>
    <w:p>
      <w:pPr>
        <w:pStyle w:val="Heading2"/>
      </w:pPr>
      <w:r>
        <w:t>Q3. Monthly records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>RISE: all values kept as published. Internal inconsistencies noted only (no flag, no change): Lewiston (0.35 MW) reports net = 0 with gross &gt; 0 in 19 months and gross above its reported capacity in some months; Nimbus reports negative station service in November 2021.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>EIA-923 mainstem: no negative, missing or impossible values (maximum monthly capacity factor 1.15).</w:t>
      </w:r>
    </w:p>
    <w:p>
      <w:pPr>
        <w:pStyle w:val="Heading2"/>
      </w:pPr>
      <w:r>
        <w:t>Q4. Changes to the data files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0"/>
        </w:rPr>
        <w:t xml:space="preserve">Every original column of all 26 data files was compared with the files as downloaded: all identical, including </w:t>
      </w: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; all WAPA files are byte-identical to the download. The added column </w:t>
      </w:r>
      <w:r>
        <w:rPr>
          <w:rFonts w:ascii="Consolas" w:hAnsi="Consolas"/>
          <w:b w:val="0"/>
          <w:sz w:val="19"/>
        </w:rPr>
        <w:t>power_MW_adjust</w:t>
      </w:r>
      <w:r>
        <w:rPr>
          <w:rFonts w:ascii="Calibri" w:hAnsi="Calibri"/>
          <w:b w:val="0"/>
          <w:sz w:val="20"/>
        </w:rPr>
        <w:t xml:space="preserve"> differs from </w:t>
      </w:r>
      <w:r>
        <w:rPr>
          <w:rFonts w:ascii="Consolas" w:hAnsi="Consolas"/>
          <w:b w:val="0"/>
          <w:sz w:val="19"/>
        </w:rPr>
        <w:t>power_MW</w:t>
      </w:r>
      <w:r>
        <w:rPr>
          <w:rFonts w:ascii="Calibri" w:hAnsi="Calibri"/>
          <w:b w:val="0"/>
          <w:sz w:val="20"/>
        </w:rPr>
        <w:t xml:space="preserve"> in exactly the 7 hours above.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