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CFB2" w14:textId="1AA6A713" w:rsidR="00BA5838" w:rsidRPr="00C9680A" w:rsidRDefault="006B607D" w:rsidP="00BA583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4851A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637C186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DataBase</w:t>
      </w:r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4851A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824DE34" w14:textId="496D7C5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bookmarkStart w:id="0" w:name="_Hlk157077731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</w:t>
      </w:r>
      <w:bookmarkEnd w:id="0"/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9A561F" w14:textId="70D6C4C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выполняется на основании договора №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 между Заказчиком и Разработчиком.</w:t>
      </w:r>
    </w:p>
    <w:p w14:paraId="3AE6A11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1EB834ED" w:rsidR="00936B7C" w:rsidRPr="00C9680A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14C2807C" w14:textId="49CE6265" w:rsidR="00F63F53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0DA18A05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B5B86B" w14:textId="54AC96CD" w:rsidR="00F63F53" w:rsidRPr="006A3362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6A3362">
        <w:rPr>
          <w:rFonts w:ascii="Times New Roman" w:hAnsi="Times New Roman" w:cs="Times New Roman"/>
          <w:sz w:val="28"/>
          <w:szCs w:val="28"/>
        </w:rPr>
        <w:t>Кинотеатр</w:t>
      </w:r>
      <w:r w:rsidR="00981A54">
        <w:rPr>
          <w:rFonts w:ascii="Times New Roman" w:hAnsi="Times New Roman" w:cs="Times New Roman"/>
          <w:sz w:val="28"/>
          <w:szCs w:val="28"/>
        </w:rPr>
        <w:t xml:space="preserve"> «</w:t>
      </w:r>
      <w:r w:rsidR="001F6A86">
        <w:rPr>
          <w:rFonts w:ascii="Times New Roman" w:hAnsi="Times New Roman" w:cs="Times New Roman"/>
          <w:sz w:val="28"/>
          <w:szCs w:val="28"/>
        </w:rPr>
        <w:t>Мальв</w:t>
      </w:r>
      <w:r w:rsidR="00057C05">
        <w:rPr>
          <w:rFonts w:ascii="Times New Roman" w:hAnsi="Times New Roman" w:cs="Times New Roman"/>
          <w:sz w:val="28"/>
          <w:szCs w:val="28"/>
        </w:rPr>
        <w:t>е</w:t>
      </w:r>
      <w:r w:rsidR="006A3362">
        <w:rPr>
          <w:rFonts w:ascii="Times New Roman" w:hAnsi="Times New Roman" w:cs="Times New Roman"/>
          <w:sz w:val="28"/>
          <w:szCs w:val="28"/>
        </w:rPr>
        <w:t>»</w:t>
      </w:r>
    </w:p>
    <w:p w14:paraId="047090AE" w14:textId="73831381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Адрес фактический: Ейск, ул. Ростовская, д. </w:t>
      </w:r>
      <w:r w:rsidRPr="006A3362">
        <w:rPr>
          <w:rFonts w:ascii="Times New Roman" w:hAnsi="Times New Roman" w:cs="Times New Roman"/>
          <w:sz w:val="28"/>
          <w:szCs w:val="28"/>
        </w:rPr>
        <w:t>42</w:t>
      </w:r>
      <w:r w:rsidRPr="00C9680A">
        <w:rPr>
          <w:rFonts w:ascii="Times New Roman" w:hAnsi="Times New Roman" w:cs="Times New Roman"/>
          <w:sz w:val="28"/>
          <w:szCs w:val="28"/>
        </w:rPr>
        <w:t>.</w:t>
      </w:r>
    </w:p>
    <w:p w14:paraId="7FC929D2" w14:textId="66EAF575" w:rsidR="00F63F53" w:rsidRPr="00C9680A" w:rsidRDefault="00F63F53" w:rsidP="006A3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Телефон / факс: +79</w:t>
      </w:r>
      <w:r w:rsidR="009A78F3">
        <w:rPr>
          <w:rFonts w:ascii="Times New Roman" w:hAnsi="Times New Roman" w:cs="Times New Roman"/>
          <w:sz w:val="28"/>
          <w:szCs w:val="28"/>
        </w:rPr>
        <w:t>524175841</w:t>
      </w:r>
    </w:p>
    <w:p w14:paraId="62F686DC" w14:textId="0938A6AE" w:rsidR="00936B7C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D5F11EA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08F20" w14:textId="6BC41D3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Разработчик: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Дмитриев Даниил Дмитриевич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Адрес фактический: г. Ейск, ул.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Луговая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д. 7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Телефон / Факс: +7 (9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604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07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764849" w14:textId="27AA9D7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Начало работы: 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12</w:t>
      </w:r>
      <w:r w:rsidR="006A3362" w:rsidRPr="004851AE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2DBFD823" w14:textId="390DEC9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Окончание работы: </w:t>
      </w:r>
      <w:r w:rsidR="006A3362" w:rsidRPr="004851AE">
        <w:rPr>
          <w:rFonts w:ascii="Times New Roman" w:hAnsi="Times New Roman" w:cs="Times New Roman"/>
          <w:color w:val="000000"/>
          <w:kern w:val="0"/>
          <w:sz w:val="28"/>
          <w:szCs w:val="28"/>
        </w:rPr>
        <w:t>25.08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33D372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E9BD2C" w14:textId="041F99C4" w:rsidR="00936B7C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источники и порядок финансирования были установлены в договоре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№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</w:t>
      </w:r>
    </w:p>
    <w:p w14:paraId="6FAC0603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0B0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8FA16D" w14:textId="4898F412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предназначена для повышения эффективности работы 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 «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Мальве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</w:p>
    <w:p w14:paraId="7930B4D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7EBA4274" w14:textId="74981972" w:rsidR="000B031F" w:rsidRPr="001F6A86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1.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Учет выручки с проданных билетов</w:t>
      </w:r>
      <w:r w:rsidR="001F6A86"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C90F03E" w14:textId="70D9F4FA" w:rsidR="00936B7C" w:rsidRPr="00C9680A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Отслеживание сеансов, залов, купленных билетов, дат и времени проведения сеансов.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583D5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C731F4" w14:textId="1781921D" w:rsidR="00936B7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создается с целью:</w:t>
      </w:r>
    </w:p>
    <w:p w14:paraId="16D41BE9" w14:textId="686CC05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учета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данных о проданных билетов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4581E62" w14:textId="775F961A" w:rsidR="00936B7C" w:rsidRDefault="00936B7C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1F6A86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расчета финансовой деятельности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кинотеатра, связанной с билетами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44940DC3" w14:textId="17B24D8E" w:rsidR="001F6A86" w:rsidRPr="001F6A86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- учета даты и времени сеансов</w:t>
      </w:r>
      <w:r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0E08D03" w14:textId="77777777" w:rsidR="001F6A86" w:rsidRPr="00C9680A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F71138" w14:textId="77777777" w:rsidR="00190C3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расчета финансов;</w:t>
      </w:r>
    </w:p>
    <w:p w14:paraId="031F7A6D" w14:textId="218E87F5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распределения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18A1B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645883A6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кинотеатре</w:t>
            </w:r>
          </w:p>
        </w:tc>
        <w:tc>
          <w:tcPr>
            <w:tcW w:w="3683" w:type="dxa"/>
          </w:tcPr>
          <w:p w14:paraId="671F6A9F" w14:textId="6850E46D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залах, фильмах, сеансах кинотеатра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7483CE0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9F8350D" w14:textId="2E0214D6" w:rsidR="00936B7C" w:rsidRPr="00C9680A" w:rsidRDefault="00936B7C" w:rsidP="003263BD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629C2D37" w:rsidR="00BA6F3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27D0BD1D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рвый уровень будет иметь функцию сбора информации о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проданных билетах</w:t>
      </w:r>
      <w:r w:rsidR="004C6B38" w:rsidRP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>и расписании сеансов, фильмов, залов в кинотеатре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1240F32B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8D16B7E" w14:textId="1BB28875" w:rsidR="00936B7C" w:rsidRPr="00C9680A" w:rsidRDefault="00936B7C" w:rsidP="00117594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3E174F2B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1 человек.</w:t>
      </w:r>
    </w:p>
    <w:p w14:paraId="203154ED" w14:textId="1A067148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2 человека.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Руководитель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обеспечивает общее руководство группой.</w:t>
      </w:r>
    </w:p>
    <w:p w14:paraId="5A5A5C12" w14:textId="75987C1C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34C607D5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41811D58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019ED5E7" w14:textId="77777777" w:rsidR="00936B7C" w:rsidRPr="00C9680A" w:rsidRDefault="00936B7C" w:rsidP="00BE21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104D12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персоналу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зависимости от различных вероятных условий система должна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программного обеспечения подсистем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7EF603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должен использоваться шрифт Times New Roman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15)%</w:t>
      </w:r>
      <w:proofErr w:type="gram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55C91FB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17817EE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0E5E84B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S1 - персонал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6A78159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F4 - бумажные носители и электронные варианты приказов, 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1FE80F6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электромагнитное излучение радиодиапазона, возникающее при работе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7A8416DB" w:rsidR="00936B7C" w:rsidRPr="00C9680A" w:rsidRDefault="006F0DB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B38C9AE" w:rsidR="00936B7C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C9E03A8" w14:textId="77777777" w:rsidR="006A5A93" w:rsidRPr="006A5A93" w:rsidRDefault="006A5A93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2497186F" w14:textId="77777777" w:rsidR="003529FB" w:rsidRPr="00C9680A" w:rsidRDefault="003529FB" w:rsidP="0011759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117594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712C233" w14:textId="64FF3027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C11D24" w14:textId="2CE72621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11781E3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7C681C7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К обновлению и восстановлению данных предъявляются следующие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Сервер сбора, обработки, вывода информации должен быть развернут на HPE BladeSystem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CPU: 8 (16 core); RAM: 32 Gb; HDD: 300 Gb; Network Card: 2 (1 Gbit); Fiber 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3AAE9149" w:rsidR="003529FB" w:rsidRPr="006A5A93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645B0DE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К защите от ошибочных действий персонала предъявляются следующие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7DDBE0F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Инструкции по использованию ПО в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E9DE3" w14:textId="2E19F202" w:rsidR="00936B7C" w:rsidRDefault="00936B7C" w:rsidP="00792F8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3465FB83" w14:textId="77777777" w:rsidR="00792F83" w:rsidRPr="00C9680A" w:rsidRDefault="00792F83" w:rsidP="00792F8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C3B2C4" w14:textId="2BC72D3D" w:rsidR="00936B7C" w:rsidRDefault="00936B7C" w:rsidP="00F6722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131F54C1" w14:textId="77777777" w:rsidR="00F67223" w:rsidRPr="00C9680A" w:rsidRDefault="00F67223" w:rsidP="00F6722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D3C9EC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0EDE4381" w14:textId="56087A6E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3CECE33" w14:textId="319FFED9" w:rsidR="00936B7C" w:rsidRDefault="00936B7C" w:rsidP="00FF65F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62009D1A" w14:textId="78750CF6" w:rsidR="00FF65F0" w:rsidRPr="00FF65F0" w:rsidRDefault="00FF65F0" w:rsidP="00FF65F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1E84D4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№612322 от 16.05.2024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57C05"/>
    <w:rsid w:val="0007046A"/>
    <w:rsid w:val="00092507"/>
    <w:rsid w:val="000B031F"/>
    <w:rsid w:val="00117594"/>
    <w:rsid w:val="00185292"/>
    <w:rsid w:val="00190C37"/>
    <w:rsid w:val="001D6AF7"/>
    <w:rsid w:val="001F6A86"/>
    <w:rsid w:val="00203911"/>
    <w:rsid w:val="003263BD"/>
    <w:rsid w:val="003529FB"/>
    <w:rsid w:val="00380D6B"/>
    <w:rsid w:val="003A0A70"/>
    <w:rsid w:val="004851AE"/>
    <w:rsid w:val="004C6B38"/>
    <w:rsid w:val="005429EB"/>
    <w:rsid w:val="00624F01"/>
    <w:rsid w:val="006A3362"/>
    <w:rsid w:val="006A5A93"/>
    <w:rsid w:val="006B607D"/>
    <w:rsid w:val="006F0DBC"/>
    <w:rsid w:val="00714D54"/>
    <w:rsid w:val="007621B2"/>
    <w:rsid w:val="00792F83"/>
    <w:rsid w:val="008737A4"/>
    <w:rsid w:val="00936B7C"/>
    <w:rsid w:val="009670E9"/>
    <w:rsid w:val="00981A54"/>
    <w:rsid w:val="009A78F3"/>
    <w:rsid w:val="009E4F73"/>
    <w:rsid w:val="00A95E19"/>
    <w:rsid w:val="00A964E0"/>
    <w:rsid w:val="00AC12EC"/>
    <w:rsid w:val="00B613C5"/>
    <w:rsid w:val="00BA5838"/>
    <w:rsid w:val="00BA6F3C"/>
    <w:rsid w:val="00BC3273"/>
    <w:rsid w:val="00BE2145"/>
    <w:rsid w:val="00C9680A"/>
    <w:rsid w:val="00CF03EC"/>
    <w:rsid w:val="00CF0B06"/>
    <w:rsid w:val="00CF4F39"/>
    <w:rsid w:val="00F13C04"/>
    <w:rsid w:val="00F21272"/>
    <w:rsid w:val="00F21C7B"/>
    <w:rsid w:val="00F518FB"/>
    <w:rsid w:val="00F63F53"/>
    <w:rsid w:val="00F67223"/>
    <w:rsid w:val="00F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31</Pages>
  <Words>5046</Words>
  <Characters>28767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seta seta</cp:lastModifiedBy>
  <cp:revision>27</cp:revision>
  <dcterms:created xsi:type="dcterms:W3CDTF">2024-01-24T10:59:00Z</dcterms:created>
  <dcterms:modified xsi:type="dcterms:W3CDTF">2024-05-16T17:59:00Z</dcterms:modified>
</cp:coreProperties>
</file>