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left"/>
        <w:rPr/>
      </w:pPr>
      <w:r w:rsidDel="00000000" w:rsidR="00000000" w:rsidRPr="00000000">
        <w:rPr>
          <w:rFonts w:ascii="Times New Roman" w:cs="Times New Roman" w:eastAsia="Times New Roman" w:hAnsi="Times New Roman"/>
          <w:i w:val="1"/>
          <w:iCs w:val="1"/>
          <w:color w:val="666666"/>
          <w:sz w:val="24"/>
          <w:szCs w:val="24"/>
          <w:rtl w:val="0"/>
        </w:rPr>
        <w:t xml:space="preserve">Article</w:t>
      </w:r>
      <w:r w:rsidDel="00000000" w:rsidR="00000000" w:rsidRPr="00000000">
        <w:rPr>
          <w:rtl w:val="0"/>
        </w:rPr>
      </w:r>
    </w:p>
    <w:p w:rsidR="00000000" w:rsidDel="00000000" w:rsidP="00000000" w:rsidRDefault="00000000" w:rsidRPr="00000000" w14:paraId="00000002">
      <w:pPr>
        <w:spacing w:after="300" w:before="200" w:lineRule="auto"/>
        <w:jc w:val="center"/>
        <w:rPr/>
      </w:pPr>
      <w:r w:rsidDel="00000000" w:rsidR="00000000" w:rsidRPr="00000000">
        <w:rPr>
          <w:rFonts w:ascii="Times New Roman" w:cs="Times New Roman" w:eastAsia="Times New Roman" w:hAnsi="Times New Roman"/>
          <w:b w:val="1"/>
          <w:bCs w:val="1"/>
          <w:sz w:val="36"/>
          <w:szCs w:val="36"/>
          <w:rtl w:val="0"/>
        </w:rPr>
        <w:t xml:space="preserve">Real-Time Asterixis Detection Using Smartphone-Based Hand Landmark Tracking and Deep Learning: A Prototype Study</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Times New Roman" w:cs="Times New Roman" w:eastAsia="Times New Roman" w:hAnsi="Times New Roman"/>
          <w:sz w:val="24"/>
          <w:szCs w:val="24"/>
          <w:rtl w:val="0"/>
        </w:rPr>
        <w:t xml:space="preserve">[Author Name(s)]</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Times New Roman" w:cs="Times New Roman" w:eastAsia="Times New Roman" w:hAnsi="Times New Roman"/>
          <w:i w:val="1"/>
          <w:iCs w:val="1"/>
          <w:color w:val="666666"/>
          <w:sz w:val="20"/>
          <w:szCs w:val="20"/>
          <w:rtl w:val="0"/>
        </w:rPr>
        <w:t xml:space="preserve">[Department, Institution, City, Country; email]</w:t>
      </w:r>
      <w:r w:rsidDel="00000000" w:rsidR="00000000" w:rsidRPr="00000000">
        <w:rPr>
          <w:rtl w:val="0"/>
        </w:rPr>
      </w:r>
    </w:p>
    <w:p w:rsidR="00000000" w:rsidDel="00000000" w:rsidP="00000000" w:rsidRDefault="00000000" w:rsidRPr="00000000" w14:paraId="00000005">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Abstract</w:t>
      </w:r>
      <w:r w:rsidDel="00000000" w:rsidR="00000000" w:rsidRPr="00000000">
        <w:rPr>
          <w:rtl w:val="0"/>
        </w:rPr>
      </w:r>
    </w:p>
    <w:p w:rsidR="00000000" w:rsidDel="00000000" w:rsidP="00000000" w:rsidRDefault="00000000" w:rsidRPr="00000000" w14:paraId="00000006">
      <w:pPr>
        <w:spacing w:after="16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Background/Objectives: </w:t>
      </w:r>
      <w:r w:rsidDel="00000000" w:rsidR="00000000" w:rsidRPr="00000000">
        <w:rPr>
          <w:rFonts w:ascii="Times New Roman" w:cs="Times New Roman" w:eastAsia="Times New Roman" w:hAnsi="Times New Roman"/>
          <w:sz w:val="24"/>
          <w:szCs w:val="24"/>
          <w:rtl w:val="0"/>
        </w:rPr>
        <w:t xml:space="preserve">Asterixis, also known as flapping tremor or negative myoclonus, is a key clinical sign of hepatic encephalopathy (HE) associated with advanced liver disease. Current assessment methods rely on subjective clinical observation, limiting early detection and consistent monitoring. This study proposes a novel smartphone-based deep learning system for real-time automated detection and severity grading of asterixis using hand landmark tracking.</w:t>
      </w:r>
      <w:r w:rsidDel="00000000" w:rsidR="00000000" w:rsidRPr="00000000">
        <w:rPr>
          <w:rtl w:val="0"/>
        </w:rPr>
      </w:r>
    </w:p>
    <w:p w:rsidR="00000000" w:rsidDel="00000000" w:rsidP="00000000" w:rsidRDefault="00000000" w:rsidRPr="00000000" w14:paraId="00000007">
      <w:pPr>
        <w:spacing w:after="16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Methods: </w:t>
      </w:r>
      <w:r w:rsidDel="00000000" w:rsidR="00000000" w:rsidRPr="00000000">
        <w:rPr>
          <w:rFonts w:ascii="Times New Roman" w:cs="Times New Roman" w:eastAsia="Times New Roman" w:hAnsi="Times New Roman"/>
          <w:sz w:val="24"/>
          <w:szCs w:val="24"/>
          <w:rtl w:val="0"/>
        </w:rPr>
        <w:t xml:space="preserve">A total of 208 videos (56 normal, 50 Grade 1, 52 Grade 2, 50 Grade 3) were collected from a single expert hepatologist simulating asterixis patterns. MediaPipe Hands extracted 21 bilateral hand landmarks per frame, from which 254-dimensional features (127 per hand: normalized coordinates, wrist dorsiflexion angle, velocity, and acceleration) were engineered. A 0.5-second sliding window (15 frames, stride 3) segmented the temporal data, yielding approximately 40,768 analysis windows. A hybrid 1D-CNN + Bidirectional LSTM model (183,617 parameters) was trained with weighted binary cross-entropy loss, Adam optimizer (lr = 0.0005), learning rate scheduling, and early stopping.</w:t>
      </w:r>
      <w:r w:rsidDel="00000000" w:rsidR="00000000" w:rsidRPr="00000000">
        <w:rPr>
          <w:rtl w:val="0"/>
        </w:rPr>
      </w:r>
    </w:p>
    <w:p w:rsidR="00000000" w:rsidDel="00000000" w:rsidP="00000000" w:rsidRDefault="00000000" w:rsidRPr="00000000" w14:paraId="00000008">
      <w:pPr>
        <w:spacing w:after="16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The proposed system achieved [validation accuracy]% on the holdout validation set (20% stratified split), with [sensitivity]% sensitivity and [specificity]% specificity for asterixis detection. The model operated at over 25 frames per second on both desktop (CUDA GPU) and mobile (ONNX Runtime Web) platforms, enabling real-time inference. A severity scoring system (0–100) with four-tier grading (Normal, Grade 1–3) was developed based on combined model confidence and kinematic features.</w:t>
      </w:r>
      <w:r w:rsidDel="00000000" w:rsidR="00000000" w:rsidRPr="00000000">
        <w:rPr>
          <w:rtl w:val="0"/>
        </w:rPr>
      </w:r>
    </w:p>
    <w:p w:rsidR="00000000" w:rsidDel="00000000" w:rsidP="00000000" w:rsidRDefault="00000000" w:rsidRPr="00000000" w14:paraId="00000009">
      <w:pPr>
        <w:spacing w:after="16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Conclusions: </w:t>
      </w:r>
      <w:r w:rsidDel="00000000" w:rsidR="00000000" w:rsidRPr="00000000">
        <w:rPr>
          <w:rFonts w:ascii="Times New Roman" w:cs="Times New Roman" w:eastAsia="Times New Roman" w:hAnsi="Times New Roman"/>
          <w:sz w:val="24"/>
          <w:szCs w:val="24"/>
          <w:rtl w:val="0"/>
        </w:rPr>
        <w:t xml:space="preserve">This study demonstrates the feasibility of automated asterixis detection using smartphone camera input and lightweight deep learning. The proposed architecture successfully distinguishes normal hand posture from simulated asterixis patterns with clinically meaningful severity grading. As a prototype proof-of-concept, these findings support further development toward multi-subject generalization and clinical validation with actual HE patients.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spacing w:after="16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asterixis; hepatic encephalopathy; deep learning; MediaPipe; hand landmark tracking; 1D-CNN; BiLSTM; real-time detection; smartphone; severity grading</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0E">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Hepatic encephalopathy (HE) is a serious neuropsychiatric complication of advanced liver disease, affecting 30–45% of patients with liver cirrhosis. It represents a spectrum of neurological abnormalities ranging from subclinical cognitive impairment to coma, and is associated with increased mortality, hospitalization, and reduced quality of life. Early detection and timely intervention are crucial for improving patient outcomes, yet the diagnosis of HE remains largely clinical and subjective.</w:t>
      </w:r>
      <w:r w:rsidDel="00000000" w:rsidR="00000000" w:rsidRPr="00000000">
        <w:rPr>
          <w:rtl w:val="0"/>
        </w:rPr>
      </w:r>
    </w:p>
    <w:p w:rsidR="00000000" w:rsidDel="00000000" w:rsidP="00000000" w:rsidRDefault="00000000" w:rsidRPr="00000000" w14:paraId="0000000F">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Asterixis, commonly known as flapping tremor or liver flap, is one of the most characteristic motor signs of HE. It is a form of negative myoclonus, defined as a sudden, involuntary loss of muscle tone causing a brief, arrhythmic lapse in sustained posture. Clinically, it manifests as an abrupt downward flapping of the dorsiflexed hands when the arms are outstretched. The detection and grading of asterixis has traditionally relied on bedside observation by experienced clinicians, which is inherently subjective, intermittent, and not easily standardized across healthcare settings.</w:t>
      </w:r>
      <w:r w:rsidDel="00000000" w:rsidR="00000000" w:rsidRPr="00000000">
        <w:rPr>
          <w:rtl w:val="0"/>
        </w:rPr>
      </w:r>
    </w:p>
    <w:p w:rsidR="00000000" w:rsidDel="00000000" w:rsidP="00000000" w:rsidRDefault="00000000" w:rsidRPr="00000000" w14:paraId="00000010">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Several limitations of current asterixis assessment methods motivate this research. First, manual observation is susceptible to inter-observer variability, and subtle Grade 1 asterixis may be missed entirely by less experienced practitioners. Second, the episodic nature of asterixis means that brief clinical encounters may not capture the full extent of the condition. Third, no widely adopted quantitative tool exists for objective asterixis measurement, making it difficult to track disease progression or treatment response over time.</w:t>
      </w:r>
      <w:r w:rsidDel="00000000" w:rsidR="00000000" w:rsidRPr="00000000">
        <w:rPr>
          <w:rtl w:val="0"/>
        </w:rPr>
      </w:r>
    </w:p>
    <w:p w:rsidR="00000000" w:rsidDel="00000000" w:rsidP="00000000" w:rsidRDefault="00000000" w:rsidRPr="00000000" w14:paraId="00000011">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In recent years, artificial intelligence (AI) and deep learning (DL) techniques have demonstrated remarkable success in medical diagnosis, including analysis of medical images, physiological signals, and motion patterns. Computer vision approaches, particularly pose estimation and hand tracking, have enabled non-contact, markerless analysis of human movement. Google’s MediaPipe Hands framework provides real-time detection of 21 three-dimensional hand landmarks from standard camera input, offering a foundation for kinematic analysis of hand movement disorders.</w:t>
      </w:r>
      <w:r w:rsidDel="00000000" w:rsidR="00000000" w:rsidRPr="00000000">
        <w:rPr>
          <w:rtl w:val="0"/>
        </w:rPr>
      </w:r>
    </w:p>
    <w:p w:rsidR="00000000" w:rsidDel="00000000" w:rsidP="00000000" w:rsidRDefault="00000000" w:rsidRPr="00000000" w14:paraId="00000012">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Despite the growing application of AI in neurological assessment, automated detection of asterixis remains largely unexplored. Existing studies on tremor analysis have primarily focused on Parkinson’s disease using wearable sensors (accelerometers, gyroscopes), with limited work on vision-based approaches for hepatic asterixis. To the best of our knowledge, no prior study has attempted real-time, smartphone-based automated detection of asterixis using hand landmark tracking and deep learning.</w:t>
      </w:r>
      <w:r w:rsidDel="00000000" w:rsidR="00000000" w:rsidRPr="00000000">
        <w:rPr>
          <w:rtl w:val="0"/>
        </w:rPr>
      </w:r>
    </w:p>
    <w:p w:rsidR="00000000" w:rsidDel="00000000" w:rsidP="00000000" w:rsidRDefault="00000000" w:rsidRPr="00000000" w14:paraId="00000013">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research questions addressed in this study are as follows:</w:t>
      </w:r>
      <w:r w:rsidDel="00000000" w:rsidR="00000000" w:rsidRPr="00000000">
        <w:rPr>
          <w:rtl w:val="0"/>
        </w:rPr>
      </w:r>
    </w:p>
    <w:p w:rsidR="00000000" w:rsidDel="00000000" w:rsidP="00000000" w:rsidRDefault="00000000" w:rsidRPr="00000000" w14:paraId="00000014">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RQ1: Can a deep learning model based on hand landmark features effectively distinguish asterixis from normal hand posture in video data?</w:t>
      </w:r>
      <w:r w:rsidDel="00000000" w:rsidR="00000000" w:rsidRPr="00000000">
        <w:rPr>
          <w:rtl w:val="0"/>
        </w:rPr>
      </w:r>
    </w:p>
    <w:p w:rsidR="00000000" w:rsidDel="00000000" w:rsidP="00000000" w:rsidRDefault="00000000" w:rsidRPr="00000000" w14:paraId="00000015">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RQ2: Can the system provide meaningful severity grading that correlates with clinical grades of asterixis?</w:t>
      </w:r>
      <w:r w:rsidDel="00000000" w:rsidR="00000000" w:rsidRPr="00000000">
        <w:rPr>
          <w:rtl w:val="0"/>
        </w:rPr>
      </w:r>
    </w:p>
    <w:p w:rsidR="00000000" w:rsidDel="00000000" w:rsidP="00000000" w:rsidRDefault="00000000" w:rsidRPr="00000000" w14:paraId="00000016">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RQ3: Can the proposed system operate in real-time on consumer-grade devices, including smartphones?</w:t>
      </w:r>
      <w:r w:rsidDel="00000000" w:rsidR="00000000" w:rsidRPr="00000000">
        <w:rPr>
          <w:rtl w:val="0"/>
        </w:rPr>
      </w:r>
    </w:p>
    <w:p w:rsidR="00000000" w:rsidDel="00000000" w:rsidP="00000000" w:rsidRDefault="00000000" w:rsidRPr="00000000" w14:paraId="00000017">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contributions of this study are summarized as follows:</w:t>
      </w:r>
      <w:r w:rsidDel="00000000" w:rsidR="00000000" w:rsidRPr="00000000">
        <w:rPr>
          <w:rtl w:val="0"/>
        </w:rPr>
      </w:r>
    </w:p>
    <w:p w:rsidR="00000000" w:rsidDel="00000000" w:rsidP="00000000" w:rsidRDefault="00000000" w:rsidRPr="00000000" w14:paraId="00000018">
      <w:pPr>
        <w:spacing w:after="16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 Novel application domain: </w:t>
      </w:r>
      <w:r w:rsidDel="00000000" w:rsidR="00000000" w:rsidRPr="00000000">
        <w:rPr>
          <w:rFonts w:ascii="Times New Roman" w:cs="Times New Roman" w:eastAsia="Times New Roman" w:hAnsi="Times New Roman"/>
          <w:sz w:val="24"/>
          <w:szCs w:val="24"/>
          <w:rtl w:val="0"/>
        </w:rPr>
        <w:t xml:space="preserve">To our knowledge, this is the first study to apply smartphone-based hand landmark tracking combined with deep learning for automated asterixis detection, representing a novel intersection of computer vision and hepatology.</w:t>
      </w:r>
      <w:r w:rsidDel="00000000" w:rsidR="00000000" w:rsidRPr="00000000">
        <w:rPr>
          <w:rtl w:val="0"/>
        </w:rPr>
      </w:r>
    </w:p>
    <w:p w:rsidR="00000000" w:rsidDel="00000000" w:rsidP="00000000" w:rsidRDefault="00000000" w:rsidRPr="00000000" w14:paraId="00000019">
      <w:pPr>
        <w:spacing w:after="16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(2) Comprehensive feature engineering: </w:t>
      </w:r>
      <w:r w:rsidDel="00000000" w:rsidR="00000000" w:rsidRPr="00000000">
        <w:rPr>
          <w:rFonts w:ascii="Times New Roman" w:cs="Times New Roman" w:eastAsia="Times New Roman" w:hAnsi="Times New Roman"/>
          <w:sz w:val="24"/>
          <w:szCs w:val="24"/>
          <w:rtl w:val="0"/>
        </w:rPr>
        <w:t xml:space="preserve">A 254-dimensional bilateral hand feature vector is proposed, incorporating normalized coordinates, wrist dorsiflexion angle, velocity (first derivative), and acceleration (second derivative) for both hands, capturing the essential kinematic characteristics of asterixis.</w:t>
      </w:r>
      <w:r w:rsidDel="00000000" w:rsidR="00000000" w:rsidRPr="00000000">
        <w:rPr>
          <w:rtl w:val="0"/>
        </w:rPr>
      </w:r>
    </w:p>
    <w:p w:rsidR="00000000" w:rsidDel="00000000" w:rsidP="00000000" w:rsidRDefault="00000000" w:rsidRPr="00000000" w14:paraId="0000001A">
      <w:pPr>
        <w:spacing w:after="16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(3) Hybrid CNN-LSTM architecture: </w:t>
      </w:r>
      <w:r w:rsidDel="00000000" w:rsidR="00000000" w:rsidRPr="00000000">
        <w:rPr>
          <w:rFonts w:ascii="Times New Roman" w:cs="Times New Roman" w:eastAsia="Times New Roman" w:hAnsi="Times New Roman"/>
          <w:sz w:val="24"/>
          <w:szCs w:val="24"/>
          <w:rtl w:val="0"/>
        </w:rPr>
        <w:t xml:space="preserve">A lightweight 1D-CNN + Bidirectional LSTM model (183,617 parameters) is designed to jointly extract spatial and temporal features from the hand landmark time series, enabling both pattern recognition and sequence modeling.</w:t>
      </w:r>
      <w:r w:rsidDel="00000000" w:rsidR="00000000" w:rsidRPr="00000000">
        <w:rPr>
          <w:rtl w:val="0"/>
        </w:rPr>
      </w:r>
    </w:p>
    <w:p w:rsidR="00000000" w:rsidDel="00000000" w:rsidP="00000000" w:rsidRDefault="00000000" w:rsidRPr="00000000" w14:paraId="0000001B">
      <w:pPr>
        <w:spacing w:after="16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(4) Real-time cross-platform deployment: </w:t>
      </w:r>
      <w:r w:rsidDel="00000000" w:rsidR="00000000" w:rsidRPr="00000000">
        <w:rPr>
          <w:rFonts w:ascii="Times New Roman" w:cs="Times New Roman" w:eastAsia="Times New Roman" w:hAnsi="Times New Roman"/>
          <w:sz w:val="24"/>
          <w:szCs w:val="24"/>
          <w:rtl w:val="0"/>
        </w:rPr>
        <w:t xml:space="preserve">The system is deployed as a Progressive Web Application (PWA) using ONNX Runtime Web, enabling real-time inference on smartphones without requiring app installation or specialized hardware.</w:t>
      </w:r>
      <w:r w:rsidDel="00000000" w:rsidR="00000000" w:rsidRPr="00000000">
        <w:rPr>
          <w:rtl w:val="0"/>
        </w:rPr>
      </w:r>
    </w:p>
    <w:p w:rsidR="00000000" w:rsidDel="00000000" w:rsidP="00000000" w:rsidRDefault="00000000" w:rsidRPr="00000000" w14:paraId="0000001C">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rest of this paper is organized as follows: Section 2 describes the materials and methods, including data collection, feature engineering, model architecture, and deployment. Section 3 presents the experimental results. Section 4 discusses the findings, limitations, and clinical implications. Section 5 concludes the study.</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2. Materials and Methods</w:t>
      </w:r>
      <w:r w:rsidDel="00000000" w:rsidR="00000000" w:rsidRPr="00000000">
        <w:rPr>
          <w:rtl w:val="0"/>
        </w:rPr>
      </w:r>
    </w:p>
    <w:p w:rsidR="00000000" w:rsidDel="00000000" w:rsidP="00000000" w:rsidRDefault="00000000" w:rsidRPr="00000000" w14:paraId="0000001F">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This section describes the dataset, feature engineering pipeline, model architecture, training strategy, and deployment framework used in this study. The overall system pipeline is illustrated in Figure 1.</w:t>
      </w:r>
      <w:r w:rsidDel="00000000" w:rsidR="00000000" w:rsidRPr="00000000">
        <w:rPr>
          <w:rtl w:val="0"/>
        </w:rPr>
      </w:r>
    </w:p>
    <w:p w:rsidR="00000000" w:rsidDel="00000000" w:rsidP="00000000" w:rsidRDefault="00000000" w:rsidRPr="00000000" w14:paraId="00000020">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2.1. Data Collection</w:t>
      </w:r>
      <w:r w:rsidDel="00000000" w:rsidR="00000000" w:rsidRPr="00000000">
        <w:rPr>
          <w:rtl w:val="0"/>
        </w:rPr>
      </w:r>
    </w:p>
    <w:p w:rsidR="00000000" w:rsidDel="00000000" w:rsidP="00000000" w:rsidRDefault="00000000" w:rsidRPr="00000000" w14:paraId="00000021">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Video data were collected using a webcam (1920 × 1080 resolution, 30 fps) under controlled lighting conditions at a single center (Daegu Catholic University Hospital). A custom data collection application (src/data_collector.py) was developed with a dedicated recording thread to ensure consistent 30 fps capture and a countdown timer to standardize the recording protocol.</w:t>
      </w:r>
      <w:r w:rsidDel="00000000" w:rsidR="00000000" w:rsidRPr="00000000">
        <w:rPr>
          <w:rtl w:val="0"/>
        </w:rPr>
      </w:r>
    </w:p>
    <w:p w:rsidR="00000000" w:rsidDel="00000000" w:rsidP="00000000" w:rsidRDefault="00000000" w:rsidRPr="00000000" w14:paraId="00000022">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Each recording session consisted of a 20-second video (600 frames) in which the subject maintained both hands in a dorsiflexed position. A total of 208 videos were collected from a single participant—a board-certified hepatologist with 30 years of clinical experience in hepatic encephalopathy—who performed calibrated simulations of asterixis at various severity levels. Table 1 summarizes the dataset composition.</w:t>
      </w:r>
      <w:r w:rsidDel="00000000" w:rsidR="00000000" w:rsidRPr="00000000">
        <w:rPr>
          <w:rtl w:val="0"/>
        </w:rPr>
      </w:r>
    </w:p>
    <w:p w:rsidR="00000000" w:rsidDel="00000000" w:rsidP="00000000" w:rsidRDefault="00000000" w:rsidRPr="00000000" w14:paraId="00000023">
      <w:pPr>
        <w:spacing w:after="10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 1. Dataset composition.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bCs w:val="1"/>
                <w:sz w:val="20"/>
                <w:szCs w:val="20"/>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b w:val="1"/>
                <w:bCs w:val="1"/>
                <w:sz w:val="20"/>
                <w:szCs w:val="20"/>
                <w:rtl w:val="0"/>
              </w:rPr>
              <w:t xml:space="preserve">File 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sz w:val="20"/>
                <w:szCs w:val="20"/>
                <w:rtl w:val="0"/>
              </w:rPr>
              <w:t xml:space="preserv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1"/>
                <w:bCs w:val="1"/>
                <w:sz w:val="20"/>
                <w:szCs w:val="20"/>
                <w:rtl w:val="0"/>
              </w:rPr>
              <w:t xml:space="preserve">Windows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0"/>
                <w:bCs w:val="0"/>
                <w:sz w:val="20"/>
                <w:szCs w:val="20"/>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0"/>
                <w:bCs w:val="0"/>
                <w:sz w:val="20"/>
                <w:szCs w:val="20"/>
                <w:rtl w:val="0"/>
              </w:rPr>
              <w:t xml:space="preserve">normal_*.mp4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0"/>
                <w:bCs w:val="0"/>
                <w:sz w:val="20"/>
                <w:szCs w:val="20"/>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0"/>
                <w:bCs w:val="0"/>
                <w:sz w:val="20"/>
                <w:szCs w:val="20"/>
                <w:rtl w:val="0"/>
              </w:rPr>
              <w:t xml:space="preserve">10,976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0"/>
                <w:bCs w:val="0"/>
                <w:sz w:val="20"/>
                <w:szCs w:val="20"/>
                <w:rtl w:val="0"/>
              </w:rPr>
              <w:t xml:space="preserve">Grade 1 (Mild)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0"/>
                <w:bCs w:val="0"/>
                <w:sz w:val="20"/>
                <w:szCs w:val="20"/>
                <w:rtl w:val="0"/>
              </w:rPr>
              <w:t xml:space="preserve">asterixis_grade1_*.mp4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0"/>
                <w:bCs w:val="0"/>
                <w:sz w:val="20"/>
                <w:szCs w:val="2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0"/>
                <w:bCs w:val="0"/>
                <w:sz w:val="20"/>
                <w:szCs w:val="20"/>
                <w:rtl w:val="0"/>
              </w:rPr>
              <w:t xml:space="preserve">9,800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0"/>
                <w:bCs w:val="0"/>
                <w:sz w:val="20"/>
                <w:szCs w:val="20"/>
                <w:rtl w:val="0"/>
              </w:rPr>
              <w:t xml:space="preserve">Grade 2 (Moderate)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0"/>
                <w:bCs w:val="0"/>
                <w:sz w:val="20"/>
                <w:szCs w:val="20"/>
                <w:rtl w:val="0"/>
              </w:rPr>
              <w:t xml:space="preserve">asterixis_grade2_*.mp4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0"/>
                <w:bCs w:val="0"/>
                <w:sz w:val="20"/>
                <w:szCs w:val="2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0"/>
                <w:bCs w:val="0"/>
                <w:sz w:val="20"/>
                <w:szCs w:val="20"/>
                <w:rtl w:val="0"/>
              </w:rPr>
              <w:t xml:space="preserve">10,192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0"/>
                <w:bCs w:val="0"/>
                <w:sz w:val="20"/>
                <w:szCs w:val="20"/>
                <w:rtl w:val="0"/>
              </w:rPr>
              <w:t xml:space="preserve">Grade 3 (Severe)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0"/>
                <w:bCs w:val="0"/>
                <w:sz w:val="20"/>
                <w:szCs w:val="20"/>
                <w:rtl w:val="0"/>
              </w:rPr>
              <w:t xml:space="preserve">asterixis_grade3_*.mp4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sz w:val="20"/>
                <w:szCs w:val="2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0"/>
                <w:bCs w:val="0"/>
                <w:sz w:val="20"/>
                <w:szCs w:val="20"/>
                <w:rtl w:val="0"/>
              </w:rPr>
              <w:t xml:space="preserve">9,800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1"/>
                <w:bCs w:val="1"/>
                <w:sz w:val="20"/>
                <w:szCs w:val="20"/>
                <w:rtl w:val="0"/>
              </w:rPr>
              <w:t xml:space="preserve">208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1"/>
                <w:bCs w:val="1"/>
                <w:sz w:val="20"/>
                <w:szCs w:val="20"/>
                <w:rtl w:val="0"/>
              </w:rPr>
              <w:t xml:space="preserve">~40,768</w:t>
            </w:r>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asterixis simulations followed clinically defined criteria based on established grading systems. Grade 1 (Mild) asterixis was characterized by subtle, infrequent drops (10–15° wrist deflection) occurring at 5–10 second intervals (4–6 episodes per 20-second recording). Grade 2 (Moderate) involved more pronounced drops (20–30°) at 2–3 second intervals (8–10 episodes). Grade 3 (Severe) exhibited frequent, large-amplitude drops (&gt;30°) at 1–2 second intervals (10–15 episodes). All grades shared the hallmark feature of asterixis: a brief (0.1–0.2 second) involuntary drop followed by immediate postural recovery.</w:t>
      </w:r>
      <w:r w:rsidDel="00000000" w:rsidR="00000000" w:rsidRPr="00000000">
        <w:rPr>
          <w:rtl w:val="0"/>
        </w:rPr>
      </w:r>
    </w:p>
    <w:p w:rsidR="00000000" w:rsidDel="00000000" w:rsidP="00000000" w:rsidRDefault="00000000" w:rsidRPr="00000000" w14:paraId="0000003E">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rationale for using simulated data from a single expert is based on the prototype validation principle: by minimizing confounding variables (inter-subject variability, inconsistent simulation quality), this study focuses on establishing whether the proposed architecture can detect the kinematic signatures of asterixis. This approach ensures that any performance limitations reflect model design rather than data quality issues.</w:t>
      </w:r>
      <w:r w:rsidDel="00000000" w:rsidR="00000000" w:rsidRPr="00000000">
        <w:rPr>
          <w:rtl w:val="0"/>
        </w:rPr>
      </w:r>
    </w:p>
    <w:p w:rsidR="00000000" w:rsidDel="00000000" w:rsidP="00000000" w:rsidRDefault="00000000" w:rsidRPr="00000000" w14:paraId="0000003F">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2.2. Feature Engineering</w:t>
      </w:r>
      <w:r w:rsidDel="00000000" w:rsidR="00000000" w:rsidRPr="00000000">
        <w:rPr>
          <w:rtl w:val="0"/>
        </w:rPr>
      </w:r>
    </w:p>
    <w:p w:rsidR="00000000" w:rsidDel="00000000" w:rsidP="00000000" w:rsidRDefault="00000000" w:rsidRPr="00000000" w14:paraId="00000040">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Hand landmark detection was performed using Google MediaPipe Hands (version 0.10.31), which provides 21 three-dimensional landmarks per detected hand. The framework was configured to detect up to two hands simultaneously with detection confidence threshold of 0.8 and tracking confidence of 0.7 for training data processing (relaxed to 0.7 and 0.5 for real-time inference).</w:t>
      </w:r>
      <w:r w:rsidDel="00000000" w:rsidR="00000000" w:rsidRPr="00000000">
        <w:rPr>
          <w:rtl w:val="0"/>
        </w:rPr>
      </w:r>
    </w:p>
    <w:p w:rsidR="00000000" w:rsidDel="00000000" w:rsidP="00000000" w:rsidRDefault="00000000" w:rsidRPr="00000000" w14:paraId="00000041">
      <w:pPr>
        <w:pStyle w:val="Heading3"/>
        <w:spacing w:after="12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2.2.1. Hand Identification and Normalization</w:t>
      </w:r>
      <w:r w:rsidDel="00000000" w:rsidR="00000000" w:rsidRPr="00000000">
        <w:rPr>
          <w:rtl w:val="0"/>
        </w:rPr>
      </w:r>
    </w:p>
    <w:p w:rsidR="00000000" w:rsidDel="00000000" w:rsidP="00000000" w:rsidRDefault="00000000" w:rsidRPr="00000000" w14:paraId="00000042">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For each video frame, detected hands were classified as left or right using MediaPipe’s handedness labels (accounting for mirror-image mapping). The 21 landmark coordinates (x, y) for each hand were normalized using the wrist landmark (index 0) as origin and the wrist-to-middle-finger-tip distance as the scaling factor, yielding a 42-dimensional normalized coordinate vector per hand. This normalization ensures invariance to hand position and distance from the camera.</w:t>
      </w:r>
      <w:r w:rsidDel="00000000" w:rsidR="00000000" w:rsidRPr="00000000">
        <w:rPr>
          <w:rtl w:val="0"/>
        </w:rPr>
      </w:r>
    </w:p>
    <w:p w:rsidR="00000000" w:rsidDel="00000000" w:rsidP="00000000" w:rsidRDefault="00000000" w:rsidRPr="00000000" w14:paraId="00000043">
      <w:pPr>
        <w:pStyle w:val="Heading3"/>
        <w:spacing w:after="12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2.2.2. Wrist Angle Computation</w:t>
      </w:r>
      <w:r w:rsidDel="00000000" w:rsidR="00000000" w:rsidRPr="00000000">
        <w:rPr>
          <w:rtl w:val="0"/>
        </w:rPr>
      </w:r>
    </w:p>
    <w:p w:rsidR="00000000" w:rsidDel="00000000" w:rsidP="00000000" w:rsidRDefault="00000000" w:rsidRPr="00000000" w14:paraId="00000044">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dorsiflexion angle was computed as the angle between the palm center vector (average of index MCP and middle MCP positions relative to the wrist) and the vertical axis using the arctangent function. This single scalar feature (in degrees) quantifies the dorsiflexion posture central to asterixis assessment.</w:t>
      </w:r>
      <w:r w:rsidDel="00000000" w:rsidR="00000000" w:rsidRPr="00000000">
        <w:rPr>
          <w:rtl w:val="0"/>
        </w:rPr>
      </w:r>
    </w:p>
    <w:p w:rsidR="00000000" w:rsidDel="00000000" w:rsidP="00000000" w:rsidRDefault="00000000" w:rsidRPr="00000000" w14:paraId="00000045">
      <w:pPr>
        <w:pStyle w:val="Heading3"/>
        <w:spacing w:after="12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2.2.3. Temporal Derivatives</w:t>
      </w:r>
      <w:r w:rsidDel="00000000" w:rsidR="00000000" w:rsidRPr="00000000">
        <w:rPr>
          <w:rtl w:val="0"/>
        </w:rPr>
      </w:r>
    </w:p>
    <w:p w:rsidR="00000000" w:rsidDel="00000000" w:rsidP="00000000" w:rsidRDefault="00000000" w:rsidRPr="00000000" w14:paraId="00000046">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Velocity features were computed as the first-order temporal difference of normalized coordinates between consecutive frames (42 dimensions per hand). Acceleration features were computed as the second-order temporal difference (42 dimensions per hand). These derivative features capture the rapid, transient kinematic patterns characteristic of asterixis—specifically, the sudden velocity spikes during the drop phase and the high acceleration at the onset and recovery points.</w:t>
      </w:r>
      <w:r w:rsidDel="00000000" w:rsidR="00000000" w:rsidRPr="00000000">
        <w:rPr>
          <w:rtl w:val="0"/>
        </w:rPr>
      </w:r>
    </w:p>
    <w:p w:rsidR="00000000" w:rsidDel="00000000" w:rsidP="00000000" w:rsidRDefault="00000000" w:rsidRPr="00000000" w14:paraId="00000047">
      <w:pPr>
        <w:pStyle w:val="Heading3"/>
        <w:spacing w:after="12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2.2.4. Feature Vector Assembly</w:t>
      </w:r>
      <w:r w:rsidDel="00000000" w:rsidR="00000000" w:rsidRPr="00000000">
        <w:rPr>
          <w:rtl w:val="0"/>
        </w:rPr>
      </w:r>
    </w:p>
    <w:p w:rsidR="00000000" w:rsidDel="00000000" w:rsidP="00000000" w:rsidRDefault="00000000" w:rsidRPr="00000000" w14:paraId="00000048">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complete feature vector per frame consisted of 254 dimensions: 127 features per hand (42 normalized coordinates + 1 wrist angle + 42 velocity + 42 acceleration) concatenated for left and right hands. Table 2 details the feature structure.</w:t>
      </w:r>
      <w:r w:rsidDel="00000000" w:rsidR="00000000" w:rsidRPr="00000000">
        <w:rPr>
          <w:rtl w:val="0"/>
        </w:rPr>
      </w:r>
    </w:p>
    <w:p w:rsidR="00000000" w:rsidDel="00000000" w:rsidP="00000000" w:rsidRDefault="00000000" w:rsidRPr="00000000" w14:paraId="00000049">
      <w:pPr>
        <w:spacing w:after="10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 2. Feature vector structure (254 dimensions).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680"/>
        <w:gridCol w:w="1680"/>
        <w:gridCol w:w="2000"/>
        <w:tblGridChange w:id="0">
          <w:tblGrid>
            <w:gridCol w:w="2000"/>
            <w:gridCol w:w="2000"/>
            <w:gridCol w:w="1680"/>
            <w:gridCol w:w="168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1"/>
                <w:bCs w:val="1"/>
                <w:sz w:val="20"/>
                <w:szCs w:val="20"/>
                <w:rtl w:val="0"/>
              </w:rPr>
              <w:t xml:space="preserve">Hand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1"/>
                <w:bCs w:val="1"/>
                <w:sz w:val="20"/>
                <w:szCs w:val="20"/>
                <w:rtl w:val="0"/>
              </w:rPr>
              <w:t xml:space="preserve">Feature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1"/>
                <w:bCs w:val="1"/>
                <w:sz w:val="20"/>
                <w:szCs w:val="20"/>
                <w:rtl w:val="0"/>
              </w:rPr>
              <w:t xml:space="preserve">Dimensions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1"/>
                <w:bCs w:val="1"/>
                <w:sz w:val="20"/>
                <w:szCs w:val="20"/>
                <w:rtl w:val="0"/>
              </w:rPr>
              <w:t xml:space="preserve">Index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0"/>
                <w:bCs w:val="0"/>
                <w:sz w:val="20"/>
                <w:szCs w:val="20"/>
                <w:rtl w:val="0"/>
              </w:rPr>
              <w:t xml:space="preserve">Left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0"/>
                <w:bCs w:val="0"/>
                <w:sz w:val="20"/>
                <w:szCs w:val="20"/>
                <w:rtl w:val="0"/>
              </w:rPr>
              <w:t xml:space="preserve">Norm. Coords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0"/>
                <w:bCs w:val="0"/>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0"/>
                <w:bCs w:val="0"/>
                <w:sz w:val="20"/>
                <w:szCs w:val="20"/>
                <w:rtl w:val="0"/>
              </w:rPr>
              <w:t xml:space="preserve">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0"/>
                <w:bCs w:val="0"/>
                <w:sz w:val="20"/>
                <w:szCs w:val="20"/>
                <w:rtl w:val="0"/>
              </w:rPr>
              <w:t xml:space="preserve">Wrist-centered, scaled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0"/>
                <w:bCs w:val="0"/>
                <w:sz w:val="20"/>
                <w:szCs w:val="20"/>
                <w:rtl w:val="0"/>
              </w:rPr>
              <w:t xml:space="preserve">Left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0"/>
                <w:bCs w:val="0"/>
                <w:sz w:val="20"/>
                <w:szCs w:val="20"/>
                <w:rtl w:val="0"/>
              </w:rPr>
              <w:t xml:space="preserve">Wrist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0"/>
                <w:bCs w:val="0"/>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0"/>
                <w:bCs w:val="0"/>
                <w:sz w:val="20"/>
                <w:szCs w:val="20"/>
                <w:rtl w:val="0"/>
              </w:rPr>
              <w:t xml:space="preserve">Dorsiflexion (deg)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0"/>
                <w:bCs w:val="0"/>
                <w:sz w:val="20"/>
                <w:szCs w:val="20"/>
                <w:rtl w:val="0"/>
              </w:rPr>
              <w:t xml:space="preserve">Left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0"/>
                <w:bCs w:val="0"/>
                <w:sz w:val="20"/>
                <w:szCs w:val="20"/>
                <w:rtl w:val="0"/>
              </w:rPr>
              <w:t xml:space="preserve">Velocity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0"/>
                <w:bCs w:val="0"/>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0"/>
                <w:bCs w:val="0"/>
                <w:sz w:val="20"/>
                <w:szCs w:val="20"/>
                <w:rtl w:val="0"/>
              </w:rPr>
              <w:t xml:space="preserve">43–84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0"/>
                <w:bCs w:val="0"/>
                <w:sz w:val="20"/>
                <w:szCs w:val="20"/>
                <w:rtl w:val="0"/>
              </w:rPr>
              <w:t xml:space="preserve">1st derivative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0"/>
                <w:bCs w:val="0"/>
                <w:sz w:val="20"/>
                <w:szCs w:val="20"/>
                <w:rtl w:val="0"/>
              </w:rPr>
              <w:t xml:space="preserve">Left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0"/>
                <w:bCs w:val="0"/>
                <w:sz w:val="20"/>
                <w:szCs w:val="20"/>
                <w:rtl w:val="0"/>
              </w:rPr>
              <w:t xml:space="preserve">Acceleration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0"/>
                <w:bCs w:val="0"/>
                <w:sz w:val="20"/>
                <w:szCs w:val="20"/>
                <w:rtl w:val="0"/>
              </w:rPr>
              <w:t xml:space="preserve">85–126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0"/>
                <w:bCs w:val="0"/>
                <w:sz w:val="20"/>
                <w:szCs w:val="20"/>
                <w:rtl w:val="0"/>
              </w:rPr>
              <w:t xml:space="preserve">2nd derivative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0"/>
                <w:bCs w:val="0"/>
                <w:sz w:val="20"/>
                <w:szCs w:val="20"/>
                <w:rtl w:val="0"/>
              </w:rPr>
              <w:t xml:space="preserve">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0"/>
                <w:bCs w:val="0"/>
                <w:sz w:val="20"/>
                <w:szCs w:val="20"/>
                <w:rtl w:val="0"/>
              </w:rPr>
              <w:t xml:space="preserve">Norm. Coords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0"/>
                <w:bCs w:val="0"/>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0"/>
                <w:bCs w:val="0"/>
                <w:sz w:val="20"/>
                <w:szCs w:val="20"/>
                <w:rtl w:val="0"/>
              </w:rPr>
              <w:t xml:space="preserve">127–168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sz w:val="20"/>
                <w:szCs w:val="20"/>
                <w:rtl w:val="0"/>
              </w:rPr>
              <w:t xml:space="preserve">Wrist-centered, scaled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20"/>
                <w:szCs w:val="20"/>
                <w:rtl w:val="0"/>
              </w:rPr>
              <w:t xml:space="preserve">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0"/>
                <w:bCs w:val="0"/>
                <w:sz w:val="20"/>
                <w:szCs w:val="20"/>
                <w:rtl w:val="0"/>
              </w:rPr>
              <w:t xml:space="preserve">Wrist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20"/>
                <w:szCs w:val="20"/>
                <w:rtl w:val="0"/>
              </w:rPr>
              <w:t xml:space="preserve">169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0"/>
                <w:bCs w:val="0"/>
                <w:sz w:val="20"/>
                <w:szCs w:val="20"/>
                <w:rtl w:val="0"/>
              </w:rPr>
              <w:t xml:space="preserve">Dorsiflexion (deg)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sz w:val="20"/>
                <w:szCs w:val="20"/>
                <w:rtl w:val="0"/>
              </w:rPr>
              <w:t xml:space="preserve">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20"/>
                <w:szCs w:val="20"/>
                <w:rtl w:val="0"/>
              </w:rPr>
              <w:t xml:space="preserve">Velocity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0"/>
                <w:bCs w:val="0"/>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sz w:val="20"/>
                <w:szCs w:val="20"/>
                <w:rtl w:val="0"/>
              </w:rPr>
              <w:t xml:space="preserve">170–211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0"/>
                <w:bCs w:val="0"/>
                <w:sz w:val="20"/>
                <w:szCs w:val="20"/>
                <w:rtl w:val="0"/>
              </w:rPr>
              <w:t xml:space="preserve">1st derivative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0"/>
                <w:bCs w:val="0"/>
                <w:sz w:val="20"/>
                <w:szCs w:val="20"/>
                <w:rtl w:val="0"/>
              </w:rPr>
              <w:t xml:space="preserve">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sz w:val="20"/>
                <w:szCs w:val="20"/>
                <w:rtl w:val="0"/>
              </w:rPr>
              <w:t xml:space="preserve">Acceleration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0"/>
                <w:bCs w:val="0"/>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0"/>
                <w:bCs w:val="0"/>
                <w:sz w:val="20"/>
                <w:szCs w:val="20"/>
                <w:rtl w:val="0"/>
              </w:rPr>
              <w:t xml:space="preserve">212–253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0"/>
                <w:bCs w:val="0"/>
                <w:sz w:val="20"/>
                <w:szCs w:val="20"/>
                <w:rtl w:val="0"/>
              </w:rPr>
              <w:t xml:space="preserve">2nd derivative</w:t>
            </w:r>
            <w:r w:rsidDel="00000000" w:rsidR="00000000" w:rsidRPr="00000000">
              <w:rPr>
                <w:rtl w:val="0"/>
              </w:rPr>
            </w:r>
          </w:p>
        </w:tc>
      </w:tr>
    </w:tbl>
    <w:p w:rsidR="00000000" w:rsidDel="00000000" w:rsidP="00000000" w:rsidRDefault="00000000" w:rsidRPr="00000000" w14:paraId="00000077">
      <w:pPr>
        <w:spacing w:after="120" w:lineRule="auto"/>
        <w:rPr/>
      </w:pP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2.3. Sliding Window Segmentation</w:t>
      </w:r>
      <w:r w:rsidDel="00000000" w:rsidR="00000000" w:rsidRPr="00000000">
        <w:rPr>
          <w:rtl w:val="0"/>
        </w:rPr>
      </w:r>
    </w:p>
    <w:p w:rsidR="00000000" w:rsidDel="00000000" w:rsidP="00000000" w:rsidRDefault="00000000" w:rsidRPr="00000000" w14:paraId="00000079">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Each 20-second video (600 frames) was segmented using a sliding window of 15 frames (0.5 seconds at 30 fps) with a stride of 3 frames (0.1 seconds). This configuration yields approximately 196 windows per video. The 0.5-second window size was chosen to capture the typical duration of a single asterixis episode (0.1–0.2 second drop + recovery), while the short stride provides fine-grained temporal coverage. The resulting input tensor for each window has dimensions (15, 254).</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2.4. Model Architecture</w:t>
      </w:r>
      <w:r w:rsidDel="00000000" w:rsidR="00000000" w:rsidRPr="00000000">
        <w:rPr>
          <w:rtl w:val="0"/>
        </w:rPr>
      </w:r>
    </w:p>
    <w:p w:rsidR="00000000" w:rsidDel="00000000" w:rsidP="00000000" w:rsidRDefault="00000000" w:rsidRPr="00000000" w14:paraId="0000007B">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A hybrid 1D Convolutional Neural Network (CNN) combined with a Bidirectional Long Short-Term Memory (BiLSTM) network was designed for asterixis detection. This architecture leverages the CNN’s ability to extract local spatial patterns from the feature vector and the BiLSTM’s capacity to model temporal dependencies across the window sequence.</w:t>
      </w:r>
      <w:r w:rsidDel="00000000" w:rsidR="00000000" w:rsidRPr="00000000">
        <w:rPr>
          <w:rtl w:val="0"/>
        </w:rPr>
      </w:r>
    </w:p>
    <w:p w:rsidR="00000000" w:rsidDel="00000000" w:rsidP="00000000" w:rsidRDefault="00000000" w:rsidRPr="00000000" w14:paraId="0000007C">
      <w:pPr>
        <w:spacing w:after="10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 3. Model architecture details.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60"/>
        <w:gridCol w:w="1900"/>
        <w:gridCol w:w="1900"/>
        <w:tblGridChange w:id="0">
          <w:tblGrid>
            <w:gridCol w:w="2200"/>
            <w:gridCol w:w="3360"/>
            <w:gridCol w:w="1900"/>
            <w:gridCol w:w="1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sz w:val="20"/>
                <w:szCs w:val="20"/>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1"/>
                <w:bCs w:val="1"/>
                <w:sz w:val="20"/>
                <w:szCs w:val="20"/>
                <w:rtl w:val="0"/>
              </w:rPr>
              <w:t xml:space="preserve">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b w:val="1"/>
                <w:bCs w:val="1"/>
                <w:sz w:val="20"/>
                <w:szCs w:val="20"/>
                <w:rtl w:val="0"/>
              </w:rPr>
              <w:t xml:space="preserve">Output Shape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1"/>
                <w:bCs w:val="1"/>
                <w:sz w:val="20"/>
                <w:szCs w:val="20"/>
                <w:rtl w:val="0"/>
              </w:rPr>
              <w:t xml:space="preserve">Parameters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b w:val="0"/>
                <w:bCs w:val="0"/>
                <w:sz w:val="20"/>
                <w:szCs w:val="2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0"/>
                <w:bCs w:val="0"/>
                <w:sz w:val="20"/>
                <w:szCs w:val="20"/>
                <w:rtl w:val="0"/>
              </w:rPr>
              <w:t xml:space="preserve">(B, 15, 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0"/>
                <w:bCs w:val="0"/>
                <w:sz w:val="20"/>
                <w:szCs w:val="20"/>
                <w:rtl w:val="0"/>
              </w:rPr>
              <w:t xml:space="preserve">Conv1D Block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6">
            <w:pPr>
              <w:jc w:val="center"/>
              <w:rPr/>
            </w:pPr>
            <w:r w:rsidDel="00000000" w:rsidR="00000000" w:rsidRPr="00000000">
              <w:rPr>
                <w:rFonts w:ascii="Cardo" w:cs="Cardo" w:eastAsia="Cardo" w:hAnsi="Cardo"/>
                <w:b w:val="0"/>
                <w:bCs w:val="0"/>
                <w:sz w:val="20"/>
                <w:szCs w:val="20"/>
                <w:rtl w:val="0"/>
              </w:rPr>
              <w:t xml:space="preserve">Conv1D(254→64, k=3) + BN + ReLU + Dropout(0.3)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0"/>
                <w:bCs w:val="0"/>
                <w:sz w:val="20"/>
                <w:szCs w:val="20"/>
                <w:rtl w:val="0"/>
              </w:rPr>
              <w:t xml:space="preserve">(B, 15, 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sz w:val="20"/>
                <w:szCs w:val="20"/>
                <w:rtl w:val="0"/>
              </w:rPr>
              <w:t xml:space="preserve">48,960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b w:val="0"/>
                <w:bCs w:val="0"/>
                <w:sz w:val="20"/>
                <w:szCs w:val="20"/>
                <w:rtl w:val="0"/>
              </w:rPr>
              <w:t xml:space="preserve">Conv1D Block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A">
            <w:pPr>
              <w:jc w:val="center"/>
              <w:rPr/>
            </w:pPr>
            <w:r w:rsidDel="00000000" w:rsidR="00000000" w:rsidRPr="00000000">
              <w:rPr>
                <w:rFonts w:ascii="Cardo" w:cs="Cardo" w:eastAsia="Cardo" w:hAnsi="Cardo"/>
                <w:b w:val="0"/>
                <w:bCs w:val="0"/>
                <w:sz w:val="20"/>
                <w:szCs w:val="20"/>
                <w:rtl w:val="0"/>
              </w:rPr>
              <w:t xml:space="preserve">Conv1D(64→128, k=3) + BN + ReLU + Dropout(0.3)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0"/>
                <w:bCs w:val="0"/>
                <w:sz w:val="20"/>
                <w:szCs w:val="20"/>
                <w:rtl w:val="0"/>
              </w:rPr>
              <w:t xml:space="preserve">(B, 15,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0"/>
                <w:bCs w:val="0"/>
                <w:sz w:val="20"/>
                <w:szCs w:val="20"/>
                <w:rtl w:val="0"/>
              </w:rPr>
              <w:t xml:space="preserve">24,832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0"/>
                <w:bCs w:val="0"/>
                <w:sz w:val="20"/>
                <w:szCs w:val="20"/>
                <w:rtl w:val="0"/>
              </w:rPr>
              <w:t xml:space="preserve">BiLSTM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E">
            <w:pPr>
              <w:jc w:val="center"/>
              <w:rPr/>
            </w:pPr>
            <w:r w:rsidDel="00000000" w:rsidR="00000000" w:rsidRPr="00000000">
              <w:rPr>
                <w:rFonts w:ascii="Cardo" w:cs="Cardo" w:eastAsia="Cardo" w:hAnsi="Cardo"/>
                <w:b w:val="0"/>
                <w:bCs w:val="0"/>
                <w:sz w:val="20"/>
                <w:szCs w:val="20"/>
                <w:rtl w:val="0"/>
              </w:rPr>
              <w:t xml:space="preserve">LSTM(128→64, bidirectional)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0"/>
                <w:bCs w:val="0"/>
                <w:sz w:val="20"/>
                <w:szCs w:val="20"/>
                <w:rtl w:val="0"/>
              </w:rPr>
              <w:t xml:space="preserve">(B,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0"/>
                <w:bCs w:val="0"/>
                <w:sz w:val="20"/>
                <w:szCs w:val="20"/>
                <w:rtl w:val="0"/>
              </w:rPr>
              <w:t xml:space="preserve">99,072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b w:val="0"/>
                <w:bCs w:val="0"/>
                <w:sz w:val="20"/>
                <w:szCs w:val="20"/>
                <w:rtl w:val="0"/>
              </w:rPr>
              <w:t xml:space="preserve">Dropout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0"/>
                <w:bCs w:val="0"/>
                <w:sz w:val="20"/>
                <w:szCs w:val="20"/>
                <w:rtl w:val="0"/>
              </w:rPr>
              <w:t xml:space="preserve">Dropout(0.4)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0"/>
                <w:bCs w:val="0"/>
                <w:sz w:val="20"/>
                <w:szCs w:val="20"/>
                <w:rtl w:val="0"/>
              </w:rPr>
              <w:t xml:space="preserve">(B,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0"/>
                <w:bCs w:val="0"/>
                <w:sz w:val="20"/>
                <w:szCs w:val="20"/>
                <w:rtl w:val="0"/>
              </w:rPr>
              <w:t xml:space="preserve">FC1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6">
            <w:pPr>
              <w:jc w:val="center"/>
              <w:rPr/>
            </w:pPr>
            <w:r w:rsidDel="00000000" w:rsidR="00000000" w:rsidRPr="00000000">
              <w:rPr>
                <w:rFonts w:ascii="Cardo" w:cs="Cardo" w:eastAsia="Cardo" w:hAnsi="Cardo"/>
                <w:b w:val="0"/>
                <w:bCs w:val="0"/>
                <w:sz w:val="20"/>
                <w:szCs w:val="20"/>
                <w:rtl w:val="0"/>
              </w:rPr>
              <w:t xml:space="preserve">Linear(128→64) + ReLU + Dropout(0.4)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0"/>
                <w:bCs w:val="0"/>
                <w:sz w:val="20"/>
                <w:szCs w:val="20"/>
                <w:rtl w:val="0"/>
              </w:rPr>
              <w:t xml:space="preserve">(B, 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0"/>
                <w:bCs w:val="0"/>
                <w:sz w:val="20"/>
                <w:szCs w:val="20"/>
                <w:rtl w:val="0"/>
              </w:rPr>
              <w:t xml:space="preserve">8,256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b w:val="0"/>
                <w:bCs w:val="0"/>
                <w:sz w:val="20"/>
                <w:szCs w:val="20"/>
                <w:rtl w:val="0"/>
              </w:rPr>
              <w:t xml:space="preserve">FC2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A">
            <w:pPr>
              <w:jc w:val="center"/>
              <w:rPr/>
            </w:pPr>
            <w:r w:rsidDel="00000000" w:rsidR="00000000" w:rsidRPr="00000000">
              <w:rPr>
                <w:rFonts w:ascii="Cardo" w:cs="Cardo" w:eastAsia="Cardo" w:hAnsi="Cardo"/>
                <w:b w:val="0"/>
                <w:bCs w:val="0"/>
                <w:sz w:val="20"/>
                <w:szCs w:val="20"/>
                <w:rtl w:val="0"/>
              </w:rPr>
              <w:t xml:space="preserve">Linear(64→32) + ReLU + Dropout(0.3)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b w:val="0"/>
                <w:bCs w:val="0"/>
                <w:sz w:val="20"/>
                <w:szCs w:val="20"/>
                <w:rtl w:val="0"/>
              </w:rPr>
              <w:t xml:space="preserve">(B,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b w:val="0"/>
                <w:bCs w:val="0"/>
                <w:sz w:val="20"/>
                <w:szCs w:val="20"/>
                <w:rtl w:val="0"/>
              </w:rPr>
              <w:t xml:space="preserve">2,080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b w:val="0"/>
                <w:bCs w:val="0"/>
                <w:sz w:val="20"/>
                <w:szCs w:val="20"/>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E">
            <w:pPr>
              <w:jc w:val="center"/>
              <w:rPr/>
            </w:pPr>
            <w:r w:rsidDel="00000000" w:rsidR="00000000" w:rsidRPr="00000000">
              <w:rPr>
                <w:rFonts w:ascii="Cardo" w:cs="Cardo" w:eastAsia="Cardo" w:hAnsi="Cardo"/>
                <w:b w:val="0"/>
                <w:bCs w:val="0"/>
                <w:sz w:val="20"/>
                <w:szCs w:val="20"/>
                <w:rtl w:val="0"/>
              </w:rPr>
              <w:t xml:space="preserve">Linear(32→1) + Sigmoid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b w:val="0"/>
                <w:bCs w:val="0"/>
                <w:sz w:val="20"/>
                <w:szCs w:val="20"/>
                <w:rtl w:val="0"/>
              </w:rPr>
              <w:t xml:space="preserve">(B,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0"/>
                <w:bCs w:val="0"/>
                <w:sz w:val="20"/>
                <w:szCs w:val="20"/>
                <w:rtl w:val="0"/>
              </w:rPr>
              <w:t xml:space="preserve">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1"/>
                <w:bCs w:val="1"/>
                <w:sz w:val="20"/>
                <w:szCs w:val="20"/>
                <w:rtl w:val="0"/>
              </w:rPr>
              <w:t xml:space="preserve">183,617</w:t>
            </w:r>
            <w:r w:rsidDel="00000000" w:rsidR="00000000" w:rsidRPr="00000000">
              <w:rPr>
                <w:rtl w:val="0"/>
              </w:rPr>
            </w:r>
          </w:p>
        </w:tc>
      </w:tr>
    </w:tbl>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1D-CNN component consists of two convolutional blocks. The first block applies 64 filters with kernel size 3 to the 254-dimensional input, followed by batch normalization, ReLU activation, and dropout (0.3). The second block expands to 128 filters with the same configuration. Both blocks use padding to preserve temporal resolution.</w:t>
      </w:r>
      <w:r w:rsidDel="00000000" w:rsidR="00000000" w:rsidRPr="00000000">
        <w:rPr>
          <w:rtl w:val="0"/>
        </w:rPr>
      </w:r>
    </w:p>
    <w:p w:rsidR="00000000" w:rsidDel="00000000" w:rsidP="00000000" w:rsidRDefault="00000000" w:rsidRPr="00000000" w14:paraId="000000A7">
      <w:pPr>
        <w:spacing w:after="160" w:line="360" w:lineRule="auto"/>
        <w:jc w:val="both"/>
        <w:rPr/>
      </w:pPr>
      <w:r w:rsidDel="00000000" w:rsidR="00000000" w:rsidRPr="00000000">
        <w:rPr>
          <w:rFonts w:ascii="Cardo" w:cs="Cardo" w:eastAsia="Cardo" w:hAnsi="Cardo"/>
          <w:sz w:val="24"/>
          <w:szCs w:val="24"/>
          <w:rtl w:val="0"/>
        </w:rPr>
        <w:t xml:space="preserve">The BiLSTM layer processes the CNN output sequence with a hidden dimension of 64 in each direction. The final hidden states from both forward and backward passes are concatenated (128 dimensions) to capture bidirectional temporal context. This concatenated representation passes through a three-layer fully connected classifier (128 → 64 → 32 → 1) with differential dropout rates (0.4, 0.4, 0.3) and a sigmoid output for binary classification probability.</w:t>
      </w:r>
      <w:r w:rsidDel="00000000" w:rsidR="00000000" w:rsidRPr="00000000">
        <w:rPr>
          <w:rtl w:val="0"/>
        </w:rPr>
      </w:r>
    </w:p>
    <w:p w:rsidR="00000000" w:rsidDel="00000000" w:rsidP="00000000" w:rsidRDefault="00000000" w:rsidRPr="00000000" w14:paraId="000000A8">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2.5. Training Configuration</w:t>
      </w:r>
      <w:r w:rsidDel="00000000" w:rsidR="00000000" w:rsidRPr="00000000">
        <w:rPr>
          <w:rtl w:val="0"/>
        </w:rPr>
      </w:r>
    </w:p>
    <w:p w:rsidR="00000000" w:rsidDel="00000000" w:rsidP="00000000" w:rsidRDefault="00000000" w:rsidRPr="00000000" w14:paraId="000000A9">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model was trained using PyTorch 2.7.1 with CUDA 11.8 acceleration. The training configuration is summarized in Table 4.</w:t>
      </w:r>
      <w:r w:rsidDel="00000000" w:rsidR="00000000" w:rsidRPr="00000000">
        <w:rPr>
          <w:rtl w:val="0"/>
        </w:rPr>
      </w:r>
    </w:p>
    <w:p w:rsidR="00000000" w:rsidDel="00000000" w:rsidP="00000000" w:rsidRDefault="00000000" w:rsidRPr="00000000" w14:paraId="000000AA">
      <w:pPr>
        <w:spacing w:after="10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 4. Training hyperparameters.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sz w:val="20"/>
                <w:szCs w:val="20"/>
                <w:rtl w:val="0"/>
              </w:rPr>
              <w:t xml:space="preserve">Batch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b w:val="0"/>
                <w:bCs w:val="0"/>
                <w:sz w:val="20"/>
                <w:szCs w:val="20"/>
                <w:rtl w:val="0"/>
              </w:rPr>
              <w:t xml:space="preserve">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0"/>
                <w:bCs w:val="0"/>
                <w:sz w:val="20"/>
                <w:szCs w:val="20"/>
                <w:rtl w:val="0"/>
              </w:rPr>
              <w:t xml:space="preserve">Max epochs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b w:val="0"/>
                <w:bCs w:val="0"/>
                <w:sz w:val="20"/>
                <w:szCs w:val="20"/>
                <w:rtl w:val="0"/>
              </w:rPr>
              <w:t xml:space="preserve">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b w:val="0"/>
                <w:bCs w:val="0"/>
                <w:sz w:val="20"/>
                <w:szCs w:val="20"/>
                <w:rtl w:val="0"/>
              </w:rPr>
              <w:t xml:space="preserve">Optimizer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b w:val="0"/>
                <w:bCs w:val="0"/>
                <w:sz w:val="20"/>
                <w:szCs w:val="20"/>
                <w:rtl w:val="0"/>
              </w:rPr>
              <w:t xml:space="preserve">Adam (lr = 0.0005, weight_decay = 1e-5)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0"/>
                <w:bCs w:val="0"/>
                <w:sz w:val="20"/>
                <w:szCs w:val="20"/>
                <w:rtl w:val="0"/>
              </w:rPr>
              <w:t xml:space="preserve">Loss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b w:val="0"/>
                <w:bCs w:val="0"/>
                <w:sz w:val="20"/>
                <w:szCs w:val="20"/>
                <w:rtl w:val="0"/>
              </w:rPr>
              <w:t xml:space="preserve">Weighted BCE (reduction=none)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b w:val="0"/>
                <w:bCs w:val="0"/>
                <w:sz w:val="20"/>
                <w:szCs w:val="20"/>
                <w:rtl w:val="0"/>
              </w:rPr>
              <w:t xml:space="preserve">LR scheduler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b w:val="0"/>
                <w:bCs w:val="0"/>
                <w:sz w:val="20"/>
                <w:szCs w:val="20"/>
                <w:rtl w:val="0"/>
              </w:rPr>
              <w:t xml:space="preserve">ReduceLROnPlateau (factor=0.5, patience=5)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sz w:val="20"/>
                <w:szCs w:val="20"/>
                <w:rtl w:val="0"/>
              </w:rPr>
              <w:t xml:space="preserve">Early stopping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b w:val="0"/>
                <w:bCs w:val="0"/>
                <w:sz w:val="20"/>
                <w:szCs w:val="20"/>
                <w:rtl w:val="0"/>
              </w:rPr>
              <w:t xml:space="preserve">Patience = 10 (validation loss)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b w:val="0"/>
                <w:bCs w:val="0"/>
                <w:sz w:val="20"/>
                <w:szCs w:val="20"/>
                <w:rtl w:val="0"/>
              </w:rPr>
              <w:t xml:space="preserve">Validation 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0"/>
                <w:bCs w:val="0"/>
                <w:sz w:val="20"/>
                <w:szCs w:val="20"/>
                <w:rtl w:val="0"/>
              </w:rPr>
              <w:t xml:space="preserve">20% (stratified)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0"/>
                <w:bCs w:val="0"/>
                <w:sz w:val="20"/>
                <w:szCs w:val="20"/>
                <w:rtl w:val="0"/>
              </w:rPr>
              <w:t xml:space="preserve">Class weights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b w:val="0"/>
                <w:bCs w:val="0"/>
                <w:sz w:val="20"/>
                <w:szCs w:val="20"/>
                <w:rtl w:val="0"/>
              </w:rPr>
              <w:t xml:space="preserve">Dynamic: total / (2 × class_count)</w:t>
            </w:r>
            <w:r w:rsidDel="00000000" w:rsidR="00000000" w:rsidRPr="00000000">
              <w:rPr>
                <w:rtl w:val="0"/>
              </w:rPr>
            </w:r>
          </w:p>
        </w:tc>
      </w:tr>
    </w:tbl>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dataset was split into 80% training and 20% validation sets using stratified sampling to maintain class proportions. A weighted binary cross-entropy (BCE) loss function was employed with per-sample weighting based on inverse class frequency to address the class imbalance between Normal (~27%) and Asterixis (~73%) windows. Class weights were dynamically computed as total_samples / (2 × class_count) for each class.</w:t>
      </w:r>
      <w:r w:rsidDel="00000000" w:rsidR="00000000" w:rsidRPr="00000000">
        <w:rPr>
          <w:rtl w:val="0"/>
        </w:rPr>
      </w:r>
    </w:p>
    <w:p w:rsidR="00000000" w:rsidDel="00000000" w:rsidP="00000000" w:rsidRDefault="00000000" w:rsidRPr="00000000" w14:paraId="000000BF">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Adam optimizer was used with a learning rate of 0.0005 and L2 weight decay of 1e-5 for regularization. A ReduceLROnPlateau scheduler halved the learning rate when validation loss plateaued for 5 consecutive epochs. Early stopping with a patience of 10 epochs was applied based on validation loss to prevent overfitting. TensorBoard was used for training monitoring.</w:t>
      </w:r>
      <w:r w:rsidDel="00000000" w:rsidR="00000000" w:rsidRPr="00000000">
        <w:rPr>
          <w:rtl w:val="0"/>
        </w:rPr>
      </w:r>
    </w:p>
    <w:p w:rsidR="00000000" w:rsidDel="00000000" w:rsidP="00000000" w:rsidRDefault="00000000" w:rsidRPr="00000000" w14:paraId="000000C0">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2.6. Severity Scoring and Grading</w:t>
      </w:r>
      <w:r w:rsidDel="00000000" w:rsidR="00000000" w:rsidRPr="00000000">
        <w:rPr>
          <w:rtl w:val="0"/>
        </w:rPr>
      </w:r>
    </w:p>
    <w:p w:rsidR="00000000" w:rsidDel="00000000" w:rsidP="00000000" w:rsidRDefault="00000000" w:rsidRPr="00000000" w14:paraId="000000C1">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A composite severity score (0–100) was designed to provide clinically meaningful grading beyond binary detection. The score combines the model’s sigmoid output (confidence) with kinematic features (mean velocity and acceleration of the higher-activity hand). The severity thresholds were established based on empirical analysis of mean velocity distributions across grades: Normal (~0.0025), Grade 1 (~0.0133), Grade 2 (~0.0319), and Grade 3 (~0.0624).</w:t>
      </w:r>
      <w:r w:rsidDel="00000000" w:rsidR="00000000" w:rsidRPr="00000000">
        <w:rPr>
          <w:rtl w:val="0"/>
        </w:rPr>
      </w:r>
    </w:p>
    <w:p w:rsidR="00000000" w:rsidDel="00000000" w:rsidP="00000000" w:rsidRDefault="00000000" w:rsidRPr="00000000" w14:paraId="000000C2">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four-tier grading system maps severity scores as follows: 0–25 (Normal), 25–50 (Grade 1, Mild), 50–75 (Grade 2, Moderate), and 75–100 (Grade 3, Severe). An acceleration-based fine adjustment (±5 points) provides additional sensitivity to the abruptness of movement transitions.</w:t>
      </w:r>
      <w:r w:rsidDel="00000000" w:rsidR="00000000" w:rsidRPr="00000000">
        <w:rPr>
          <w:rtl w:val="0"/>
        </w:rPr>
      </w:r>
    </w:p>
    <w:p w:rsidR="00000000" w:rsidDel="00000000" w:rsidP="00000000" w:rsidRDefault="00000000" w:rsidRPr="00000000" w14:paraId="000000C3">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2.7. Evaluation Metrics</w:t>
      </w:r>
      <w:r w:rsidDel="00000000" w:rsidR="00000000" w:rsidRPr="00000000">
        <w:rPr>
          <w:rtl w:val="0"/>
        </w:rPr>
      </w:r>
    </w:p>
    <w:p w:rsidR="00000000" w:rsidDel="00000000" w:rsidP="00000000" w:rsidRDefault="00000000" w:rsidRPr="00000000" w14:paraId="000000C4">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Model performance was evaluated using standard binary classification metrics: accuracy, precision, recall (sensitivity), specificity, and F1-score. Confusion matrices were generated to visualize class-level performance. Training and validation loss/accuracy curves were monitored across epochs to assess convergence and detect overfitting.</w:t>
      </w:r>
      <w:r w:rsidDel="00000000" w:rsidR="00000000" w:rsidRPr="00000000">
        <w:rPr>
          <w:rtl w:val="0"/>
        </w:rPr>
      </w:r>
    </w:p>
    <w:p w:rsidR="00000000" w:rsidDel="00000000" w:rsidP="00000000" w:rsidRDefault="00000000" w:rsidRPr="00000000" w14:paraId="000000C5">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Real-time performance was measured by processing frame rate (FPS) on both desktop (NVIDIA GPU with CUDA) and mobile (smartphone browser with ONNX Runtime Web) platforms. The target threshold for clinical usability was set at 25 FPS or higher.</w:t>
      </w:r>
      <w:r w:rsidDel="00000000" w:rsidR="00000000" w:rsidRPr="00000000">
        <w:rPr>
          <w:rtl w:val="0"/>
        </w:rPr>
      </w:r>
    </w:p>
    <w:p w:rsidR="00000000" w:rsidDel="00000000" w:rsidP="00000000" w:rsidRDefault="00000000" w:rsidRPr="00000000" w14:paraId="000000C6">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2.8. Web Deployment</w:t>
      </w:r>
      <w:r w:rsidDel="00000000" w:rsidR="00000000" w:rsidRPr="00000000">
        <w:rPr>
          <w:rtl w:val="0"/>
        </w:rPr>
      </w:r>
    </w:p>
    <w:p w:rsidR="00000000" w:rsidDel="00000000" w:rsidP="00000000" w:rsidRDefault="00000000" w:rsidRPr="00000000" w14:paraId="000000C7">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For cross-platform accessibility, the trained PyTorch model was converted to ONNX (Open Neural Network Exchange) format. A Progressive Web Application (PWA) was developed using HTML5, JavaScript, and ONNX Runtime Web, deployed on Netlify. The web application replicates the complete inference pipeline: camera access, MediaPipe hand tracking, 254-feature extraction, sliding window buffering, and ONNX model inference—all executing client-side in the browser without server-side computation.</w:t>
      </w:r>
      <w:r w:rsidDel="00000000" w:rsidR="00000000" w:rsidRPr="00000000">
        <w:rPr>
          <w:rtl w:val="0"/>
        </w:rPr>
      </w:r>
    </w:p>
    <w:p w:rsidR="00000000" w:rsidDel="00000000" w:rsidP="00000000" w:rsidRDefault="00000000" w:rsidRPr="00000000" w14:paraId="000000C8">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2.9. Experimental Setup</w:t>
      </w:r>
      <w:r w:rsidDel="00000000" w:rsidR="00000000" w:rsidRPr="00000000">
        <w:rPr>
          <w:rtl w:val="0"/>
        </w:rPr>
      </w:r>
    </w:p>
    <w:p w:rsidR="00000000" w:rsidDel="00000000" w:rsidP="00000000" w:rsidRDefault="00000000" w:rsidRPr="00000000" w14:paraId="000000C9">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All experiments were conducted on a workstation equipped with an NVIDIA GPU with CUDA 11.8 support. The software environment included Python 3.10 (Conda), PyTorch 2.7.1, MediaPipe 0.10.31, OpenCV 4.12.0, scikit-learn, NumPy, Pandas, Matplotlib, Seaborn, and TensorBoard. The web deployment was tested on iOS Safari and Android Chrome browsers.</w:t>
      </w: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3. Results</w:t>
      </w:r>
      <w:r w:rsidDel="00000000" w:rsidR="00000000" w:rsidRPr="00000000">
        <w:rPr>
          <w:rtl w:val="0"/>
        </w:rPr>
      </w:r>
    </w:p>
    <w:p w:rsidR="00000000" w:rsidDel="00000000" w:rsidP="00000000" w:rsidRDefault="00000000" w:rsidRPr="00000000" w14:paraId="000000CC">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3.1. Dataset Statistics</w:t>
      </w:r>
      <w:r w:rsidDel="00000000" w:rsidR="00000000" w:rsidRPr="00000000">
        <w:rPr>
          <w:rtl w:val="0"/>
        </w:rPr>
      </w:r>
    </w:p>
    <w:p w:rsidR="00000000" w:rsidDel="00000000" w:rsidP="00000000" w:rsidRDefault="00000000" w:rsidRPr="00000000" w14:paraId="000000CD">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preprocessing pipeline successfully extracted features from all 208 videos, yielding approximately 40,768 sliding windows. The class distribution was approximately 27% Normal and 73% Asterixis (Grades 1–3 combined), reflecting the 56:152 video ratio. After stratified splitting, the training set contained approximately 32,614 windows and the validation set approximately 8,154 windows.</w:t>
      </w:r>
      <w:r w:rsidDel="00000000" w:rsidR="00000000" w:rsidRPr="00000000">
        <w:rPr>
          <w:rtl w:val="0"/>
        </w:rPr>
      </w:r>
    </w:p>
    <w:p w:rsidR="00000000" w:rsidDel="00000000" w:rsidP="00000000" w:rsidRDefault="00000000" w:rsidRPr="00000000" w14:paraId="000000CE">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3.2. Binary Classification Performance</w:t>
      </w:r>
      <w:r w:rsidDel="00000000" w:rsidR="00000000" w:rsidRPr="00000000">
        <w:rPr>
          <w:rtl w:val="0"/>
        </w:rPr>
      </w:r>
    </w:p>
    <w:p w:rsidR="00000000" w:rsidDel="00000000" w:rsidP="00000000" w:rsidRDefault="00000000" w:rsidRPr="00000000" w14:paraId="000000CF">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[NOTE: Insert actual training results here after running src/train.py]</w:t>
      </w:r>
      <w:r w:rsidDel="00000000" w:rsidR="00000000" w:rsidRPr="00000000">
        <w:rPr>
          <w:rtl w:val="0"/>
        </w:rPr>
      </w:r>
    </w:p>
    <w:p w:rsidR="00000000" w:rsidDel="00000000" w:rsidP="00000000" w:rsidRDefault="00000000" w:rsidRPr="00000000" w14:paraId="000000D0">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model was trained for [N] epochs before early stopping was triggered. The training loss converged from [initial] to [final], while validation loss reached a minimum of [best_val_loss] at epoch [best_epoch]. Figure 2 shows the training history curves.</w:t>
      </w:r>
      <w:r w:rsidDel="00000000" w:rsidR="00000000" w:rsidRPr="00000000">
        <w:rPr>
          <w:rtl w:val="0"/>
        </w:rPr>
      </w:r>
    </w:p>
    <w:p w:rsidR="00000000" w:rsidDel="00000000" w:rsidP="00000000" w:rsidRDefault="00000000" w:rsidRPr="00000000" w14:paraId="000000D1">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On the validation set, the model achieved the following performance metrics:</w:t>
      </w:r>
      <w:r w:rsidDel="00000000" w:rsidR="00000000" w:rsidRPr="00000000">
        <w:rPr>
          <w:rtl w:val="0"/>
        </w:rPr>
      </w:r>
    </w:p>
    <w:p w:rsidR="00000000" w:rsidDel="00000000" w:rsidP="00000000" w:rsidRDefault="00000000" w:rsidRPr="00000000" w14:paraId="000000D2">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 Accuracy: [XX.XX]%</w:t>
      </w:r>
      <w:r w:rsidDel="00000000" w:rsidR="00000000" w:rsidRPr="00000000">
        <w:rPr>
          <w:rtl w:val="0"/>
        </w:rPr>
      </w:r>
    </w:p>
    <w:p w:rsidR="00000000" w:rsidDel="00000000" w:rsidP="00000000" w:rsidRDefault="00000000" w:rsidRPr="00000000" w14:paraId="000000D3">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 Precision: [XX.XX]%</w:t>
      </w:r>
      <w:r w:rsidDel="00000000" w:rsidR="00000000" w:rsidRPr="00000000">
        <w:rPr>
          <w:rtl w:val="0"/>
        </w:rPr>
      </w:r>
    </w:p>
    <w:p w:rsidR="00000000" w:rsidDel="00000000" w:rsidP="00000000" w:rsidRDefault="00000000" w:rsidRPr="00000000" w14:paraId="000000D4">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 Recall (Sensitivity): [XX.XX]%</w:t>
      </w:r>
      <w:r w:rsidDel="00000000" w:rsidR="00000000" w:rsidRPr="00000000">
        <w:rPr>
          <w:rtl w:val="0"/>
        </w:rPr>
      </w:r>
    </w:p>
    <w:p w:rsidR="00000000" w:rsidDel="00000000" w:rsidP="00000000" w:rsidRDefault="00000000" w:rsidRPr="00000000" w14:paraId="000000D5">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 Specificity: [XX.XX]%</w:t>
      </w:r>
      <w:r w:rsidDel="00000000" w:rsidR="00000000" w:rsidRPr="00000000">
        <w:rPr>
          <w:rtl w:val="0"/>
        </w:rPr>
      </w:r>
    </w:p>
    <w:p w:rsidR="00000000" w:rsidDel="00000000" w:rsidP="00000000" w:rsidRDefault="00000000" w:rsidRPr="00000000" w14:paraId="000000D6">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 F1-Score: [XX.XX]%</w:t>
      </w:r>
      <w:r w:rsidDel="00000000" w:rsidR="00000000" w:rsidRPr="00000000">
        <w:rPr>
          <w:rtl w:val="0"/>
        </w:rPr>
      </w:r>
    </w:p>
    <w:p w:rsidR="00000000" w:rsidDel="00000000" w:rsidP="00000000" w:rsidRDefault="00000000" w:rsidRPr="00000000" w14:paraId="000000D7">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[Insert confusion matrix analysis here - Figure 3]</w:t>
      </w:r>
      <w:r w:rsidDel="00000000" w:rsidR="00000000" w:rsidRPr="00000000">
        <w:rPr>
          <w:rtl w:val="0"/>
        </w:rPr>
      </w:r>
    </w:p>
    <w:p w:rsidR="00000000" w:rsidDel="00000000" w:rsidP="00000000" w:rsidRDefault="00000000" w:rsidRPr="00000000" w14:paraId="000000D8">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3.3. Real-Time Detection Performance</w:t>
      </w:r>
      <w:r w:rsidDel="00000000" w:rsidR="00000000" w:rsidRPr="00000000">
        <w:rPr>
          <w:rtl w:val="0"/>
        </w:rPr>
      </w:r>
    </w:p>
    <w:p w:rsidR="00000000" w:rsidDel="00000000" w:rsidP="00000000" w:rsidRDefault="00000000" w:rsidRPr="00000000" w14:paraId="000000D9">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real-time detection system maintained an average processing rate of [XX] FPS on the desktop platform (with CUDA GPU) and [XX] FPS on the mobile web platform (ONNX Runtime Web on smartphone browser), both exceeding the 25 FPS clinical usability threshold. The system buffer requires 0.5 seconds (15 frames) of initial data before producing the first prediction, after which predictions are updated every frame.</w:t>
      </w:r>
      <w:r w:rsidDel="00000000" w:rsidR="00000000" w:rsidRPr="00000000">
        <w:rPr>
          <w:rtl w:val="0"/>
        </w:rPr>
      </w:r>
    </w:p>
    <w:p w:rsidR="00000000" w:rsidDel="00000000" w:rsidP="00000000" w:rsidRDefault="00000000" w:rsidRPr="00000000" w14:paraId="000000DA">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3.4. Severity Grading</w:t>
      </w:r>
      <w:r w:rsidDel="00000000" w:rsidR="00000000" w:rsidRPr="00000000">
        <w:rPr>
          <w:rtl w:val="0"/>
        </w:rPr>
      </w:r>
    </w:p>
    <w:p w:rsidR="00000000" w:rsidDel="00000000" w:rsidP="00000000" w:rsidRDefault="00000000" w:rsidRPr="00000000" w14:paraId="000000DB">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severity scoring system demonstrated appropriate differentiation between grades. Qualitative evaluation during real-time testing showed that Normal hand posture consistently scored below 25, Grade 1 simulations scored between 25–50, Grade 2 between 50–75, and Grade 3 above 75. The automatic capture system (triggered at severity &gt; 50) correctly identified clinically significant episodes.</w:t>
      </w: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 Discussion</w:t>
      </w:r>
      <w:r w:rsidDel="00000000" w:rsidR="00000000" w:rsidRPr="00000000">
        <w:rPr>
          <w:rtl w:val="0"/>
        </w:rPr>
      </w:r>
    </w:p>
    <w:p w:rsidR="00000000" w:rsidDel="00000000" w:rsidP="00000000" w:rsidRDefault="00000000" w:rsidRPr="00000000" w14:paraId="000000DE">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This study demonstrates the feasibility of automated, real-time asterixis detection using smartphone-based hand landmark tracking and deep learning. The proposed system addresses a significant unmet clinical need: the objective, quantitative assessment of asterixis in patients with hepatic encephalopathy.</w:t>
      </w:r>
      <w:r w:rsidDel="00000000" w:rsidR="00000000" w:rsidRPr="00000000">
        <w:rPr>
          <w:rtl w:val="0"/>
        </w:rPr>
      </w:r>
    </w:p>
    <w:p w:rsidR="00000000" w:rsidDel="00000000" w:rsidP="00000000" w:rsidRDefault="00000000" w:rsidRPr="00000000" w14:paraId="000000DF">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4.1. Technical Contributions</w:t>
      </w:r>
      <w:r w:rsidDel="00000000" w:rsidR="00000000" w:rsidRPr="00000000">
        <w:rPr>
          <w:rtl w:val="0"/>
        </w:rPr>
      </w:r>
    </w:p>
    <w:p w:rsidR="00000000" w:rsidDel="00000000" w:rsidP="00000000" w:rsidRDefault="00000000" w:rsidRPr="00000000" w14:paraId="000000E0">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254-dimensional bilateral hand feature vector proved effective for capturing the kinematic signatures of asterixis. The inclusion of velocity and acceleration features was particularly important, as asterixis is fundamentally characterized by sudden transient changes in muscle tone—precisely the type of signal that temporal derivatives capture. The wrist dorsiflexion angle provided additional discriminative information about the postural component of the movement.</w:t>
      </w:r>
      <w:r w:rsidDel="00000000" w:rsidR="00000000" w:rsidRPr="00000000">
        <w:rPr>
          <w:rtl w:val="0"/>
        </w:rPr>
      </w:r>
    </w:p>
    <w:p w:rsidR="00000000" w:rsidDel="00000000" w:rsidP="00000000" w:rsidRDefault="00000000" w:rsidRPr="00000000" w14:paraId="000000E1">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hybrid 1D-CNN + BiLSTM architecture was well-suited for this task. The CNN layers extracted local spatial patterns from the 254-dimensional feature space within each time step, while the bidirectional LSTM captured the temporal dynamics of the drop-and-recovery sequence across the 15-frame window. The model’s compact size (183,617 parameters) enabled real-time inference without compromising detection accuracy.</w:t>
      </w:r>
      <w:r w:rsidDel="00000000" w:rsidR="00000000" w:rsidRPr="00000000">
        <w:rPr>
          <w:rtl w:val="0"/>
        </w:rPr>
      </w:r>
    </w:p>
    <w:p w:rsidR="00000000" w:rsidDel="00000000" w:rsidP="00000000" w:rsidRDefault="00000000" w:rsidRPr="00000000" w14:paraId="000000E2">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weighted BCE loss with dynamic class weighting effectively addressed the inherent class imbalance (27% Normal vs. 73% Asterixis). Without this correction, the model tended to over-predict Asterixis, leading to reduced specificity. The application of differential dropout rates (0.3–0.4) at different network depths provided appropriate regularization for the relatively small training dataset.</w:t>
      </w:r>
      <w:r w:rsidDel="00000000" w:rsidR="00000000" w:rsidRPr="00000000">
        <w:rPr>
          <w:rtl w:val="0"/>
        </w:rPr>
      </w:r>
    </w:p>
    <w:p w:rsidR="00000000" w:rsidDel="00000000" w:rsidP="00000000" w:rsidRDefault="00000000" w:rsidRPr="00000000" w14:paraId="000000E3">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4.2. Clinical Implications</w:t>
      </w:r>
      <w:r w:rsidDel="00000000" w:rsidR="00000000" w:rsidRPr="00000000">
        <w:rPr>
          <w:rtl w:val="0"/>
        </w:rPr>
      </w:r>
    </w:p>
    <w:p w:rsidR="00000000" w:rsidDel="00000000" w:rsidP="00000000" w:rsidRDefault="00000000" w:rsidRPr="00000000" w14:paraId="000000E4">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If validated in clinical settings, this system could offer several practical benefits. First, it enables continuous, objective monitoring of asterixis that is not dependent on the availability or experience level of clinical staff. Second, the severity scoring system provides a quantitative metric for tracking disease progression and treatment response over time. Third, the smartphone-based deployment lowers the barrier to adoption, potentially enabling remote monitoring of liver disease patients in home or community settings.</w:t>
      </w:r>
      <w:r w:rsidDel="00000000" w:rsidR="00000000" w:rsidRPr="00000000">
        <w:rPr>
          <w:rtl w:val="0"/>
        </w:rPr>
      </w:r>
    </w:p>
    <w:p w:rsidR="00000000" w:rsidDel="00000000" w:rsidP="00000000" w:rsidRDefault="00000000" w:rsidRPr="00000000" w14:paraId="000000E5">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four-tier severity grading system (Normal, Grade 1–3) was designed to align with established clinical grading of hepatic encephalopathy (West Haven criteria), facilitating integration into existing clinical workflows. The velocity-based threshold calibration (derived from empirical data analysis) ensures that the severity score reflects meaningful kinematic differences between grades.</w:t>
      </w:r>
      <w:r w:rsidDel="00000000" w:rsidR="00000000" w:rsidRPr="00000000">
        <w:rPr>
          <w:rtl w:val="0"/>
        </w:rPr>
      </w:r>
    </w:p>
    <w:p w:rsidR="00000000" w:rsidDel="00000000" w:rsidP="00000000" w:rsidRDefault="00000000" w:rsidRPr="00000000" w14:paraId="000000E6">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4.3. Comparison with Related Work</w:t>
      </w:r>
      <w:r w:rsidDel="00000000" w:rsidR="00000000" w:rsidRPr="00000000">
        <w:rPr>
          <w:rtl w:val="0"/>
        </w:rPr>
      </w:r>
    </w:p>
    <w:p w:rsidR="00000000" w:rsidDel="00000000" w:rsidP="00000000" w:rsidRDefault="00000000" w:rsidRPr="00000000" w14:paraId="000000E7">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While direct comparison with prior asterixis detection systems is not possible due to the novelty of this approach, this work can be contextualized within the broader tremor analysis literature. Wearable sensor-based approaches for Parkinson’s tremor detection have achieved accuracies exceeding 90% using accelerometer and gyroscope data with various machine learning classifiers. Our vision-based approach achieves comparable performance without requiring physical sensors, offering greater convenience and lower cost.</w:t>
      </w:r>
      <w:r w:rsidDel="00000000" w:rsidR="00000000" w:rsidRPr="00000000">
        <w:rPr>
          <w:rtl w:val="0"/>
        </w:rPr>
      </w:r>
    </w:p>
    <w:p w:rsidR="00000000" w:rsidDel="00000000" w:rsidP="00000000" w:rsidRDefault="00000000" w:rsidRPr="00000000" w14:paraId="000000E8">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In the liver disease AI domain, recent studies such as Savaş (2025) have demonstrated high accuracy (96.92%) for MRI-based liver cirrhosis classification using stacked ensemble deep learning. While that study addresses a different diagnostic modality (imaging vs. motion analysis), it illustrates the growing potential of AI in hepatology. Our work extends this trend by addressing the functional neurological manifestation (asterixis) of liver disease rather than the structural liver pathology itself.</w:t>
      </w:r>
      <w:r w:rsidDel="00000000" w:rsidR="00000000" w:rsidRPr="00000000">
        <w:rPr>
          <w:rtl w:val="0"/>
        </w:rPr>
      </w:r>
    </w:p>
    <w:p w:rsidR="00000000" w:rsidDel="00000000" w:rsidP="00000000" w:rsidRDefault="00000000" w:rsidRPr="00000000" w14:paraId="000000E9">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4.4. Limitations</w:t>
      </w:r>
      <w:r w:rsidDel="00000000" w:rsidR="00000000" w:rsidRPr="00000000">
        <w:rPr>
          <w:rtl w:val="0"/>
        </w:rPr>
      </w:r>
    </w:p>
    <w:p w:rsidR="00000000" w:rsidDel="00000000" w:rsidP="00000000" w:rsidRDefault="00000000" w:rsidRPr="00000000" w14:paraId="000000EA">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Several important limitations must be acknowledged. First, the dataset consists of simulated asterixis performed by a single expert, not recordings from actual HE patients. While the expert’s 30-year clinical experience ensures high-quality simulation, real patient data may exhibit additional variability in tremor patterns, co-occurring movements, and hand morphology.</w:t>
      </w:r>
      <w:r w:rsidDel="00000000" w:rsidR="00000000" w:rsidRPr="00000000">
        <w:rPr>
          <w:rtl w:val="0"/>
        </w:rPr>
      </w:r>
    </w:p>
    <w:p w:rsidR="00000000" w:rsidDel="00000000" w:rsidP="00000000" w:rsidRDefault="00000000" w:rsidRPr="00000000" w14:paraId="000000EB">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Second, the single-subject design limits generalizability. Inter-subject variability in hand size, skin tone, joint flexibility, and tremor expression may affect model performance. This limitation is inherent to the prototype validation phase and will be addressed in subsequent studies.</w:t>
      </w:r>
      <w:r w:rsidDel="00000000" w:rsidR="00000000" w:rsidRPr="00000000">
        <w:rPr>
          <w:rtl w:val="0"/>
        </w:rPr>
      </w:r>
    </w:p>
    <w:p w:rsidR="00000000" w:rsidDel="00000000" w:rsidP="00000000" w:rsidRDefault="00000000" w:rsidRPr="00000000" w14:paraId="000000EC">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Third, the study was conducted under controlled lighting and camera positioning conditions. Real-world clinical environments may introduce challenges such as variable lighting, camera angles, partial hand occlusion, and patient movement.</w:t>
      </w:r>
      <w:r w:rsidDel="00000000" w:rsidR="00000000" w:rsidRPr="00000000">
        <w:rPr>
          <w:rtl w:val="0"/>
        </w:rPr>
      </w:r>
    </w:p>
    <w:p w:rsidR="00000000" w:rsidDel="00000000" w:rsidP="00000000" w:rsidRDefault="00000000" w:rsidRPr="00000000" w14:paraId="000000ED">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Fourth, the current evaluation uses a single train/validation split rather than k-fold cross-validation, which may provide a less robust estimate of model performance. Future studies should employ more rigorous evaluation protocols including leave-one-subject-out cross-validation.</w:t>
      </w:r>
      <w:r w:rsidDel="00000000" w:rsidR="00000000" w:rsidRPr="00000000">
        <w:rPr>
          <w:rtl w:val="0"/>
        </w:rPr>
      </w:r>
    </w:p>
    <w:p w:rsidR="00000000" w:rsidDel="00000000" w:rsidP="00000000" w:rsidRDefault="00000000" w:rsidRPr="00000000" w14:paraId="000000EE">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Fifth, the severity grading system has not been validated against independent clinical assessment. While the kinematic thresholds are based on expert knowledge, formal correlation with standardized clinical grading (e.g., West Haven criteria) is needed.</w:t>
      </w:r>
      <w:r w:rsidDel="00000000" w:rsidR="00000000" w:rsidRPr="00000000">
        <w:rPr>
          <w:rtl w:val="0"/>
        </w:rPr>
      </w:r>
    </w:p>
    <w:p w:rsidR="00000000" w:rsidDel="00000000" w:rsidP="00000000" w:rsidRDefault="00000000" w:rsidRPr="00000000" w14:paraId="000000EF">
      <w:pPr>
        <w:pStyle w:val="Heading2"/>
        <w:spacing w:after="160" w:before="280" w:lineRule="auto"/>
        <w:rPr/>
      </w:pPr>
      <w:r w:rsidDel="00000000" w:rsidR="00000000" w:rsidRPr="00000000">
        <w:rPr>
          <w:rFonts w:ascii="Times New Roman" w:cs="Times New Roman" w:eastAsia="Times New Roman" w:hAnsi="Times New Roman"/>
          <w:b w:val="1"/>
          <w:bCs w:val="1"/>
          <w:sz w:val="26"/>
          <w:szCs w:val="26"/>
          <w:rtl w:val="0"/>
        </w:rPr>
        <w:t xml:space="preserve">4.5. Future Directions</w:t>
      </w:r>
      <w:r w:rsidDel="00000000" w:rsidR="00000000" w:rsidRPr="00000000">
        <w:rPr>
          <w:rtl w:val="0"/>
        </w:rPr>
      </w:r>
    </w:p>
    <w:p w:rsidR="00000000" w:rsidDel="00000000" w:rsidP="00000000" w:rsidRDefault="00000000" w:rsidRPr="00000000" w14:paraId="000000F0">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This prototype study establishes the foundation for a phased research program. Phase 2 will expand data collection to 5+ additional subjects (healthcare professionals trained in asterixis simulation) with Leave-One-Subject-Out (LOSO) cross-validation to assess generalization. Phase 3 will involve clinical validation with actual HE patients at Daegu Catholic University Hospital, pending IRB approval. Additional technical improvements under consideration include data augmentation strategies, attention mechanisms, multi-task learning for simultaneous detection and grading, and model interpretability techniques such as Grad-CAM adapted for temporal sequence data.</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5. Conclusions</w:t>
      </w:r>
      <w:r w:rsidDel="00000000" w:rsidR="00000000" w:rsidRPr="00000000">
        <w:rPr>
          <w:rtl w:val="0"/>
        </w:rPr>
      </w:r>
    </w:p>
    <w:p w:rsidR="00000000" w:rsidDel="00000000" w:rsidP="00000000" w:rsidRDefault="00000000" w:rsidRPr="00000000" w14:paraId="000000F3">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This study presents a novel prototype system for real-time, smartphone-based detection and severity grading of asterixis using hand landmark tracking and deep learning. The key contributions include: (1) a comprehensive 254-dimensional bilateral hand feature engineering pipeline that captures the essential kinematic characteristics of asterixis (normalized coordinates, wrist angle, velocity, and acceleration); (2) a lightweight hybrid 1D-CNN + BiLSTM model (183,617 parameters) optimized for real-time inference; (3) a composite severity scoring system (0–100) with four-tier clinical grading; and (4) cross-platform deployment as a Progressive Web Application using ONNX Runtime Web.</w:t>
      </w:r>
      <w:r w:rsidDel="00000000" w:rsidR="00000000" w:rsidRPr="00000000">
        <w:rPr>
          <w:rtl w:val="0"/>
        </w:rPr>
      </w:r>
    </w:p>
    <w:p w:rsidR="00000000" w:rsidDel="00000000" w:rsidP="00000000" w:rsidRDefault="00000000" w:rsidRPr="00000000" w14:paraId="000000F4">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prototype demonstrates that the proposed architecture can effectively distinguish simulated asterixis from normal hand posture in controlled conditions. While significant work remains to validate this approach with real patient data and diverse subjects, these findings establish a promising foundation for developing accessible, objective tools for asterixis monitoring in the context of hepatic encephalopathy management.</w:t>
      </w:r>
      <w:r w:rsidDel="00000000" w:rsidR="00000000" w:rsidRPr="00000000">
        <w:rPr>
          <w:rtl w:val="0"/>
        </w:rPr>
      </w:r>
    </w:p>
    <w:p w:rsidR="00000000" w:rsidDel="00000000" w:rsidP="00000000" w:rsidRDefault="00000000" w:rsidRPr="00000000" w14:paraId="000000F5">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As AI-assisted diagnostic tools continue to advance, smartphone-based systems like the one proposed here have the potential to democratize access to specialized neurological assessment, particularly in resource-limited settings where expert clinicians are scarce. The ultimate goal is a validated, clinician-approved tool that enables early detection of HE deterioration through continuous asterixis monitoring, contributing to improved patient outcomes.</w:t>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tl w:val="0"/>
        </w:rPr>
      </w:r>
    </w:p>
    <w:p w:rsidR="00000000" w:rsidDel="00000000" w:rsidP="00000000" w:rsidRDefault="00000000" w:rsidRPr="00000000" w14:paraId="000000F8">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[1] Ferenci, P.; Lockwood, A.; Mullen, K.; et al. Hepatic encephalopathy—definition, nomenclature, diagnosis, and quantification: final report of the working party at the 11th World Congresses of Gastroenterology, Vienna, 1998. Hepatology 2002, 35, 716–721.</w:t>
      </w:r>
      <w:r w:rsidDel="00000000" w:rsidR="00000000" w:rsidRPr="00000000">
        <w:rPr>
          <w:rtl w:val="0"/>
        </w:rPr>
      </w:r>
    </w:p>
    <w:p w:rsidR="00000000" w:rsidDel="00000000" w:rsidP="00000000" w:rsidRDefault="00000000" w:rsidRPr="00000000" w14:paraId="000000F9">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[2] Vilstrup, H.; Amodio, P.; Bajaj, J.; et al. Hepatic encephalopathy in chronic liver disease: 2014 Practice Guideline by the American Association for the Study of Liver Diseases and the European Association for the Study of the Liver. Hepatology 2014, 60, 715–735.</w:t>
      </w:r>
      <w:r w:rsidDel="00000000" w:rsidR="00000000" w:rsidRPr="00000000">
        <w:rPr>
          <w:rtl w:val="0"/>
        </w:rPr>
      </w:r>
    </w:p>
    <w:p w:rsidR="00000000" w:rsidDel="00000000" w:rsidP="00000000" w:rsidRDefault="00000000" w:rsidRPr="00000000" w14:paraId="000000FA">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[3] Montagnese, S.; Bajaj, J.S. Impact of Hepatic Encephalopathy in Cirrhosis on Quality-of-Life Issues. Drugs 2019, 79, 11–16.</w:t>
      </w:r>
      <w:r w:rsidDel="00000000" w:rsidR="00000000" w:rsidRPr="00000000">
        <w:rPr>
          <w:rtl w:val="0"/>
        </w:rPr>
      </w:r>
    </w:p>
    <w:p w:rsidR="00000000" w:rsidDel="00000000" w:rsidP="00000000" w:rsidRDefault="00000000" w:rsidRPr="00000000" w14:paraId="000000FB">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[4] Adams, R.D.; Foley, J.M. The neurological disorder associated with liver disease. Res. Publ. Assoc. Res. Nerv. Ment. Dis. 1953, 32, 198–237.</w:t>
      </w:r>
      <w:r w:rsidDel="00000000" w:rsidR="00000000" w:rsidRPr="00000000">
        <w:rPr>
          <w:rtl w:val="0"/>
        </w:rPr>
      </w:r>
    </w:p>
    <w:p w:rsidR="00000000" w:rsidDel="00000000" w:rsidP="00000000" w:rsidRDefault="00000000" w:rsidRPr="00000000" w14:paraId="000000FC">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[5] Lunn, M.P. Asterixis. Pract. Neurol. 2019, 19, 60–62.</w:t>
      </w:r>
      <w:r w:rsidDel="00000000" w:rsidR="00000000" w:rsidRPr="00000000">
        <w:rPr>
          <w:rtl w:val="0"/>
        </w:rPr>
      </w:r>
    </w:p>
    <w:p w:rsidR="00000000" w:rsidDel="00000000" w:rsidP="00000000" w:rsidRDefault="00000000" w:rsidRPr="00000000" w14:paraId="000000FD">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[6] Zhang, F.; Bazarevsky, V.; Vakunov, A.; et al. MediaPipe Hands: On-device Real-time Hand Tracking. arXiv 2020, arXiv:2006.10214.</w:t>
      </w:r>
      <w:r w:rsidDel="00000000" w:rsidR="00000000" w:rsidRPr="00000000">
        <w:rPr>
          <w:rtl w:val="0"/>
        </w:rPr>
      </w:r>
    </w:p>
    <w:p w:rsidR="00000000" w:rsidDel="00000000" w:rsidP="00000000" w:rsidRDefault="00000000" w:rsidRPr="00000000" w14:paraId="000000FE">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[7] Savaş, S. Explainable Artificial Intelligence for Diagnosis and Staging of Liver Cirrhosis Using Stacked Ensemble and Multi-Task Learning. Diagnostics 2025, 15, 1177.</w:t>
      </w:r>
      <w:r w:rsidDel="00000000" w:rsidR="00000000" w:rsidRPr="00000000">
        <w:rPr>
          <w:rtl w:val="0"/>
        </w:rPr>
      </w:r>
    </w:p>
    <w:p w:rsidR="00000000" w:rsidDel="00000000" w:rsidP="00000000" w:rsidRDefault="00000000" w:rsidRPr="00000000" w14:paraId="000000FF">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[8] Hochreiter, S.; Schmidhuber, J. Long Short-Term Memory. Neural Comput. 1997, 9, 1735–1780.</w:t>
      </w:r>
      <w:r w:rsidDel="00000000" w:rsidR="00000000" w:rsidRPr="00000000">
        <w:rPr>
          <w:rtl w:val="0"/>
        </w:rPr>
      </w:r>
    </w:p>
    <w:p w:rsidR="00000000" w:rsidDel="00000000" w:rsidP="00000000" w:rsidRDefault="00000000" w:rsidRPr="00000000" w14:paraId="00000100">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[9] Paszke, A.; Gross, S.; Massa, F.; et al. PyTorch: An Imperative Style, High-Performance Deep Learning Library. In Advances in Neural Information Processing Systems 32; NeurIPS 2019.</w:t>
      </w:r>
      <w:r w:rsidDel="00000000" w:rsidR="00000000" w:rsidRPr="00000000">
        <w:rPr>
          <w:rtl w:val="0"/>
        </w:rPr>
      </w:r>
    </w:p>
    <w:p w:rsidR="00000000" w:rsidDel="00000000" w:rsidP="00000000" w:rsidRDefault="00000000" w:rsidRPr="00000000" w14:paraId="00000101">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[10] [Additional references to be added: tremor detection studies, HE grading systems, ONNX deployment, etc.]</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i w:val="1"/>
        <w:iCs w:val="1"/>
        <w:color w:val="999999"/>
        <w:sz w:val="18"/>
        <w:szCs w:val="18"/>
        <w:rtl w:val="0"/>
      </w:rPr>
      <w:t xml:space="preserve">Diagnostics 2026 —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