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A91960">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D95CEF" w:rsidRDefault="00676EFD"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A91960">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784EE3BE" w14:textId="77777777" w:rsidR="00D95CEF" w:rsidRDefault="00D95CEF" w:rsidP="001174FD">
      <w:pPr>
        <w:spacing w:after="120" w:line="242" w:lineRule="auto"/>
        <w:rPr>
          <w:rFonts w:ascii="Aptos" w:hAnsi="Aptos"/>
          <w:color w:val="243447"/>
          <w:sz w:val="21"/>
        </w:rPr>
      </w:pPr>
    </w:p>
    <w:p w14:paraId="33286C98" w14:textId="77777777" w:rsidR="00D95CEF" w:rsidRPr="00D95CEF" w:rsidRDefault="00D95CEF"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2D43D514" w14:textId="77777777" w:rsidR="00D95CEF" w:rsidRDefault="00D95CEF" w:rsidP="001174FD">
      <w:pPr>
        <w:spacing w:after="120" w:line="242" w:lineRule="auto"/>
        <w:rPr>
          <w:rFonts w:ascii="Aptos" w:hAnsi="Aptos"/>
          <w:color w:val="243447"/>
          <w:sz w:val="21"/>
        </w:rPr>
      </w:pPr>
      <w:r>
        <w:rPr>
          <w:rFonts w:ascii="Aptos" w:hAnsi="Aptos"/>
          <w:color w:val="243447"/>
          <w:sz w:val="21"/>
        </w:rPr>
        <w:t>Configuration Management wurde vollständig lokal umgesetzt (appsettings.json, appsettings.{Environment}.json, User Secrets, Environment Variables). Die Azure-Integration (Azure App Configuration, Azure Key Vault, Managed Identity) ist im Code bereits vollständig vorbereitet, aber bewusst inaktiv, da keine Azure-Subscription zur Verfügung stand - siehe ADR-Backlog #17. Managed Identity lässt sich ohnehin nicht rein lokal testen, da sie nur für tatsächlich in Azure gehostete Ressourcen funktioniert.</w:t>
      </w:r>
    </w:p>
    <w:p w14:paraId="114742AA" w14:textId="77777777" w:rsidR="00D95CEF" w:rsidRDefault="00D95CEF" w:rsidP="001174FD">
      <w:pPr>
        <w:spacing w:after="120" w:line="242" w:lineRule="auto"/>
        <w:rPr>
          <w:rFonts w:ascii="Aptos" w:hAnsi="Aptos"/>
          <w:color w:val="243447"/>
          <w:sz w:val="21"/>
        </w:rPr>
      </w:pPr>
      <w:r>
        <w:rPr>
          <w:rFonts w:ascii="Aptos" w:hAnsi="Aptos"/>
          <w:color w:val="243447"/>
          <w:sz w:val="21"/>
        </w:rPr>
        <w:t>Details der Umsetzung:</w:t>
      </w:r>
    </w:p>
    <w:p w14:paraId="2E82F462" w14:textId="77777777" w:rsidR="00D95CEF" w:rsidRDefault="00D95CEF" w:rsidP="001174FD">
      <w:pPr>
        <w:spacing w:after="120" w:line="242" w:lineRule="auto"/>
        <w:rPr>
          <w:rFonts w:ascii="Aptos" w:hAnsi="Aptos"/>
          <w:color w:val="243447"/>
          <w:sz w:val="21"/>
        </w:rPr>
      </w:pPr>
      <w:r>
        <w:rPr>
          <w:rFonts w:ascii="Aptos" w:hAnsi="Aptos"/>
          <w:color w:val="243447"/>
          <w:sz w:val="21"/>
        </w:rPr>
        <w:t>Klare Trennung Secrets (Database-Connection-String, JWT-Signing-Key) vs. Configuration (PaymentLimits, Timeouts, FeatureFlags) - dokumentiert in docs/architecture/configuration.md inklusive der finalen Configuration-Hierarchie und dem Unterschied zwischen appsettings.json, Environment Variables, User Secrets, Azure App Configuration, Azure Key Vault und Managed Identity.</w:t>
      </w:r>
    </w:p>
    <w:p w14:paraId="33B5E8E9" w14:textId="77777777" w:rsidR="00D95CEF" w:rsidRDefault="00D95CEF" w:rsidP="001174FD">
      <w:pPr>
        <w:spacing w:after="120" w:line="242" w:lineRule="auto"/>
        <w:rPr>
          <w:rFonts w:ascii="Aptos" w:hAnsi="Aptos"/>
          <w:color w:val="243447"/>
          <w:sz w:val="21"/>
        </w:rPr>
      </w:pPr>
      <w:r>
        <w:rPr>
          <w:rFonts w:ascii="Aptos" w:hAnsi="Aptos"/>
          <w:color w:val="243447"/>
          <w:sz w:val="21"/>
        </w:rPr>
        <w:t>Drei strongly-typed Options-Klassen (PaymentLimitsOptions, TimeoutOptions, FeatureFlagsOptions) an echtes Verhalten gebunden statt nur deklariert: das Payment-Limit wird im CreatePaymentValidator durchgesetzt, das Timeout fließt in EF Cores CommandTimeout, das Feature Flag steuert, ob CreatePaymentHandler neue Zahlungen automatisch zur Freigabe einreicht.</w:t>
      </w:r>
    </w:p>
    <w:p w14:paraId="438BC810" w14:textId="77777777" w:rsidR="00D95CEF" w:rsidRDefault="00D95CEF" w:rsidP="001174FD">
      <w:pPr>
        <w:spacing w:after="120" w:line="242" w:lineRule="auto"/>
        <w:rPr>
          <w:rFonts w:ascii="Aptos" w:hAnsi="Aptos"/>
          <w:color w:val="243447"/>
          <w:sz w:val="21"/>
        </w:rPr>
      </w:pPr>
      <w:r>
        <w:rPr>
          <w:rFonts w:ascii="Aptos" w:hAnsi="Aptos"/>
          <w:color w:val="243447"/>
          <w:sz w:val="21"/>
        </w:rPr>
        <w:t>FeatureFlagsOptions wird über IOptionsMonitor statt IOptions injiziert - das ist die Stelle, die von Azure App Configurations Live-Reload ohne Neustart profitieren würde, sobald eine Azure-Subscription vorhanden ist.</w:t>
      </w:r>
    </w:p>
    <w:p w14:paraId="0E064AEB" w14:textId="77777777" w:rsidR="00D95CEF" w:rsidRDefault="00D95CEF" w:rsidP="001174FD">
      <w:pPr>
        <w:spacing w:after="120" w:line="242" w:lineRule="auto"/>
        <w:rPr>
          <w:rFonts w:ascii="Aptos" w:hAnsi="Aptos"/>
          <w:color w:val="243447"/>
          <w:sz w:val="21"/>
        </w:rPr>
      </w:pPr>
      <w:r>
        <w:rPr>
          <w:rFonts w:ascii="Aptos" w:hAnsi="Aptos"/>
          <w:color w:val="243447"/>
          <w:sz w:val="21"/>
        </w:rPr>
        <w:t>Program.cs (Api und Web) prüft AzureAppConfiguration:Endpoint bzw. KeyVault:Uri und registriert AddAzureAppConfiguration/AddAzureKeyVault mit DefaultAzureCredential nur, wenn diese konfiguriert sind - lokal bleibt der Codepfad vollständig inaktiv, ohne dass etwas fehlschlägt.</w:t>
      </w:r>
    </w:p>
    <w:p w14:paraId="6530B0BB" w14:textId="77777777" w:rsidR="00D95CEF" w:rsidRDefault="00D95CEF" w:rsidP="001174FD">
      <w:pPr>
        <w:spacing w:after="120" w:line="242" w:lineRule="auto"/>
        <w:rPr>
          <w:rFonts w:ascii="Aptos" w:hAnsi="Aptos"/>
          <w:color w:val="243447"/>
          <w:sz w:val="21"/>
        </w:rPr>
      </w:pPr>
      <w:r>
        <w:rPr>
          <w:rFonts w:ascii="Aptos" w:hAnsi="Aptos"/>
          <w:color w:val="243447"/>
          <w:sz w:val="21"/>
        </w:rPr>
        <w:t>appsettings.Development.json und appsettings.Production.json demonstrieren unterschiedliche Configuration je Umgebung (höheres Payment-Limit für bequemes Testen lokal, strengeres Logging in Production).</w:t>
      </w:r>
    </w:p>
    <w:p w14:paraId="330EAA3E" w14:textId="3F8CAD80" w:rsidR="00703A6B" w:rsidRPr="001174FD" w:rsidRDefault="00D95CEF" w:rsidP="001174FD">
      <w:pPr>
        <w:spacing w:after="120" w:line="242" w:lineRule="auto"/>
        <w:rPr>
          <w:rFonts w:ascii="Aptos" w:hAnsi="Aptos"/>
          <w:color w:val="243447"/>
          <w:sz w:val="21"/>
        </w:rPr>
      </w:pPr>
      <w:r>
        <w:rPr>
          <w:rFonts w:ascii="Aptos" w:hAnsi="Aptos"/>
          <w:color w:val="243447"/>
          <w:sz w:val="21"/>
        </w:rPr>
        <w:t>Live verifiziert: Eine Zahlung über dem konfigurierten Limit wird mit HTTP 400 und der korrekten, aus der Configuration gelesenen Grenze abgelehnt; eine Zahlung innerhalb des Limits wird angenommen und automatisch zur Freigabe eingereicht (Feature Flag aktiv).</w:t>
      </w:r>
      <w:r w:rsidR="00A91960">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46E82DDD" w14:textId="77777777" w:rsidR="005A3C7F" w:rsidRPr="005A3C7F" w:rsidRDefault="005A3C7F" w:rsidP="005A3C7F">
      <w:pPr>
        <w:rPr>
          <w:b/>
        </w:rPr>
      </w:pPr>
      <w:r w:rsidRPr="005A3C7F">
        <w:rPr>
          <w:b/>
        </w:rPr>
        <w:t>Update / Umsetzung (nachträglich ergänzt):</w:t>
      </w:r>
    </w:p>
    <w:p w14:paraId="12AA24DF" w14:textId="77777777" w:rsidR="005A3C7F" w:rsidRPr="005A3C7F" w:rsidRDefault="005A3C7F" w:rsidP="001174FD">
      <w:pPr>
        <w:spacing w:after="120" w:line="242" w:lineRule="auto"/>
        <w:rPr>
          <w:rStyle w:val="Platzhaltertext"/>
        </w:rPr>
      </w:pPr>
      <w:r w:rsidRPr="005A3C7F">
        <w:rPr>
          <w:rStyle w:val="Platzhaltertext"/>
        </w:rPr>
        <w:t>Observability wurde mit dem OpenTelemetry SDK statt dem klassischen Application Insights SDK umgesetzt - herstellerneutraler Industriestandard, von Microsoft selbst als aktueller Weg empfohlen. Details und Begründung: ADR #18 in decisions-backlog.md sowie docs/architecture/observability.md.</w:t>
      </w:r>
    </w:p>
    <w:p w14:paraId="5F80B43B" w14:textId="77777777" w:rsidR="005A3C7F" w:rsidRPr="005A3C7F" w:rsidRDefault="005A3C7F" w:rsidP="001174FD">
      <w:pPr>
        <w:spacing w:after="120" w:line="242" w:lineRule="auto"/>
        <w:rPr>
          <w:rStyle w:val="Platzhaltertext"/>
        </w:rPr>
      </w:pPr>
      <w:r w:rsidRPr="005A3C7F">
        <w:rPr>
          <w:rStyle w:val="Platzhaltertext"/>
        </w:rPr>
        <w:t>Request Telemetry, Dependency Telemetry (SQL, HTTP) und Exception Telemetry laufen über die offiziellen OpenTelemetry-Instrumentierungspakete für ASP.NET Core, HttpClient und SqlClient.</w:t>
      </w:r>
    </w:p>
    <w:p w14:paraId="499DEEC8" w14:textId="77777777" w:rsidR="005A3C7F" w:rsidRPr="005A3C7F" w:rsidRDefault="005A3C7F" w:rsidP="001174FD">
      <w:pPr>
        <w:spacing w:after="120" w:line="242" w:lineRule="auto"/>
        <w:rPr>
          <w:rStyle w:val="Platzhaltertext"/>
        </w:rPr>
      </w:pPr>
      <w:r w:rsidRPr="005A3C7F">
        <w:rPr>
          <w:rStyle w:val="Platzhaltertext"/>
        </w:rPr>
        <w:t>Eigener Trace-Span für den fachlichen Schritt 'Payment Application Service' über eine reine .NET-ActivitySource (Banking.Application/Common/Telemetry.cs). Lokal verifiziert: POST /api/payments erzeugt einen Server-Span, darunter einen PaymentProcessing-Span, darunter den SQL-INSERT-Span - alle drei mit derselben Trace-Id, genau wie gefordert.</w:t>
      </w:r>
    </w:p>
    <w:p w14:paraId="322DF81E" w14:textId="77777777" w:rsidR="005A3C7F" w:rsidRPr="005A3C7F" w:rsidRDefault="005A3C7F" w:rsidP="001174FD">
      <w:pPr>
        <w:spacing w:after="120" w:line="242" w:lineRule="auto"/>
        <w:rPr>
          <w:rStyle w:val="Platzhaltertext"/>
        </w:rPr>
      </w:pPr>
      <w:r w:rsidRPr="005A3C7F">
        <w:rPr>
          <w:rStyle w:val="Platzhaltertext"/>
        </w:rPr>
        <w:t>Vier Custom Metrics wie gefordert: payment.success, payment.failed (mit Tag 'reason'), payment.processing.duration, transaction.search.duration - lokal einzeln gegen echte Api-Aufrufe verifiziert.</w:t>
      </w:r>
    </w:p>
    <w:p w14:paraId="6156F899" w14:textId="77777777" w:rsidR="005A3C7F" w:rsidRPr="005A3C7F" w:rsidRDefault="005A3C7F" w:rsidP="001174FD">
      <w:pPr>
        <w:spacing w:after="120" w:line="242" w:lineRule="auto"/>
        <w:rPr>
          <w:rStyle w:val="Platzhaltertext"/>
        </w:rPr>
      </w:pPr>
      <w:r w:rsidRPr="005A3C7F">
        <w:rPr>
          <w:rStyle w:val="Platzhaltertext"/>
        </w:rPr>
        <w:t>Strukturierte Logs erhalten TraceId/SpanId/ParentId automatisch über ActivityTrackingOptions (reines .NET-Bordmittel) - kein Serilog nötig.</w:t>
      </w:r>
    </w:p>
    <w:p w14:paraId="4E44A0D2" w14:textId="77777777" w:rsidR="005A3C7F" w:rsidRPr="005A3C7F" w:rsidRDefault="005A3C7F" w:rsidP="001174FD">
      <w:pPr>
        <w:spacing w:after="120" w:line="242" w:lineRule="auto"/>
        <w:rPr>
          <w:rStyle w:val="Platzhaltertext"/>
        </w:rPr>
      </w:pPr>
      <w:r w:rsidRPr="005A3C7F">
        <w:rPr>
          <w:rStyle w:val="Platzhaltertext"/>
        </w:rPr>
        <w:t>Keine sensiblen Bankdaten in Tags/Logs: nur Ids (Konto-Id, Zahlungs-Id), nie IBAN oder Betrag. Die SqlClient-Instrumentierung erfasst standardmäßig keinen Query-Text mit Parameterwerten.</w:t>
      </w:r>
    </w:p>
    <w:p w14:paraId="4FEF493A" w14:textId="77777777" w:rsidR="005A3C7F" w:rsidRPr="005A3C7F" w:rsidRDefault="005A3C7F" w:rsidP="001174FD">
      <w:pPr>
        <w:spacing w:after="120" w:line="242" w:lineRule="auto"/>
        <w:rPr>
          <w:rStyle w:val="Platzhaltertext"/>
        </w:rPr>
      </w:pPr>
      <w:r w:rsidRPr="005A3C7F">
        <w:rPr>
          <w:rStyle w:val="Platzhaltertext"/>
        </w:rPr>
        <w:t>Lokal ist immer der Konsolen-Exporter aktiv (keine Azure-Subscription nötig); der Azure-Monitor-Exporter aktiviert sich zusätzlich nur, wenn ApplicationInsights:ConnectionString konfiguriert ist - dasselbe Gate-Muster wie bei Key Vault/App Configuration in Kapitel 9.</w:t>
      </w:r>
    </w:p>
    <w:p w14:paraId="76EEFBF7" w14:textId="77777777" w:rsidR="005A3C7F" w:rsidRPr="005A3C7F" w:rsidRDefault="005A3C7F" w:rsidP="001174FD">
      <w:pPr>
        <w:spacing w:after="120" w:line="242" w:lineRule="auto"/>
        <w:rPr>
          <w:rStyle w:val="Platzhaltertext"/>
        </w:rPr>
      </w:pPr>
      <w:r w:rsidRPr="005A3C7F">
        <w:rPr>
          <w:rStyle w:val="Platzhaltertext"/>
        </w:rPr>
        <w:t>Die geforderte Erklärung 'wie ich Application Insights im Bewerbungsgespräch erklären würde' ist ausformuliert in docs/architecture/observability.md dokumentiert.</w:t>
      </w:r>
    </w:p>
    <w:p w14:paraId="3D6DC2CB" w14:textId="0A54EC04"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7C87A84C"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6171E9B6"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15CE0047"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A91960"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93202" w14:textId="77777777" w:rsidR="00A91960" w:rsidRDefault="00A91960" w:rsidP="006D2391">
      <w:pPr>
        <w:spacing w:after="0" w:line="240" w:lineRule="auto"/>
      </w:pPr>
      <w:r>
        <w:separator/>
      </w:r>
    </w:p>
  </w:endnote>
  <w:endnote w:type="continuationSeparator" w:id="0">
    <w:p w14:paraId="74332E82" w14:textId="77777777" w:rsidR="00A91960" w:rsidRDefault="00A91960"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C656D" w14:textId="77777777" w:rsidR="00A91960" w:rsidRDefault="00A91960" w:rsidP="006D2391">
      <w:pPr>
        <w:spacing w:after="0" w:line="240" w:lineRule="auto"/>
      </w:pPr>
      <w:r>
        <w:separator/>
      </w:r>
    </w:p>
  </w:footnote>
  <w:footnote w:type="continuationSeparator" w:id="0">
    <w:p w14:paraId="24C42C14" w14:textId="77777777" w:rsidR="00A91960" w:rsidRDefault="00A91960"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011AC3"/>
    <w:rsid w:val="001174FD"/>
    <w:rsid w:val="001411C7"/>
    <w:rsid w:val="001C33AD"/>
    <w:rsid w:val="002E2926"/>
    <w:rsid w:val="00350CB5"/>
    <w:rsid w:val="00403279"/>
    <w:rsid w:val="00542AD5"/>
    <w:rsid w:val="00592786"/>
    <w:rsid w:val="005A3C7F"/>
    <w:rsid w:val="00643C4C"/>
    <w:rsid w:val="00676EFD"/>
    <w:rsid w:val="006D2391"/>
    <w:rsid w:val="006E353E"/>
    <w:rsid w:val="00703A6B"/>
    <w:rsid w:val="007A6CD4"/>
    <w:rsid w:val="00817136"/>
    <w:rsid w:val="00862C4C"/>
    <w:rsid w:val="009C1D72"/>
    <w:rsid w:val="00A029F9"/>
    <w:rsid w:val="00A91960"/>
    <w:rsid w:val="00AF72C2"/>
    <w:rsid w:val="00C42977"/>
    <w:rsid w:val="00C87139"/>
    <w:rsid w:val="00CA2DBF"/>
    <w:rsid w:val="00CF7520"/>
    <w:rsid w:val="00D95CEF"/>
    <w:rsid w:val="00E40C4F"/>
    <w:rsid w:val="00E6485E"/>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 w:type="character" w:styleId="Platzhaltertext">
    <w:name w:val="Placeholder Text"/>
    <w:basedOn w:val="Absatz-Standardschriftart"/>
    <w:uiPriority w:val="99"/>
    <w:semiHidden/>
    <w:rsid w:val="002E29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4606</Words>
  <Characters>29019</Characters>
  <Application>Microsoft Office Word</Application>
  <DocSecurity>0</DocSecurity>
  <Lines>241</Lines>
  <Paragraphs>67</Paragraphs>
  <ScaleCrop>false</ScaleCrop>
  <Company/>
  <LinksUpToDate>false</LinksUpToDate>
  <CharactersWithSpaces>33558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13</cp:revision>
  <dcterms:created xsi:type="dcterms:W3CDTF">2026-08-29T10:44:00Z</dcterms:created>
  <dcterms:modified xsi:type="dcterms:W3CDTF">2026-08-31T11:36:00Z</dcterms:modified>
</cp:coreProperties>
</file>