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E50DB3">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03FBADEF" w14:textId="77777777" w:rsidR="00676EFD" w:rsidRDefault="00676EFD" w:rsidP="001174FD">
      <w:pPr>
        <w:spacing w:after="120" w:line="242" w:lineRule="auto"/>
        <w:rPr>
          <w:rFonts w:ascii="Aptos" w:hAnsi="Aptos"/>
          <w:color w:val="243447"/>
          <w:sz w:val="21"/>
        </w:rPr>
      </w:pPr>
    </w:p>
    <w:p w14:paraId="51E4CB68" w14:textId="77777777" w:rsidR="00676EFD" w:rsidRPr="00D95CEF" w:rsidRDefault="00676EFD"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328D71D5" w14:textId="77777777" w:rsidR="00676EFD" w:rsidRDefault="00676EFD" w:rsidP="001174FD">
      <w:pPr>
        <w:spacing w:after="120" w:line="242" w:lineRule="auto"/>
        <w:rPr>
          <w:rFonts w:ascii="Aptos" w:hAnsi="Aptos"/>
          <w:color w:val="243447"/>
          <w:sz w:val="21"/>
        </w:rPr>
      </w:pPr>
      <w:r>
        <w:rPr>
          <w:rFonts w:ascii="Aptos" w:hAnsi="Aptos"/>
          <w:color w:val="243447"/>
          <w:sz w:val="21"/>
        </w:rPr>
        <w:t>Die Rollen BankEmployee, OperationsManager und Administrator wurden umgesetzt - allerdings zunächst mit lokal simulierter Authentifizierung statt sofortiger Azure AD/Entra ID-Anbindung (kein Tenant/App-Registrierung vorhanden, ähnliche Situation wie beim Telerik-Kapitel). Die ursprünglich vorgesehene Azure-AD-Integration (siehe ADR-0008) bleibt als spätere Migration möglich, ohne dass sich am Rollen-/Autorisierungsmodell etwas ändert - nur der Token-Aussteller würde wechseln.</w:t>
      </w:r>
    </w:p>
    <w:p w14:paraId="678C6E3D" w14:textId="77777777" w:rsidR="00676EFD" w:rsidRDefault="00676EFD" w:rsidP="001174FD">
      <w:pPr>
        <w:spacing w:after="120" w:line="242" w:lineRule="auto"/>
        <w:rPr>
          <w:rFonts w:ascii="Aptos" w:hAnsi="Aptos"/>
          <w:color w:val="243447"/>
          <w:sz w:val="21"/>
        </w:rPr>
      </w:pPr>
      <w:r>
        <w:rPr>
          <w:rFonts w:ascii="Aptos" w:hAnsi="Aptos"/>
          <w:color w:val="243447"/>
          <w:sz w:val="21"/>
        </w:rPr>
        <w:t>Details der Umsetzung:</w:t>
      </w:r>
    </w:p>
    <w:p w14:paraId="35D7C4DF" w14:textId="77777777" w:rsidR="00676EFD" w:rsidRDefault="00676EFD" w:rsidP="001174FD">
      <w:pPr>
        <w:spacing w:after="120" w:line="242" w:lineRule="auto"/>
        <w:rPr>
          <w:rFonts w:ascii="Aptos" w:hAnsi="Aptos"/>
          <w:color w:val="243447"/>
          <w:sz w:val="21"/>
        </w:rPr>
      </w:pPr>
      <w:r>
        <w:rPr>
          <w:rFonts w:ascii="Aptos" w:hAnsi="Aptos"/>
          <w:color w:val="243447"/>
          <w:sz w:val="21"/>
        </w:rPr>
        <w:t>Cookie-Authentifizierung im Blazor-Server-Frontend mit drei lokalen Demo-Nutzern (employee/manager/admin, Passwort jeweils Demo123!, Passwörter korrekt mit PBKDF2 gehasht statt im Klartext verglichen).</w:t>
      </w:r>
    </w:p>
    <w:p w14:paraId="00054C49" w14:textId="77777777" w:rsidR="00676EFD" w:rsidRDefault="00676EFD" w:rsidP="001174FD">
      <w:pPr>
        <w:spacing w:after="120" w:line="242" w:lineRule="auto"/>
        <w:rPr>
          <w:rFonts w:ascii="Aptos" w:hAnsi="Aptos"/>
          <w:color w:val="243447"/>
          <w:sz w:val="21"/>
        </w:rPr>
      </w:pPr>
      <w:r>
        <w:rPr>
          <w:rFonts w:ascii="Aptos" w:hAnsi="Aptos"/>
          <w:color w:val="243447"/>
          <w:sz w:val="21"/>
        </w:rPr>
        <w:t>Rollenhierarchie über kumulative Claims: OperationsManager trägt zusätzlich die BankEmployee-Rolle, Administrator trägt alle drei Rollen - dadurch deckt ein einfaches [Authorize(Roles = "BankEmployee")] automatisch auch höhere Rollen ab, ohne eigene Hierarchie-Policy-Engine.</w:t>
      </w:r>
    </w:p>
    <w:p w14:paraId="62CD47D2" w14:textId="77777777" w:rsidR="00676EFD" w:rsidRDefault="00676EFD" w:rsidP="001174FD">
      <w:pPr>
        <w:spacing w:after="120" w:line="242" w:lineRule="auto"/>
        <w:rPr>
          <w:rFonts w:ascii="Aptos" w:hAnsi="Aptos"/>
          <w:color w:val="243447"/>
          <w:sz w:val="21"/>
        </w:rPr>
      </w:pPr>
      <w:r>
        <w:rPr>
          <w:rFonts w:ascii="Aptos" w:hAnsi="Aptos"/>
          <w:color w:val="243447"/>
          <w:sz w:val="21"/>
        </w:rPr>
        <w:t>BFF-Pattern (Backend for Frontend): Banking.Web mintet pro ausgehendem Api-Aufruf ein kurzlebiges JWT (5 Minuten Gültigkeit) aus den Cookie-Claims des angemeldeten Nutzers. Banking.Api validiert dieses Token vollständig unabhängig von der Blazor-Oberfläche.</w:t>
      </w:r>
    </w:p>
    <w:p w14:paraId="33D824C1" w14:textId="77777777" w:rsidR="00676EFD" w:rsidRDefault="00676EFD" w:rsidP="001174FD">
      <w:pPr>
        <w:spacing w:after="120" w:line="242" w:lineRule="auto"/>
        <w:rPr>
          <w:rFonts w:ascii="Aptos" w:hAnsi="Aptos"/>
          <w:color w:val="243447"/>
          <w:sz w:val="21"/>
        </w:rPr>
      </w:pPr>
      <w:r>
        <w:rPr>
          <w:rFonts w:ascii="Aptos" w:hAnsi="Aptos"/>
          <w:color w:val="243447"/>
          <w:sz w:val="21"/>
        </w:rPr>
        <w:t>Banking.Api ist "secure by default": eine FallbackPolicy verlangt für jeden Endpunkt eine Authentifizierung, sofern er nicht explizit mit [AllowAnonymous] markiert ist.</w:t>
      </w:r>
    </w:p>
    <w:p w14:paraId="16B22FB1" w14:textId="77777777" w:rsidR="00676EFD" w:rsidRDefault="00676EFD" w:rsidP="001174FD">
      <w:pPr>
        <w:spacing w:after="120" w:line="242" w:lineRule="auto"/>
        <w:rPr>
          <w:rFonts w:ascii="Aptos" w:hAnsi="Aptos"/>
          <w:color w:val="243447"/>
          <w:sz w:val="21"/>
        </w:rPr>
      </w:pPr>
      <w:r>
        <w:rPr>
          <w:rFonts w:ascii="Aptos" w:hAnsi="Aptos"/>
          <w:color w:val="243447"/>
          <w:sz w:val="21"/>
        </w:rPr>
        <w:t>Ergänzt wurden Approve/Reject-Endpunkte für Zahlungsaufträge (OperationsManager-Recht "Payments bearbeiten"), da dafür vorher noch keine Funktionalität existierte - ohne diese Ergänzung wäre die Rolle nicht sinnvoll testbar gewesen.</w:t>
      </w:r>
    </w:p>
    <w:p w14:paraId="2219DC0B" w14:textId="77777777" w:rsidR="00676EFD" w:rsidRDefault="00676EFD" w:rsidP="001174FD">
      <w:pPr>
        <w:spacing w:after="120" w:line="242" w:lineRule="auto"/>
        <w:rPr>
          <w:rFonts w:ascii="Aptos" w:hAnsi="Aptos"/>
          <w:color w:val="243447"/>
          <w:sz w:val="21"/>
        </w:rPr>
      </w:pPr>
      <w:r>
        <w:rPr>
          <w:rFonts w:ascii="Aptos" w:hAnsi="Aptos"/>
          <w:color w:val="243447"/>
          <w:sz w:val="21"/>
        </w:rPr>
        <w:t>Verifiziert direkt gegen die Api mit eigens erzeugten Tokens, unabhängig von der Blazor-Oberfläche: 401 ohne Token, 403 bei falscher Rolle, 200/404 bei korrekter Rolle. Zusätzlich der komplette Fluss getestet: BankEmployee legt Zahlung an, kann sie nicht selbst genehmigen (403), OperationsManager genehmigt erfolgreich.</w:t>
      </w:r>
    </w:p>
    <w:p w14:paraId="71283292" w14:textId="551B4FF6" w:rsidR="00703A6B" w:rsidRPr="001174FD" w:rsidRDefault="00676EFD" w:rsidP="001174FD">
      <w:pPr>
        <w:spacing w:after="120" w:line="242" w:lineRule="auto"/>
        <w:rPr>
          <w:rFonts w:ascii="Aptos" w:hAnsi="Aptos"/>
          <w:color w:val="243447"/>
          <w:sz w:val="21"/>
        </w:rPr>
      </w:pPr>
      <w:r>
        <w:rPr>
          <w:rFonts w:ascii="Aptos" w:hAnsi="Aptos"/>
          <w:color w:val="243447"/>
          <w:sz w:val="21"/>
        </w:rPr>
        <w:t>Bewusst nicht umgesetzt: Audit-Logging von Autorisierungsfehlern (z. B. wiederholte 403-Antworten) - siehe ADR #14, hängt am noch nicht gebauten Auditing-Modul.</w:t>
      </w:r>
      <w:r w:rsidR="00E50DB3">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784EE3BE" w14:textId="77777777" w:rsidR="00D95CEF" w:rsidRDefault="00D95CEF" w:rsidP="001174FD">
      <w:pPr>
        <w:spacing w:after="120" w:line="242" w:lineRule="auto"/>
        <w:rPr>
          <w:rFonts w:ascii="Aptos" w:hAnsi="Aptos"/>
          <w:color w:val="243447"/>
          <w:sz w:val="21"/>
        </w:rPr>
      </w:pPr>
    </w:p>
    <w:p w14:paraId="33286C98" w14:textId="77777777" w:rsidR="00D95CEF" w:rsidRPr="00D95CEF" w:rsidRDefault="00D95CEF"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2D43D514" w14:textId="77777777" w:rsidR="00D95CEF" w:rsidRDefault="00D95CEF" w:rsidP="001174FD">
      <w:pPr>
        <w:spacing w:after="120" w:line="242" w:lineRule="auto"/>
        <w:rPr>
          <w:rFonts w:ascii="Aptos" w:hAnsi="Aptos"/>
          <w:color w:val="243447"/>
          <w:sz w:val="21"/>
        </w:rPr>
      </w:pPr>
      <w:r>
        <w:rPr>
          <w:rFonts w:ascii="Aptos" w:hAnsi="Aptos"/>
          <w:color w:val="243447"/>
          <w:sz w:val="21"/>
        </w:rPr>
        <w:t>Configuration Management wurde vollständig lokal umgesetzt (appsettings.json, appsettings.{Environment}.json, User Secrets, Environment Variables). Die Azure-Integration (Azure App Configuration, Azure Key Vault, Managed Identity) ist im Code bereits vollständig vorbereitet, aber bewusst inaktiv, da keine Azure-Subscription zur Verfügung stand - siehe ADR-Backlog #17. Managed Identity lässt sich ohnehin nicht rein lokal testen, da sie nur für tatsächlich in Azure gehostete Ressourcen funktioniert.</w:t>
      </w:r>
    </w:p>
    <w:p w14:paraId="114742AA" w14:textId="77777777" w:rsidR="00D95CEF" w:rsidRDefault="00D95CEF" w:rsidP="001174FD">
      <w:pPr>
        <w:spacing w:after="120" w:line="242" w:lineRule="auto"/>
        <w:rPr>
          <w:rFonts w:ascii="Aptos" w:hAnsi="Aptos"/>
          <w:color w:val="243447"/>
          <w:sz w:val="21"/>
        </w:rPr>
      </w:pPr>
      <w:r>
        <w:rPr>
          <w:rFonts w:ascii="Aptos" w:hAnsi="Aptos"/>
          <w:color w:val="243447"/>
          <w:sz w:val="21"/>
        </w:rPr>
        <w:t>Details der Umsetzung:</w:t>
      </w:r>
    </w:p>
    <w:p w14:paraId="2E82F462" w14:textId="77777777" w:rsidR="00D95CEF" w:rsidRDefault="00D95CEF" w:rsidP="001174FD">
      <w:pPr>
        <w:spacing w:after="120" w:line="242" w:lineRule="auto"/>
        <w:rPr>
          <w:rFonts w:ascii="Aptos" w:hAnsi="Aptos"/>
          <w:color w:val="243447"/>
          <w:sz w:val="21"/>
        </w:rPr>
      </w:pPr>
      <w:r>
        <w:rPr>
          <w:rFonts w:ascii="Aptos" w:hAnsi="Aptos"/>
          <w:color w:val="243447"/>
          <w:sz w:val="21"/>
        </w:rPr>
        <w:t>Klare Trennung Secrets (Database-Connection-String, JWT-Signing-Key) vs. Configuration (PaymentLimits, Timeouts, FeatureFlags) - dokumentiert in docs/architecture/configuration.md inklusive der finalen Configuration-Hierarchie und dem Unterschied zwischen appsettings.json, Environment Variables, User Secrets, Azure App Configuration, Azure Key Vault und Managed Identity.</w:t>
      </w:r>
    </w:p>
    <w:p w14:paraId="33B5E8E9" w14:textId="77777777" w:rsidR="00D95CEF" w:rsidRDefault="00D95CEF" w:rsidP="001174FD">
      <w:pPr>
        <w:spacing w:after="120" w:line="242" w:lineRule="auto"/>
        <w:rPr>
          <w:rFonts w:ascii="Aptos" w:hAnsi="Aptos"/>
          <w:color w:val="243447"/>
          <w:sz w:val="21"/>
        </w:rPr>
      </w:pPr>
      <w:r>
        <w:rPr>
          <w:rFonts w:ascii="Aptos" w:hAnsi="Aptos"/>
          <w:color w:val="243447"/>
          <w:sz w:val="21"/>
        </w:rPr>
        <w:t>Drei strongly-typed Options-Klassen (PaymentLimitsOptions, TimeoutOptions, FeatureFlagsOptions) an echtes Verhalten gebunden statt nur deklariert: das Payment-Limit wird im CreatePaymentValidator durchgesetzt, das Timeout fließt in EF Cores CommandTimeout, das Feature Flag steuert, ob CreatePaymentHandler neue Zahlungen automatisch zur Freigabe einreicht.</w:t>
      </w:r>
    </w:p>
    <w:p w14:paraId="438BC810" w14:textId="77777777" w:rsidR="00D95CEF" w:rsidRDefault="00D95CEF" w:rsidP="001174FD">
      <w:pPr>
        <w:spacing w:after="120" w:line="242" w:lineRule="auto"/>
        <w:rPr>
          <w:rFonts w:ascii="Aptos" w:hAnsi="Aptos"/>
          <w:color w:val="243447"/>
          <w:sz w:val="21"/>
        </w:rPr>
      </w:pPr>
      <w:r>
        <w:rPr>
          <w:rFonts w:ascii="Aptos" w:hAnsi="Aptos"/>
          <w:color w:val="243447"/>
          <w:sz w:val="21"/>
        </w:rPr>
        <w:t>FeatureFlagsOptions wird über IOptionsMonitor statt IOptions injiziert - das ist die Stelle, die von Azure App Configurations Live-Reload ohne Neustart profitieren würde, sobald eine Azure-Subscription vorhanden ist.</w:t>
      </w:r>
    </w:p>
    <w:p w14:paraId="0E064AEB" w14:textId="77777777" w:rsidR="00D95CEF" w:rsidRDefault="00D95CEF" w:rsidP="001174FD">
      <w:pPr>
        <w:spacing w:after="120" w:line="242" w:lineRule="auto"/>
        <w:rPr>
          <w:rFonts w:ascii="Aptos" w:hAnsi="Aptos"/>
          <w:color w:val="243447"/>
          <w:sz w:val="21"/>
        </w:rPr>
      </w:pPr>
      <w:r>
        <w:rPr>
          <w:rFonts w:ascii="Aptos" w:hAnsi="Aptos"/>
          <w:color w:val="243447"/>
          <w:sz w:val="21"/>
        </w:rPr>
        <w:t>Program.cs (Api und Web) prüft AzureAppConfiguration:Endpoint bzw. KeyVault:Uri und registriert AddAzureAppConfiguration/AddAzureKeyVault mit DefaultAzureCredential nur, wenn diese konfiguriert sind - lokal bleibt der Codepfad vollständig inaktiv, ohne dass etwas fehlschlägt.</w:t>
      </w:r>
    </w:p>
    <w:p w14:paraId="6530B0BB" w14:textId="77777777" w:rsidR="00D95CEF" w:rsidRDefault="00D95CEF" w:rsidP="001174FD">
      <w:pPr>
        <w:spacing w:after="120" w:line="242" w:lineRule="auto"/>
        <w:rPr>
          <w:rFonts w:ascii="Aptos" w:hAnsi="Aptos"/>
          <w:color w:val="243447"/>
          <w:sz w:val="21"/>
        </w:rPr>
      </w:pPr>
      <w:r>
        <w:rPr>
          <w:rFonts w:ascii="Aptos" w:hAnsi="Aptos"/>
          <w:color w:val="243447"/>
          <w:sz w:val="21"/>
        </w:rPr>
        <w:t>appsettings.Development.json und appsettings.Production.json demonstrieren unterschiedliche Configuration je Umgebung (höheres Payment-Limit für bequemes Testen lokal, strengeres Logging in Production).</w:t>
      </w:r>
    </w:p>
    <w:p w14:paraId="330EAA3E" w14:textId="3F8CAD80" w:rsidR="00703A6B" w:rsidRPr="001174FD" w:rsidRDefault="00D95CEF" w:rsidP="001174FD">
      <w:pPr>
        <w:spacing w:after="120" w:line="242" w:lineRule="auto"/>
        <w:rPr>
          <w:rFonts w:ascii="Aptos" w:hAnsi="Aptos"/>
          <w:color w:val="243447"/>
          <w:sz w:val="21"/>
        </w:rPr>
      </w:pPr>
      <w:r>
        <w:rPr>
          <w:rFonts w:ascii="Aptos" w:hAnsi="Aptos"/>
          <w:color w:val="243447"/>
          <w:sz w:val="21"/>
        </w:rPr>
        <w:t>Live verifiziert: Eine Zahlung über dem konfigurierten Limit wird mit HTTP 400 und der korrekten, aus der Configuration gelesenen Grenze abgelehnt; eine Zahlung innerhalb des Limits wird angenommen und automatisch zur Freigabe eingereicht (Feature Flag aktiv).</w:t>
      </w:r>
      <w:r w:rsidR="00E50DB3">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46E82DDD" w14:textId="77777777" w:rsidR="005A3C7F" w:rsidRPr="005A3C7F" w:rsidRDefault="005A3C7F" w:rsidP="005A3C7F">
      <w:pPr>
        <w:rPr>
          <w:b/>
        </w:rPr>
      </w:pPr>
      <w:r w:rsidRPr="005A3C7F">
        <w:rPr>
          <w:b/>
        </w:rPr>
        <w:t>Update / Umsetzung (nachträglich ergänzt):</w:t>
      </w:r>
    </w:p>
    <w:p w14:paraId="12AA24DF" w14:textId="77777777" w:rsidR="005A3C7F" w:rsidRPr="005A3C7F" w:rsidRDefault="005A3C7F" w:rsidP="001174FD">
      <w:pPr>
        <w:spacing w:after="120" w:line="242" w:lineRule="auto"/>
        <w:rPr>
          <w:rStyle w:val="Platzhaltertext"/>
        </w:rPr>
      </w:pPr>
      <w:r w:rsidRPr="005A3C7F">
        <w:rPr>
          <w:rStyle w:val="Platzhaltertext"/>
        </w:rPr>
        <w:t>Observability wurde mit dem OpenTelemetry SDK statt dem klassischen Application Insights SDK umgesetzt - herstellerneutraler Industriestandard, von Microsoft selbst als aktueller Weg empfohlen. Details und Begründung: ADR #18 in decisions-backlog.md sowie docs/architecture/observability.md.</w:t>
      </w:r>
    </w:p>
    <w:p w14:paraId="5F80B43B" w14:textId="77777777" w:rsidR="005A3C7F" w:rsidRPr="005A3C7F" w:rsidRDefault="005A3C7F" w:rsidP="001174FD">
      <w:pPr>
        <w:spacing w:after="120" w:line="242" w:lineRule="auto"/>
        <w:rPr>
          <w:rStyle w:val="Platzhaltertext"/>
        </w:rPr>
      </w:pPr>
      <w:r w:rsidRPr="005A3C7F">
        <w:rPr>
          <w:rStyle w:val="Platzhaltertext"/>
        </w:rPr>
        <w:t>Request Telemetry, Dependency Telemetry (SQL, HTTP) und Exception Telemetry laufen über die offiziellen OpenTelemetry-Instrumentierungspakete für ASP.NET Core, HttpClient und SqlClient.</w:t>
      </w:r>
    </w:p>
    <w:p w14:paraId="499DEEC8" w14:textId="77777777" w:rsidR="005A3C7F" w:rsidRPr="005A3C7F" w:rsidRDefault="005A3C7F" w:rsidP="001174FD">
      <w:pPr>
        <w:spacing w:after="120" w:line="242" w:lineRule="auto"/>
        <w:rPr>
          <w:rStyle w:val="Platzhaltertext"/>
        </w:rPr>
      </w:pPr>
      <w:r w:rsidRPr="005A3C7F">
        <w:rPr>
          <w:rStyle w:val="Platzhaltertext"/>
        </w:rPr>
        <w:t>Eigener Trace-Span für den fachlichen Schritt 'Payment Application Service' über eine reine .NET-ActivitySource (Banking.Application/Common/Telemetry.cs). Lokal verifiziert: POST /api/payments erzeugt einen Server-Span, darunter einen PaymentProcessing-Span, darunter den SQL-INSERT-Span - alle drei mit derselben Trace-Id, genau wie gefordert.</w:t>
      </w:r>
    </w:p>
    <w:p w14:paraId="322DF81E" w14:textId="77777777" w:rsidR="005A3C7F" w:rsidRPr="005A3C7F" w:rsidRDefault="005A3C7F" w:rsidP="001174FD">
      <w:pPr>
        <w:spacing w:after="120" w:line="242" w:lineRule="auto"/>
        <w:rPr>
          <w:rStyle w:val="Platzhaltertext"/>
        </w:rPr>
      </w:pPr>
      <w:r w:rsidRPr="005A3C7F">
        <w:rPr>
          <w:rStyle w:val="Platzhaltertext"/>
        </w:rPr>
        <w:t>Vier Custom Metrics wie gefordert: payment.success, payment.failed (mit Tag 'reason'), payment.processing.duration, transaction.search.duration - lokal einzeln gegen echte Api-Aufrufe verifiziert.</w:t>
      </w:r>
    </w:p>
    <w:p w14:paraId="6156F899" w14:textId="77777777" w:rsidR="005A3C7F" w:rsidRPr="005A3C7F" w:rsidRDefault="005A3C7F" w:rsidP="001174FD">
      <w:pPr>
        <w:spacing w:after="120" w:line="242" w:lineRule="auto"/>
        <w:rPr>
          <w:rStyle w:val="Platzhaltertext"/>
        </w:rPr>
      </w:pPr>
      <w:r w:rsidRPr="005A3C7F">
        <w:rPr>
          <w:rStyle w:val="Platzhaltertext"/>
        </w:rPr>
        <w:t>Strukturierte Logs erhalten TraceId/SpanId/ParentId automatisch über ActivityTrackingOptions (reines .NET-Bordmittel) - kein Serilog nötig.</w:t>
      </w:r>
    </w:p>
    <w:p w14:paraId="4E44A0D2" w14:textId="77777777" w:rsidR="005A3C7F" w:rsidRPr="005A3C7F" w:rsidRDefault="005A3C7F" w:rsidP="001174FD">
      <w:pPr>
        <w:spacing w:after="120" w:line="242" w:lineRule="auto"/>
        <w:rPr>
          <w:rStyle w:val="Platzhaltertext"/>
        </w:rPr>
      </w:pPr>
      <w:r w:rsidRPr="005A3C7F">
        <w:rPr>
          <w:rStyle w:val="Platzhaltertext"/>
        </w:rPr>
        <w:t>Keine sensiblen Bankdaten in Tags/Logs: nur Ids (Konto-Id, Zahlungs-Id), nie IBAN oder Betrag. Die SqlClient-Instrumentierung erfasst standardmäßig keinen Query-Text mit Parameterwerten.</w:t>
      </w:r>
    </w:p>
    <w:p w14:paraId="4FEF493A" w14:textId="77777777" w:rsidR="005A3C7F" w:rsidRPr="005A3C7F" w:rsidRDefault="005A3C7F" w:rsidP="001174FD">
      <w:pPr>
        <w:spacing w:after="120" w:line="242" w:lineRule="auto"/>
        <w:rPr>
          <w:rStyle w:val="Platzhaltertext"/>
        </w:rPr>
      </w:pPr>
      <w:r w:rsidRPr="005A3C7F">
        <w:rPr>
          <w:rStyle w:val="Platzhaltertext"/>
        </w:rPr>
        <w:t>Lokal ist immer der Konsolen-Exporter aktiv (keine Azure-Subscription nötig); der Azure-Monitor-Exporter aktiviert sich zusätzlich nur, wenn ApplicationInsights:ConnectionString konfiguriert ist - dasselbe Gate-Muster wie bei Key Vault/App Configuration in Kapitel 9.</w:t>
      </w:r>
    </w:p>
    <w:p w14:paraId="76EEFBF7" w14:textId="77777777" w:rsidR="005A3C7F" w:rsidRPr="005A3C7F" w:rsidRDefault="005A3C7F" w:rsidP="001174FD">
      <w:pPr>
        <w:spacing w:after="120" w:line="242" w:lineRule="auto"/>
        <w:rPr>
          <w:rStyle w:val="Platzhaltertext"/>
        </w:rPr>
      </w:pPr>
      <w:r w:rsidRPr="005A3C7F">
        <w:rPr>
          <w:rStyle w:val="Platzhaltertext"/>
        </w:rPr>
        <w:t>Die geforderte Erklärung 'wie ich Application Insights im Bewerbungsgespräch erklären würde' ist ausformuliert in docs/architecture/observability.md dokumentiert.</w:t>
      </w:r>
    </w:p>
    <w:p w14:paraId="3D6DC2CB" w14:textId="0A54EC04"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32EB0350" w14:textId="77777777" w:rsidR="00DD7AB6" w:rsidRPr="00DD7AB6" w:rsidRDefault="00DD7AB6" w:rsidP="00DD7AB6">
      <w:pPr>
        <w:rPr>
          <w:b/>
        </w:rPr>
      </w:pPr>
      <w:r w:rsidRPr="00DD7AB6">
        <w:rPr>
          <w:b/>
        </w:rPr>
        <w:t>Update / Umsetzung (nachträglich ergänzt):</w:t>
      </w:r>
    </w:p>
    <w:p w14:paraId="140877D3" w14:textId="77777777" w:rsidR="00DD7AB6" w:rsidRPr="00DD7AB6" w:rsidRDefault="00DD7AB6" w:rsidP="001174FD">
      <w:pPr>
        <w:spacing w:after="120" w:line="242" w:lineRule="auto"/>
        <w:rPr>
          <w:rStyle w:val="Platzhaltertext"/>
        </w:rPr>
      </w:pPr>
      <w:r w:rsidRPr="00DD7AB6">
        <w:rPr>
          <w:rStyle w:val="Platzhaltertext"/>
        </w:rPr>
        <w:t>Echtes SAP-RFC/BAPI über den SAP .NET Connector (NCo) war nicht umsetzbar: diese Bibliothek ist proprietär, gibt es nicht auf NuGet und ist nur mit aktivem SAP-Vertrag/-Account beziehbar - ohne SAP-Zugangsdaten weder kompilier- noch testbar. Wie im Anforderungstext selbst vorgesehen ("falls eine echte SAP-RFC-Library nicht verfügbar ist, implementiere eine realistische Abstraktion und Mock-Integration") wurde stattdessen ein realistischer Adapter gebaut. Details/Begründung: ADR #19 in decisions-backlog.md sowie docs/architecture/sap-integration.md.</w:t>
      </w:r>
    </w:p>
    <w:p w14:paraId="1CF94212" w14:textId="77777777" w:rsidR="00DD7AB6" w:rsidRPr="00DD7AB6" w:rsidRDefault="00DD7AB6" w:rsidP="001174FD">
      <w:pPr>
        <w:spacing w:after="120" w:line="242" w:lineRule="auto"/>
        <w:rPr>
          <w:rStyle w:val="Platzhaltertext"/>
        </w:rPr>
      </w:pPr>
      <w:r w:rsidRPr="00DD7AB6">
        <w:rPr>
          <w:rStyle w:val="Platzhaltertext"/>
        </w:rPr>
        <w:t>ISapCustomerService (in Banking.Application, keine SAP-Abhängigkeit) mit GetCustomerAsync() und GetAccountAsync() wie gefordert - Domain/Application kennen ausschließlich dieses Interface und eigene, SAP-unabhängige DTOs (SapCustomerProfile, SapAccountInfo).</w:t>
      </w:r>
    </w:p>
    <w:p w14:paraId="24CB7563" w14:textId="77777777" w:rsidR="00DD7AB6" w:rsidRPr="00DD7AB6" w:rsidRDefault="00DD7AB6" w:rsidP="001174FD">
      <w:pPr>
        <w:spacing w:after="120" w:line="242" w:lineRule="auto"/>
        <w:rPr>
          <w:rStyle w:val="Platzhaltertext"/>
        </w:rPr>
      </w:pPr>
      <w:r w:rsidRPr="00DD7AB6">
        <w:rPr>
          <w:rStyle w:val="Platzhaltertext"/>
        </w:rPr>
        <w:t>SapRfcCustomerService (in Banking.Infrastructure) bildet das in der Praxis verbreitete Muster "RFC-fähiges SAP-Gateway/OData-Service" über einen normalen HttpClient ab, statt über direktes RFC - dadurch tatsächlich lauffähiger, kompilier- und testbarer Code statt einer nur behaupteten SAP-Verbindung.</w:t>
      </w:r>
    </w:p>
    <w:p w14:paraId="7609565D" w14:textId="77777777" w:rsidR="00DD7AB6" w:rsidRPr="00DD7AB6" w:rsidRDefault="00DD7AB6" w:rsidP="001174FD">
      <w:pPr>
        <w:spacing w:after="120" w:line="242" w:lineRule="auto"/>
        <w:rPr>
          <w:rStyle w:val="Platzhaltertext"/>
        </w:rPr>
      </w:pPr>
      <w:r w:rsidRPr="00DD7AB6">
        <w:rPr>
          <w:rStyle w:val="Platzhaltertext"/>
        </w:rPr>
        <w:t>MockSapCustomerService (ebenfalls in Banking.Infrastructure) ist der Standard ohne konfigurierte Sap:BaseUrl - liefert deterministische Fake-Daten und simuliert realistische Latenz sowie reproduzierbare Ausfälle, dasselbe Gate-Muster wie bei Key Vault/App Configuration (Kapitel 9) und Application Insights (Kapitel 10).</w:t>
      </w:r>
    </w:p>
    <w:p w14:paraId="2EF086FA" w14:textId="77777777" w:rsidR="00DD7AB6" w:rsidRPr="00DD7AB6" w:rsidRDefault="00DD7AB6" w:rsidP="001174FD">
      <w:pPr>
        <w:spacing w:after="120" w:line="242" w:lineRule="auto"/>
        <w:rPr>
          <w:rStyle w:val="Platzhaltertext"/>
        </w:rPr>
      </w:pPr>
      <w:r w:rsidRPr="00DD7AB6">
        <w:rPr>
          <w:rStyle w:val="Platzhaltertext"/>
        </w:rPr>
        <w:t>Timeout, Retry und Circuit Breaker laufen über das offizielle Microsoft-Paket Microsoft.Extensions.Http.Resilience (baut auf Polly v8 auf) als Cross-Cutting-Concern, nicht handgeschrieben in der Adapter-Klasse selbst.</w:t>
      </w:r>
    </w:p>
    <w:p w14:paraId="3C71037D" w14:textId="77777777" w:rsidR="00DD7AB6" w:rsidRPr="00DD7AB6" w:rsidRDefault="00DD7AB6" w:rsidP="001174FD">
      <w:pPr>
        <w:spacing w:after="120" w:line="242" w:lineRule="auto"/>
        <w:rPr>
          <w:rStyle w:val="Platzhaltertext"/>
        </w:rPr>
      </w:pPr>
      <w:r w:rsidRPr="00DD7AB6">
        <w:rPr>
          <w:rStyle w:val="Platzhaltertext"/>
        </w:rPr>
        <w:t>Fehlerbehandlung: jede technische Ausnahme (HTTP-Fehler, Timeout/Retry-Erschöpfung, fehlerhaftes JSON) wird an der Systemgrenze in eine einzige SapIntegrationException übersetzt - der Rest der Anwendung kennt nur diesen einen Fehlertyp. Eine echte Cancellation durch den Aufrufer wird davon bewusst ausgenommen und unverändert durchgereicht.</w:t>
      </w:r>
    </w:p>
    <w:p w14:paraId="2C32C8C5" w14:textId="77777777" w:rsidR="00DD7AB6" w:rsidRPr="00DD7AB6" w:rsidRDefault="00DD7AB6" w:rsidP="001174FD">
      <w:pPr>
        <w:spacing w:after="120" w:line="242" w:lineRule="auto"/>
        <w:rPr>
          <w:rStyle w:val="Platzhaltertext"/>
        </w:rPr>
      </w:pPr>
      <w:r w:rsidRPr="00DD7AB6">
        <w:rPr>
          <w:rStyle w:val="Platzhaltertext"/>
        </w:rPr>
        <w:t>Graceful Degradation statt Komplettausfall: der neue Anwendungsfall GetCustomerSapProfileHandler (GET /api/customers/{id}/sap-profile, eine "Customer 360"-Ansicht) fängt SapIntegrationException gezielt ab und liefert bei nicht erreichbarem SAP trotzdem 200 OK mit den lokalen Daten und sapAvailable=false, statt die ganze Anfrage mit 500 scheitern zu lassen.</w:t>
      </w:r>
    </w:p>
    <w:p w14:paraId="1A50F4AF" w14:textId="77777777" w:rsidR="00DD7AB6" w:rsidRPr="00DD7AB6" w:rsidRDefault="00DD7AB6" w:rsidP="001174FD">
      <w:pPr>
        <w:spacing w:after="120" w:line="242" w:lineRule="auto"/>
        <w:rPr>
          <w:rStyle w:val="Platzhaltertext"/>
        </w:rPr>
      </w:pPr>
      <w:r w:rsidRPr="00DD7AB6">
        <w:rPr>
          <w:rStyle w:val="Platzhaltertext"/>
        </w:rPr>
        <w:t>Mapping SAP-Modell und internes Domain-Modell: SapCustomerResponse/SapAccountResponse (BAPI-artige Feldnamen wie StCd1, Stras, Land1) sind ausschließlich SapRfcCustomerService bekannt, die Übersetzung passiert explizit an dieser einen Stelle.</w:t>
      </w:r>
    </w:p>
    <w:p w14:paraId="050D87D5" w14:textId="77777777" w:rsidR="00DD7AB6" w:rsidRPr="00DD7AB6" w:rsidRDefault="00DD7AB6" w:rsidP="001174FD">
      <w:pPr>
        <w:spacing w:after="120" w:line="242" w:lineRule="auto"/>
        <w:rPr>
          <w:rStyle w:val="Platzhaltertext"/>
        </w:rPr>
      </w:pPr>
      <w:r w:rsidRPr="00DD7AB6">
        <w:rPr>
          <w:rStyle w:val="Platzhaltertext"/>
        </w:rPr>
        <w:t>Lokal verifiziert: sowohl der Happy Path gegen MockSapCustomerService als auch der Ausfall-Pfad gegen die echte, HttpClient-basierte SapRfcCustomerService (gegen einen absichtlich nicht erreichbaren Port getestet) wurden über den laufenden Api-Endpunkt bestätigt - inklusive greifendem Retry/Timeout und korrektem sapAvailable=false statt eines Serverfehlers.</w:t>
      </w:r>
    </w:p>
    <w:p w14:paraId="25E09D9B" w14:textId="77777777" w:rsidR="00DD7AB6" w:rsidRPr="00DD7AB6" w:rsidRDefault="00DD7AB6" w:rsidP="001174FD">
      <w:pPr>
        <w:spacing w:after="120" w:line="242" w:lineRule="auto"/>
        <w:rPr>
          <w:rStyle w:val="Platzhaltertext"/>
        </w:rPr>
      </w:pPr>
      <w:r w:rsidRPr="00DD7AB6">
        <w:rPr>
          <w:rStyle w:val="Platzhaltertext"/>
        </w:rPr>
        <w:t>Die geforderte Erklärung 'warum ein Adapter für SAP sinnvoll ist' ist ausformuliert in docs/architecture/sap-integration.md dokumentiert.</w:t>
      </w:r>
    </w:p>
    <w:p w14:paraId="7C87A84C" w14:textId="484BFAC8"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6171E9B6"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15CE0047"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D06F904"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E50DB3"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72557" w14:textId="77777777" w:rsidR="00E50DB3" w:rsidRDefault="00E50DB3" w:rsidP="006D2391">
      <w:pPr>
        <w:spacing w:after="0" w:line="240" w:lineRule="auto"/>
      </w:pPr>
      <w:r>
        <w:separator/>
      </w:r>
    </w:p>
  </w:endnote>
  <w:endnote w:type="continuationSeparator" w:id="0">
    <w:p w14:paraId="5DC52387" w14:textId="77777777" w:rsidR="00E50DB3" w:rsidRDefault="00E50DB3"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EF2C2" w14:textId="77777777" w:rsidR="00E50DB3" w:rsidRDefault="00E50DB3" w:rsidP="006D2391">
      <w:pPr>
        <w:spacing w:after="0" w:line="240" w:lineRule="auto"/>
      </w:pPr>
      <w:r>
        <w:separator/>
      </w:r>
    </w:p>
  </w:footnote>
  <w:footnote w:type="continuationSeparator" w:id="0">
    <w:p w14:paraId="5814FA8A" w14:textId="77777777" w:rsidR="00E50DB3" w:rsidRDefault="00E50DB3"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011AC3"/>
    <w:rsid w:val="00065970"/>
    <w:rsid w:val="001174FD"/>
    <w:rsid w:val="001411C7"/>
    <w:rsid w:val="001C33AD"/>
    <w:rsid w:val="002E2926"/>
    <w:rsid w:val="00350CB5"/>
    <w:rsid w:val="00403279"/>
    <w:rsid w:val="00542AD5"/>
    <w:rsid w:val="00592786"/>
    <w:rsid w:val="005A3C7F"/>
    <w:rsid w:val="00643C4C"/>
    <w:rsid w:val="00676EFD"/>
    <w:rsid w:val="006D2391"/>
    <w:rsid w:val="006E353E"/>
    <w:rsid w:val="00703A6B"/>
    <w:rsid w:val="007A6CD4"/>
    <w:rsid w:val="00817136"/>
    <w:rsid w:val="00862C4C"/>
    <w:rsid w:val="009C1D72"/>
    <w:rsid w:val="00A029F9"/>
    <w:rsid w:val="00A91960"/>
    <w:rsid w:val="00AF72C2"/>
    <w:rsid w:val="00C42977"/>
    <w:rsid w:val="00C87139"/>
    <w:rsid w:val="00CA2DBF"/>
    <w:rsid w:val="00CF7520"/>
    <w:rsid w:val="00D95CEF"/>
    <w:rsid w:val="00DD7AB6"/>
    <w:rsid w:val="00E40C4F"/>
    <w:rsid w:val="00E50DB3"/>
    <w:rsid w:val="00E6485E"/>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 w:type="character" w:styleId="Platzhaltertext">
    <w:name w:val="Placeholder Text"/>
    <w:basedOn w:val="Absatz-Standardschriftart"/>
    <w:uiPriority w:val="99"/>
    <w:semiHidden/>
    <w:rsid w:val="002E29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5036</Words>
  <Characters>31729</Characters>
  <Application>Microsoft Office Word</Application>
  <DocSecurity>0</DocSecurity>
  <Lines>264</Lines>
  <Paragraphs>73</Paragraphs>
  <ScaleCrop>false</ScaleCrop>
  <Company/>
  <LinksUpToDate>false</LinksUpToDate>
  <CharactersWithSpaces>36692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14</cp:revision>
  <dcterms:created xsi:type="dcterms:W3CDTF">2026-08-29T10:44:00Z</dcterms:created>
  <dcterms:modified xsi:type="dcterms:W3CDTF">2026-08-31T20:35:00Z</dcterms:modified>
</cp:coreProperties>
</file>