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F497D"/>
          <w:sz w:val="44"/>
        </w:rPr>
        <w:t>Qualitäts-Muster-Finder</w:t>
      </w:r>
    </w:p>
    <w:p>
      <w:pPr>
        <w:jc w:val="center"/>
      </w:pPr>
      <w:r>
        <w:rPr>
          <w:color w:val="555555"/>
          <w:sz w:val="28"/>
        </w:rPr>
        <w:t>Fortschrittsbericht — Anfang Woche 3</w:t>
      </w:r>
    </w:p>
    <w:p/>
    <w:p>
      <w:pPr>
        <w:jc w:val="center"/>
      </w:pPr>
      <w:r>
        <w:rPr>
          <w:color w:val="555555"/>
          <w:sz w:val="22"/>
        </w:rPr>
        <w:t>Datenanalyse-Projekt · 14.08.2026</w:t>
        <w:br/>
        <w:t>Datenbasis: IQTIG Qualitätsberichte 2023 · 1.821 Krankenhäuser</w:t>
      </w:r>
    </w:p>
    <w:p/>
    <w:p/>
    <w:p>
      <w:pPr>
        <w:spacing w:before="0" w:after="0"/>
      </w:pPr>
      <w:r>
        <w:rPr>
          <w:b w:val="0"/>
          <w:i/>
          <w:color w:val="555555"/>
          <w:sz w:val="22"/>
        </w:rPr>
        <w:t>Dieser Bericht dokumentiert den Projektfortschritt nach Abschluss der ersten zwei Arbeitswochen. Gezeigt werden die Aufgaben, die laut Projektplan bis zu diesem Zeitpunkt erledigt sein sollten: Datenvorbereitung (Baustein 1) und Deskriptive Analyse (Baustein 2). Die Umsetzung dieser Schritte erfolgte mit Python und Power BI.</w:t>
      </w:r>
    </w:p>
    <w:p>
      <w:r>
        <w:br w:type="page"/>
      </w:r>
    </w:p>
    <w:p>
      <w:pPr>
        <w:pStyle w:val="Heading1"/>
        <w:spacing w:before="280" w:after="80"/>
      </w:pPr>
      <w:r>
        <w:rPr>
          <w:b/>
          <w:color w:val="1F497D"/>
          <w:sz w:val="28"/>
        </w:rPr>
        <w:t>1  Projektübersicht</w:t>
      </w:r>
    </w:p>
    <w:p>
      <w:pPr>
        <w:pStyle w:val="Heading2"/>
        <w:spacing w:before="200" w:after="60"/>
      </w:pPr>
      <w:r>
        <w:rPr>
          <w:b/>
          <w:color w:val="BF5A00"/>
          <w:sz w:val="24"/>
        </w:rPr>
        <w:t>1.1  Fragestellung</w:t>
      </w:r>
    </w:p>
    <w:p>
      <w:pPr>
        <w:spacing w:before="0" w:after="100"/>
      </w:pPr>
      <w:r>
        <w:rPr>
          <w:b/>
          <w:i w:val="0"/>
          <w:sz w:val="22"/>
        </w:rPr>
        <w:t>Welche Krankenhausmerkmale hängen damit zusammen, dass ein Haus überdurchschnittlich viele Qualitätsprobleme aufweist?</w:t>
      </w:r>
    </w:p>
    <w:p>
      <w:pPr>
        <w:pStyle w:val="Heading2"/>
        <w:spacing w:before="200" w:after="60"/>
      </w:pPr>
      <w:r>
        <w:rPr>
          <w:b/>
          <w:color w:val="BF5A00"/>
          <w:sz w:val="24"/>
        </w:rPr>
        <w:t>1.2  Datenbasis</w:t>
      </w:r>
    </w:p>
    <w:tbl>
      <w:tblPr>
        <w:tblStyle w:val="TableGrid"/>
        <w:tblW w:type="auto" w:w="0"/>
        <w:tblLook w:firstColumn="1" w:firstRow="1" w:lastColumn="0" w:lastRow="0" w:noHBand="0" w:noVBand="1" w:val="04A0"/>
      </w:tblPr>
      <w:tblGrid>
        <w:gridCol w:w="4561"/>
        <w:gridCol w:w="4561"/>
      </w:tblGrid>
      <w:tr>
        <w:tc>
          <w:tcPr>
            <w:tcW w:type="dxa" w:w="3118"/>
            <w:shd w:fill="1F497D" w:val="clear"/>
          </w:tcPr>
          <w:p>
            <w:r>
              <w:rPr>
                <w:b/>
                <w:color w:val="FFFFFF"/>
                <w:sz w:val="20"/>
              </w:rPr>
              <w:t>Kennzahl</w:t>
            </w:r>
          </w:p>
        </w:tc>
        <w:tc>
          <w:tcPr>
            <w:tcW w:type="dxa" w:w="5386"/>
            <w:shd w:fill="1F497D" w:val="clear"/>
          </w:tcPr>
          <w:p>
            <w:r>
              <w:rPr>
                <w:b/>
                <w:color w:val="FFFFFF"/>
                <w:sz w:val="20"/>
              </w:rPr>
              <w:t>Wert</w:t>
            </w:r>
          </w:p>
        </w:tc>
      </w:tr>
      <w:tr>
        <w:tc>
          <w:tcPr>
            <w:tcW w:type="dxa" w:w="3118"/>
          </w:tcPr>
          <w:p>
            <w:r>
              <w:rPr>
                <w:sz w:val="20"/>
              </w:rPr>
              <w:t>Datenjahr</w:t>
            </w:r>
          </w:p>
        </w:tc>
        <w:tc>
          <w:tcPr>
            <w:tcW w:type="dxa" w:w="5386"/>
          </w:tcPr>
          <w:p>
            <w:r>
              <w:rPr>
                <w:sz w:val="20"/>
              </w:rPr>
              <w:t>2023 · Quelle: IQTIG / G-BA</w:t>
            </w:r>
          </w:p>
        </w:tc>
      </w:tr>
      <w:tr>
        <w:tc>
          <w:tcPr>
            <w:tcW w:type="dxa" w:w="3118"/>
          </w:tcPr>
          <w:p>
            <w:r>
              <w:rPr>
                <w:sz w:val="20"/>
              </w:rPr>
              <w:t>Krankenhäuser</w:t>
            </w:r>
          </w:p>
        </w:tc>
        <w:tc>
          <w:tcPr>
            <w:tcW w:type="dxa" w:w="5386"/>
          </w:tcPr>
          <w:p>
            <w:r>
              <w:rPr>
                <w:sz w:val="20"/>
              </w:rPr>
              <w:t>1.821 (mit auswertbarer Qualitätsbewertung)</w:t>
            </w:r>
          </w:p>
        </w:tc>
      </w:tr>
      <w:tr>
        <w:tc>
          <w:tcPr>
            <w:tcW w:type="dxa" w:w="3118"/>
          </w:tcPr>
          <w:p>
            <w:r>
              <w:rPr>
                <w:sz w:val="20"/>
              </w:rPr>
              <w:t>CSV-Dateien gesamt</w:t>
            </w:r>
          </w:p>
        </w:tc>
        <w:tc>
          <w:tcPr>
            <w:tcW w:type="dxa" w:w="5386"/>
          </w:tcPr>
          <w:p>
            <w:r>
              <w:rPr>
                <w:sz w:val="20"/>
              </w:rPr>
              <w:t>86 · ca. 1,2 GB</w:t>
            </w:r>
          </w:p>
        </w:tc>
      </w:tr>
      <w:tr>
        <w:tc>
          <w:tcPr>
            <w:tcW w:type="dxa" w:w="3118"/>
          </w:tcPr>
          <w:p>
            <w:r>
              <w:rPr>
                <w:sz w:val="20"/>
              </w:rPr>
              <w:t>Ziel-Variable</w:t>
            </w:r>
          </w:p>
        </w:tc>
        <w:tc>
          <w:tcPr>
            <w:tcW w:type="dxa" w:w="5386"/>
          </w:tcPr>
          <w:p>
            <w:r>
              <w:rPr>
                <w:sz w:val="20"/>
              </w:rPr>
              <w:t>hat_viele_Probleme (0 = wenige, 1 = viele)</w:t>
            </w:r>
          </w:p>
        </w:tc>
      </w:tr>
      <w:tr>
        <w:tc>
          <w:tcPr>
            <w:tcW w:type="dxa" w:w="3118"/>
          </w:tcPr>
          <w:p>
            <w:r>
              <w:rPr>
                <w:sz w:val="20"/>
              </w:rPr>
              <w:t>Analysetabelle</w:t>
            </w:r>
          </w:p>
        </w:tc>
        <w:tc>
          <w:tcPr>
            <w:tcW w:type="dxa" w:w="5386"/>
          </w:tcPr>
          <w:p>
            <w:r>
              <w:rPr>
                <w:sz w:val="20"/>
              </w:rPr>
              <w:t>analysetabelle.csv · 1.821 Zeilen · 18 Spalten</w:t>
            </w:r>
          </w:p>
        </w:tc>
      </w:tr>
      <w:tr>
        <w:tc>
          <w:tcPr>
            <w:tcW w:type="dxa" w:w="3118"/>
          </w:tcPr>
          <w:p>
            <w:r>
              <w:rPr>
                <w:sz w:val="20"/>
              </w:rPr>
              <w:t>Python-Hauptdatei</w:t>
            </w:r>
          </w:p>
        </w:tc>
        <w:tc>
          <w:tcPr>
            <w:tcW w:type="dxa" w:w="5386"/>
          </w:tcPr>
          <w:p>
            <w:r>
              <w:rPr>
                <w:sz w:val="20"/>
              </w:rPr>
              <w:t>Notebooks/01_Exploration.ipynb</w:t>
            </w:r>
          </w:p>
        </w:tc>
      </w:tr>
    </w:tbl>
    <w:p>
      <w:pPr>
        <w:spacing w:before="0" w:after="100"/>
      </w:pPr>
      <w:r>
        <w:rPr>
          <w:b w:val="0"/>
          <w:i/>
          <w:color w:val="555555"/>
          <w:sz w:val="20"/>
        </w:rPr>
        <w:t>IQTIG — Institut für Qualitätssicherung und Transparenz im Gesundheitswesen: Bundesbehörde, die im Auftrag des G-BA die jährlichen Qualitätsberichte aller deutschen Krankenhäuser erhebt, auswertet und veröffentlicht. G-BA — Gemeinsamer Bundesausschuss: oberstes Beschlussgremium der gemeinsamen Selbstverwaltung im deutschen Gesundheitswesen; legt fest, welche Qualitätsindikatoren erhoben werden müssen.</w:t>
      </w:r>
    </w:p>
    <w:p/>
    <w:p>
      <w:r>
        <w:br w:type="page"/>
      </w:r>
    </w:p>
    <w:p>
      <w:pPr>
        <w:pStyle w:val="Heading1"/>
        <w:spacing w:before="280" w:after="80"/>
      </w:pPr>
      <w:r>
        <w:rPr>
          <w:b/>
          <w:color w:val="1F497D"/>
          <w:sz w:val="28"/>
        </w:rPr>
        <w:t>2  Baustein 1 — Datenvorbereitung  (Woche 1)</w:t>
      </w:r>
    </w:p>
    <w:p>
      <w:pPr>
        <w:spacing w:before="0" w:after="100"/>
      </w:pPr>
      <w:r>
        <w:rPr>
          <w:b w:val="0"/>
          <w:i w:val="0"/>
          <w:sz w:val="22"/>
        </w:rPr>
        <w:t>Notebook: Notebooks/01_Exploration.ipynb  ·  Ergebnis: Data/analysetabelle.csv</w:t>
      </w:r>
    </w:p>
    <w:p>
      <w:pPr>
        <w:spacing w:before="80" w:after="80"/>
        <w:pBdr>
          <w:bottom w:val="single" w:sz="4" w:space="1" w:color="CCCCCC"/>
        </w:pBdr>
      </w:pPr>
    </w:p>
    <w:p>
      <w:pPr>
        <w:pStyle w:val="Heading2"/>
        <w:spacing w:before="200" w:after="60"/>
      </w:pPr>
      <w:r>
        <w:rPr>
          <w:b/>
          <w:color w:val="BF5A00"/>
          <w:sz w:val="24"/>
        </w:rPr>
        <w:t>2.1  Datensatz erkunden — Join-Schlüssel finden</w:t>
      </w:r>
    </w:p>
    <w:p>
      <w:pPr>
        <w:spacing w:before="0" w:after="100"/>
      </w:pPr>
      <w:r>
        <w:rPr>
          <w:b w:val="0"/>
          <w:i w:val="0"/>
          <w:sz w:val="22"/>
        </w:rPr>
        <w:t>Von allen 86 CSV-Dateien wurden mit `nrows=0` nur die Spaltennamen geladen (kein einziger Datensatz), um schnell den universellen Join-Schlüssel zu finden: SO.QBID erscheint in 60 der 86 Dateien.</w:t>
      </w:r>
    </w:p>
    <w:p>
      <w:pPr>
        <w:spacing w:before="40" w:after="40"/>
        <w:ind w:left="454"/>
      </w:pPr>
      <w:r>
        <w:rPr>
          <w:rFonts w:ascii="Courier New" w:hAnsi="Courier New"/>
          <w:color w:val="2C3E50"/>
          <w:sz w:val="19"/>
        </w:rPr>
        <w:t xml:space="preserve">df_header = pd.read_csv(datei, nrows=0)   </w:t>
      </w:r>
      <w:r>
        <w:rPr>
          <w:rFonts w:ascii="Courier New" w:hAnsi="Courier New"/>
          <w:color w:val="277A3B"/>
          <w:sz w:val="19"/>
        </w:rPr>
        <w:t># nur Spaltenheader, keine Daten</w:t>
      </w:r>
    </w:p>
    <w:p>
      <w:pPr>
        <w:spacing w:before="40" w:after="40"/>
        <w:ind w:left="454"/>
      </w:pPr>
      <w:r>
        <w:rPr>
          <w:rFonts w:ascii="Courier New" w:hAnsi="Courier New"/>
          <w:color w:val="2C3E50"/>
          <w:sz w:val="19"/>
        </w:rPr>
        <w:t xml:space="preserve">spalten_zaehler = Counter()               </w:t>
      </w:r>
      <w:r>
        <w:rPr>
          <w:rFonts w:ascii="Courier New" w:hAnsi="Courier New"/>
          <w:color w:val="277A3B"/>
          <w:sz w:val="19"/>
        </w:rPr>
        <w:t># zählt Spalten über alle Dateien</w:t>
      </w:r>
    </w:p>
    <w:p>
      <w:pPr>
        <w:spacing w:before="40" w:after="40"/>
        <w:ind w:left="454"/>
      </w:pPr>
      <w:r>
        <w:rPr>
          <w:rFonts w:ascii="Courier New" w:hAnsi="Courier New"/>
          <w:color w:val="2C3E50"/>
          <w:sz w:val="19"/>
        </w:rPr>
        <w:t>→ SO.QBID: 60 Dateien  |  ABTID: 5 Dateien</w:t>
      </w:r>
    </w:p>
    <w:p>
      <w:pPr>
        <w:spacing w:before="0" w:after="100"/>
      </w:pPr>
      <w:r>
        <w:rPr>
          <w:b w:val="0"/>
          <w:i/>
          <w:color w:val="555555"/>
          <w:sz w:val="20"/>
        </w:rPr>
        <w:t>SO.QBID — Qualitätsbericht-ID des Standorts: eindeutige Nummer, die jedem Krankenhaus-Standort zugeteilt ist und in fast allen Tabellen vorkommt. Sie ist der universelle Verbindungsschlüssel des gesamten Datensatzes. ABTID — Abteilungs-ID: eindeutige Nummer einer einzelnen Fachabteilung innerhalb eines Krankenhauses (z. B. Chirurgie oder Innere Medizin). Sie verbindet FA.csv (Abteilungsliste) mit FA.Personalliste.csv (Personal je Abteilung).</w:t>
      </w:r>
    </w:p>
    <w:p>
      <w:pPr>
        <w:pStyle w:val="Heading2"/>
        <w:spacing w:before="200" w:after="60"/>
      </w:pPr>
      <w:r>
        <w:rPr>
          <w:b/>
          <w:color w:val="BF5A00"/>
          <w:sz w:val="24"/>
        </w:rPr>
        <w:t>2.2  Ziel-Variable berechnen  (QS.Qualitätsindikator.csv)</w:t>
      </w:r>
    </w:p>
    <w:p>
      <w:pPr>
        <w:spacing w:before="0" w:after="100"/>
      </w:pPr>
      <w:r>
        <w:rPr>
          <w:b/>
          <w:i w:val="0"/>
          <w:sz w:val="22"/>
        </w:rPr>
        <w:t xml:space="preserve">Warum steckt die Ziel-Variable genau in dieser Datei? </w:t>
      </w:r>
      <w:r>
        <w:rPr>
          <w:b w:val="0"/>
          <w:i w:val="0"/>
          <w:sz w:val="22"/>
        </w:rPr>
        <w:t xml:space="preserve">Beim Durchsuchen der 86 CSV-Header fiel diese Datei durch zwei Eigenschaften auf: Sie ist mit 911 MB die größte Datei im Datensatz — ein Signal für zentrale Inhaltsdaten. Außerdem enthält sie die Spalte </w:t>
      </w:r>
      <w:r>
        <w:rPr>
          <w:b/>
          <w:i w:val="0"/>
          <w:sz w:val="22"/>
        </w:rPr>
        <w:t>QSErgBewStrukDialog</w:t>
      </w:r>
      <w:r>
        <w:rPr>
          <w:b w:val="0"/>
          <w:i w:val="0"/>
          <w:sz w:val="22"/>
        </w:rPr>
        <w:t xml:space="preserve"> (= Ergebnis der Bewertung im Strukturierten Dialog). Damit war klar: Diese Spalte ist die gesuchte Bewertung.</w:t>
      </w:r>
    </w:p>
    <w:p>
      <w:pPr>
        <w:spacing w:before="0" w:after="100"/>
      </w:pPr>
      <w:r>
        <w:rPr>
          <w:b/>
          <w:i w:val="0"/>
          <w:sz w:val="22"/>
        </w:rPr>
        <w:t xml:space="preserve">Korrektur (2026-08-14): </w:t>
      </w:r>
      <w:r>
        <w:rPr>
          <w:b w:val="0"/>
          <w:i w:val="0"/>
          <w:sz w:val="22"/>
        </w:rPr>
        <w:t>Die Codes wurden zunächst falsch gelesen (R* wurde als 'auffällig' gezählt). Der offizielle IQTIG-Bericht ('Bericht zum Strukturierten Dialog 2021, EJ 2020') zeigt: R10 bedeutet 'Ergebnis liegt im Referenzbereich', also nicht auffällig — das Gegenteil der ursprünglichen Annahme. Korrekt: N01/N02/N99 = keine Bewertung vorgesehen (ausgeschlossen), R10 = nicht auffällig, alle übrigen Codes (H/U/A/D/S) = auffällig. Alle Zahlen in diesem Abschnitt 2.2 sind bereits die korrigierte Version.</w:t>
      </w:r>
    </w:p>
    <w:p>
      <w:pPr>
        <w:spacing w:before="0" w:after="100"/>
      </w:pPr>
      <w:r>
        <w:rPr>
          <w:b w:val="0"/>
          <w:i w:val="0"/>
          <w:sz w:val="22"/>
        </w:rPr>
        <w:t xml:space="preserve">Die zweite wichtige Spalte ist </w:t>
      </w:r>
      <w:r>
        <w:rPr>
          <w:b/>
          <w:i w:val="0"/>
          <w:sz w:val="22"/>
        </w:rPr>
        <w:t>QSQI.ArtDesWertes</w:t>
      </w:r>
      <w:r>
        <w:rPr>
          <w:b w:val="0"/>
          <w:i w:val="0"/>
          <w:sz w:val="22"/>
        </w:rPr>
        <w:t>. Sie gibt an, ob eine Zeile ein echter Qualitätsindikator (QI) oder nur eine Fallzählung (EKez, TKez, KKez) ist. Fallzählungen enthalten keine Bewertung und müssen herausgefiltert werden.</w:t>
      </w:r>
    </w:p>
    <w:p>
      <w:pPr>
        <w:spacing w:before="0" w:after="100"/>
      </w:pPr>
      <w:r>
        <w:rPr>
          <w:b w:val="0"/>
          <w:i w:val="0"/>
          <w:sz w:val="22"/>
        </w:rPr>
        <w:t>Ergebnis der Bereinigung — Zeilen nach jedem Schritt:</w:t>
      </w:r>
    </w:p>
    <w:tbl>
      <w:tblPr>
        <w:tblStyle w:val="TableGrid"/>
        <w:tblW w:type="auto" w:w="0"/>
        <w:tblLook w:firstColumn="1" w:firstRow="1" w:lastColumn="0" w:lastRow="0" w:noHBand="0" w:noVBand="1" w:val="04A0"/>
      </w:tblPr>
      <w:tblGrid>
        <w:gridCol w:w="2280"/>
        <w:gridCol w:w="2280"/>
        <w:gridCol w:w="2280"/>
        <w:gridCol w:w="2280"/>
      </w:tblGrid>
      <w:tr>
        <w:tc>
          <w:tcPr>
            <w:tcW w:type="dxa" w:w="1417"/>
            <w:shd w:fill="1F497D" w:val="clear"/>
          </w:tcPr>
          <w:p>
            <w:r>
              <w:rPr>
                <w:b/>
                <w:color w:val="FFFFFF"/>
                <w:sz w:val="20"/>
              </w:rPr>
              <w:t>Schritt</w:t>
            </w:r>
          </w:p>
        </w:tc>
        <w:tc>
          <w:tcPr>
            <w:tcW w:type="dxa" w:w="4252"/>
            <w:shd w:fill="1F497D" w:val="clear"/>
          </w:tcPr>
          <w:p>
            <w:r>
              <w:rPr>
                <w:b/>
                <w:color w:val="FFFFFF"/>
                <w:sz w:val="20"/>
              </w:rPr>
              <w:t>Beschreibung</w:t>
            </w:r>
          </w:p>
        </w:tc>
        <w:tc>
          <w:tcPr>
            <w:tcW w:type="dxa" w:w="1417"/>
            <w:shd w:fill="1F497D" w:val="clear"/>
          </w:tcPr>
          <w:p>
            <w:r>
              <w:rPr>
                <w:b/>
                <w:color w:val="FFFFFF"/>
                <w:sz w:val="20"/>
              </w:rPr>
              <w:t>Entfernt</w:t>
            </w:r>
          </w:p>
        </w:tc>
        <w:tc>
          <w:tcPr>
            <w:tcW w:type="dxa" w:w="1417"/>
            <w:shd w:fill="1F497D" w:val="clear"/>
          </w:tcPr>
          <w:p>
            <w:r>
              <w:rPr>
                <w:b/>
                <w:color w:val="FFFFFF"/>
                <w:sz w:val="20"/>
              </w:rPr>
              <w:t>Verbleibend</w:t>
            </w:r>
          </w:p>
        </w:tc>
      </w:tr>
      <w:tr>
        <w:tc>
          <w:tcPr>
            <w:tcW w:type="dxa" w:w="1417"/>
          </w:tcPr>
          <w:p>
            <w:r>
              <w:rPr>
                <w:sz w:val="20"/>
              </w:rPr>
              <w:t>Start</w:t>
            </w:r>
          </w:p>
        </w:tc>
        <w:tc>
          <w:tcPr>
            <w:tcW w:type="dxa" w:w="4252"/>
          </w:tcPr>
          <w:p>
            <w:r>
              <w:rPr>
                <w:sz w:val="20"/>
              </w:rPr>
              <w:t>Ausgangsdatensatz QS.Qualitätsindikator.csv</w:t>
            </w:r>
          </w:p>
        </w:tc>
        <w:tc>
          <w:tcPr>
            <w:tcW w:type="dxa" w:w="1417"/>
          </w:tcPr>
          <w:p>
            <w:r>
              <w:rPr>
                <w:sz w:val="20"/>
              </w:rPr>
              <w:t>—</w:t>
            </w:r>
          </w:p>
        </w:tc>
        <w:tc>
          <w:tcPr>
            <w:tcW w:type="dxa" w:w="1417"/>
          </w:tcPr>
          <w:p>
            <w:r>
              <w:rPr>
                <w:sz w:val="20"/>
              </w:rPr>
              <w:t>417.799</w:t>
            </w:r>
          </w:p>
        </w:tc>
      </w:tr>
      <w:tr>
        <w:tc>
          <w:tcPr>
            <w:tcW w:type="dxa" w:w="1417"/>
          </w:tcPr>
          <w:p>
            <w:r>
              <w:rPr>
                <w:sz w:val="20"/>
              </w:rPr>
              <w:t>Schritt 1</w:t>
            </w:r>
          </w:p>
        </w:tc>
        <w:tc>
          <w:tcPr>
            <w:tcW w:type="dxa" w:w="4252"/>
          </w:tcPr>
          <w:p>
            <w:r>
              <w:rPr>
                <w:sz w:val="20"/>
              </w:rPr>
              <w:t>Zählkennzahlen entfernt (EKez 33.557 · TKez 56.977 · KKez 18.539)</w:t>
            </w:r>
          </w:p>
        </w:tc>
        <w:tc>
          <w:tcPr>
            <w:tcW w:type="dxa" w:w="1417"/>
          </w:tcPr>
          <w:p>
            <w:r>
              <w:rPr>
                <w:sz w:val="20"/>
              </w:rPr>
              <w:t>109.073</w:t>
            </w:r>
          </w:p>
        </w:tc>
        <w:tc>
          <w:tcPr>
            <w:tcW w:type="dxa" w:w="1417"/>
          </w:tcPr>
          <w:p>
            <w:r>
              <w:rPr>
                <w:sz w:val="20"/>
              </w:rPr>
              <w:t>308.726</w:t>
            </w:r>
          </w:p>
        </w:tc>
      </w:tr>
      <w:tr>
        <w:tc>
          <w:tcPr>
            <w:tcW w:type="dxa" w:w="1417"/>
          </w:tcPr>
          <w:p>
            <w:r>
              <w:rPr>
                <w:sz w:val="20"/>
              </w:rPr>
              <w:t>Schritt 2</w:t>
            </w:r>
          </w:p>
        </w:tc>
        <w:tc>
          <w:tcPr>
            <w:tcW w:type="dxa" w:w="4252"/>
          </w:tcPr>
          <w:p>
            <w:r>
              <w:rPr>
                <w:sz w:val="20"/>
              </w:rPr>
              <w:t>N* entfernt — N01/N02/N99, nicht bewertet ≠ unauffällig</w:t>
            </w:r>
          </w:p>
        </w:tc>
        <w:tc>
          <w:tcPr>
            <w:tcW w:type="dxa" w:w="1417"/>
          </w:tcPr>
          <w:p>
            <w:r>
              <w:rPr>
                <w:sz w:val="20"/>
              </w:rPr>
              <w:t>109.956</w:t>
            </w:r>
          </w:p>
        </w:tc>
        <w:tc>
          <w:tcPr>
            <w:tcW w:type="dxa" w:w="1417"/>
          </w:tcPr>
          <w:p>
            <w:r>
              <w:rPr>
                <w:sz w:val="20"/>
              </w:rPr>
              <w:t>198.770</w:t>
            </w:r>
          </w:p>
        </w:tc>
      </w:tr>
      <w:tr>
        <w:tc>
          <w:tcPr>
            <w:tcW w:type="dxa" w:w="1417"/>
          </w:tcPr>
          <w:p>
            <w:r>
              <w:rPr>
                <w:sz w:val="20"/>
              </w:rPr>
              <w:t>Schritt 3</w:t>
            </w:r>
          </w:p>
        </w:tc>
        <w:tc>
          <w:tcPr>
            <w:tcW w:type="dxa" w:w="4252"/>
          </w:tcPr>
          <w:p>
            <w:r>
              <w:rPr>
                <w:sz w:val="20"/>
              </w:rPr>
              <w:t>Duplikate entfernt — je Haus+Indikator eine Zeile (61 % der Zeilen!)</w:t>
            </w:r>
          </w:p>
        </w:tc>
        <w:tc>
          <w:tcPr>
            <w:tcW w:type="dxa" w:w="1417"/>
          </w:tcPr>
          <w:p>
            <w:r>
              <w:rPr>
                <w:sz w:val="20"/>
              </w:rPr>
              <w:t>121.233</w:t>
            </w:r>
          </w:p>
        </w:tc>
        <w:tc>
          <w:tcPr>
            <w:tcW w:type="dxa" w:w="1417"/>
          </w:tcPr>
          <w:p>
            <w:r>
              <w:rPr>
                <w:sz w:val="20"/>
              </w:rPr>
              <w:t>77.537</w:t>
            </w:r>
          </w:p>
        </w:tc>
      </w:tr>
      <w:tr>
        <w:tc>
          <w:tcPr>
            <w:tcW w:type="dxa" w:w="1417"/>
          </w:tcPr>
          <w:p>
            <w:r>
              <w:rPr>
                <w:sz w:val="20"/>
              </w:rPr>
              <w:t>Ergebnis</w:t>
            </w:r>
          </w:p>
        </w:tc>
        <w:tc>
          <w:tcPr>
            <w:tcW w:type="dxa" w:w="4252"/>
          </w:tcPr>
          <w:p>
            <w:r>
              <w:rPr>
                <w:sz w:val="20"/>
              </w:rPr>
              <w:t>Einzigartige Häuser: 1.821 · Ø 42,6 Indikatoren/Haus</w:t>
            </w:r>
          </w:p>
        </w:tc>
        <w:tc>
          <w:tcPr>
            <w:tcW w:type="dxa" w:w="1417"/>
          </w:tcPr>
          <w:p>
            <w:r>
              <w:rPr>
                <w:sz w:val="20"/>
              </w:rPr>
              <w:t>—</w:t>
            </w:r>
          </w:p>
        </w:tc>
        <w:tc>
          <w:tcPr>
            <w:tcW w:type="dxa" w:w="1417"/>
          </w:tcPr>
          <w:p>
            <w:r>
              <w:rPr>
                <w:sz w:val="20"/>
              </w:rPr>
              <w:t>77.537</w:t>
            </w:r>
          </w:p>
        </w:tc>
      </w:tr>
    </w:tbl>
    <w:p>
      <w:pPr>
        <w:spacing w:before="0" w:after="100"/>
      </w:pPr>
      <w:r>
        <w:rPr>
          <w:b w:val="0"/>
          <w:i/>
          <w:color w:val="555555"/>
          <w:sz w:val="22"/>
        </w:rPr>
        <w:t>Median auffällig-Quote: 5,88 %  →  Trennwert für hat_viele_Probleme (0/1)</w:t>
      </w:r>
    </w:p>
    <w:p>
      <w:pPr>
        <w:spacing w:before="0" w:after="100"/>
      </w:pPr>
      <w:r>
        <w:rPr>
          <w:b/>
          <w:i w:val="0"/>
          <w:sz w:val="22"/>
        </w:rPr>
        <w:t xml:space="preserve">Von 77.537 Zeilen zu 1.821 Häusern — wie? </w:t>
      </w:r>
      <w:r>
        <w:rPr>
          <w:b w:val="0"/>
          <w:i w:val="0"/>
          <w:sz w:val="22"/>
        </w:rPr>
        <w:t>Jede der 77.537 Zeilen enthält eine SO.QBID — die ID des Krankenhauses, zu dem der Indikator gehört. Viele Zeilen teilen dieselbe SO.QBID, weil ein Haus viele Indikatoren hat. Mit nunique() zählen wir, wie viele verschiedene IDs vorkommen: qi_dedup['SO.QBID'].nunique() → 1.821. Das bedeutet: In den 77.537 Zeilen gibt es genau 1.821 verschiedene Krankenhaus-IDs.</w:t>
      </w:r>
    </w:p>
    <w:p>
      <w:pPr>
        <w:spacing w:before="0" w:after="100"/>
      </w:pPr>
      <w:r>
        <w:rPr>
          <w:b/>
          <w:i w:val="0"/>
          <w:sz w:val="22"/>
        </w:rPr>
        <w:t xml:space="preserve">Wichtig — 1.821 vs. 1.824: 3 Häuser gehen bei der Bereinigung verloren: </w:t>
      </w:r>
      <w:r>
        <w:rPr>
          <w:b w:val="0"/>
          <w:i w:val="0"/>
          <w:sz w:val="22"/>
        </w:rPr>
        <w:t>Nachgerechnet auf den komplett ungefilterten 417.799 Roh-Zeilen ergibt qi['SO.QBID'].nunique() bereits 1.824 — das ist die Anzahl der Häuser, die überhaupt irgendeine Zeile in QS.Qualitätsindikator.csv haben, unabhängig von der Bewertung. Unter der korrigierten Definition (alle N*-Codes ausschließen, nicht nur N99) haben 3 dieser 1.824 Häuser aber gar keine einzige bewertbare Zeile mehr übrig — bei ihnen ist jeder einzelne Indikator mit einem N*-Code versehen. Diese 3 Häuser fallen deshalb aus der Ziel-Variable heraus, es bleiben 1.821. Zum Vergleich: SO.csv (Stammdaten) hat 2.310 eindeutige SO.QBID — das sind alle Krankenhaus-Standorte, unabhängig davon, ob überhaupt eine Qualitätsbewertung vorliegt.</w:t>
      </w:r>
    </w:p>
    <w:p>
      <w:pPr>
        <w:spacing w:before="0" w:after="100"/>
      </w:pPr>
      <w:r>
        <w:rPr>
          <w:b/>
          <w:i w:val="0"/>
          <w:sz w:val="22"/>
        </w:rPr>
        <w:t xml:space="preserve">Daher der Durchschnitt: </w:t>
      </w:r>
      <w:r>
        <w:rPr>
          <w:b w:val="0"/>
          <w:i w:val="0"/>
          <w:sz w:val="22"/>
        </w:rPr>
        <w:t>77.537 Zeilen ÷ 1.821 Häuser = 42,6 Indikatoren pro Haus. Der groupby()-Schritt fasst dann alle Zeilen desselben Hauses zusammen: Er zählt, wie viele Indikatoren das Haus hat (total_qi) und wie viele davon auffällig sind (auffaellig_n). Das Ergebnis: eine Zeile pro Krankenhaus mit der berechneten auffaellig_quote.</w:t>
      </w:r>
    </w:p>
    <w:p>
      <w:pPr>
        <w:spacing w:before="0" w:after="100"/>
      </w:pPr>
      <w:r>
        <w:rPr>
          <w:b/>
          <w:i w:val="0"/>
          <w:sz w:val="22"/>
        </w:rPr>
        <w:t xml:space="preserve">Wie wurde der Median berechnet? </w:t>
      </w:r>
      <w:r>
        <w:rPr>
          <w:b w:val="0"/>
          <w:i w:val="0"/>
          <w:sz w:val="22"/>
        </w:rPr>
        <w:t>Alle 1.821 Häuser haben jetzt eine auffaellig_quote zwischen 0 % und 100 %. Diese Werte werden der Größe nach sortiert — der Median ist der Wert genau in der Mitte (Platz 911 von 1.821). Er liegt bei 5,88 %. Jedes Haus oberhalb dieses Wertes bekommt hat_viele_Probleme = 1, alle anderen = 0. Der Median wurde als Schwelle gewählt, weil er die Häuser in zwei gleich große Gruppen teilt und robuster gegen einzelne Extremwerte ist als der Mittelwert.</w:t>
      </w:r>
    </w:p>
    <w:p>
      <w:pPr>
        <w:keepNext/>
        <w:spacing w:before="120"/>
      </w:pPr>
      <w:r>
        <w:rPr>
          <w:b/>
          <w:color w:val="555555"/>
          <w:sz w:val="20"/>
        </w:rPr>
        <w:t>Ergebnis: Verteilung der auffällig-Quote — graue Linie = Median 5,88 % (Trennwert)</w:t>
      </w:r>
    </w:p>
    <w:p>
      <w:pPr>
        <w:keepNext/>
        <w:keepLines/>
      </w:pPr>
      <w:r>
        <w:drawing>
          <wp:inline xmlns:a="http://schemas.openxmlformats.org/drawingml/2006/main" xmlns:pic="http://schemas.openxmlformats.org/drawingml/2006/picture">
            <wp:extent cx="4680000" cy="2636381"/>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4680000" cy="2636381"/>
                    </a:xfrm>
                    <a:prstGeom prst="rect"/>
                  </pic:spPr>
                </pic:pic>
              </a:graphicData>
            </a:graphic>
          </wp:inline>
        </w:drawing>
      </w:r>
    </w:p>
    <w:p>
      <w:pPr>
        <w:spacing w:after="40"/>
      </w:pPr>
    </w:p>
    <w:p>
      <w:pPr>
        <w:spacing w:before="0" w:after="60"/>
      </w:pPr>
      <w:r>
        <w:rPr>
          <w:b/>
          <w:i w:val="0"/>
          <w:sz w:val="22"/>
        </w:rPr>
        <w:t>Beispiel — so sieht das Ergebnis für die ersten Häuser aus (korrigiert):</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134"/>
            <w:shd w:fill="1F497D" w:val="clear"/>
          </w:tcPr>
          <w:p>
            <w:r>
              <w:rPr>
                <w:b/>
                <w:color w:val="FFFFFF"/>
                <w:sz w:val="20"/>
              </w:rPr>
              <w:t>SO.QBID</w:t>
            </w:r>
          </w:p>
        </w:tc>
        <w:tc>
          <w:tcPr>
            <w:tcW w:type="dxa" w:w="1134"/>
            <w:shd w:fill="1F497D" w:val="clear"/>
          </w:tcPr>
          <w:p>
            <w:r>
              <w:rPr>
                <w:b/>
                <w:color w:val="FFFFFF"/>
                <w:sz w:val="20"/>
              </w:rPr>
              <w:t>total_qi</w:t>
            </w:r>
          </w:p>
        </w:tc>
        <w:tc>
          <w:tcPr>
            <w:tcW w:type="dxa" w:w="1417"/>
            <w:shd w:fill="1F497D" w:val="clear"/>
          </w:tcPr>
          <w:p>
            <w:r>
              <w:rPr>
                <w:b/>
                <w:color w:val="FFFFFF"/>
                <w:sz w:val="20"/>
              </w:rPr>
              <w:t>auffaellig_n</w:t>
            </w:r>
          </w:p>
        </w:tc>
        <w:tc>
          <w:tcPr>
            <w:tcW w:type="dxa" w:w="1984"/>
            <w:shd w:fill="1F497D" w:val="clear"/>
          </w:tcPr>
          <w:p>
            <w:r>
              <w:rPr>
                <w:b/>
                <w:color w:val="FFFFFF"/>
                <w:sz w:val="20"/>
              </w:rPr>
              <w:t>auffaellig_quote</w:t>
            </w:r>
          </w:p>
        </w:tc>
        <w:tc>
          <w:tcPr>
            <w:tcW w:type="dxa" w:w="2835"/>
            <w:shd w:fill="1F497D" w:val="clear"/>
          </w:tcPr>
          <w:p>
            <w:r>
              <w:rPr>
                <w:b/>
                <w:color w:val="FFFFFF"/>
                <w:sz w:val="20"/>
              </w:rPr>
              <w:t>hat_viele_Probleme</w:t>
            </w:r>
          </w:p>
        </w:tc>
      </w:tr>
      <w:tr>
        <w:tc>
          <w:tcPr>
            <w:tcW w:type="dxa" w:w="1134"/>
          </w:tcPr>
          <w:p>
            <w:r>
              <w:rPr>
                <w:sz w:val="20"/>
              </w:rPr>
              <w:t>4876</w:t>
            </w:r>
          </w:p>
        </w:tc>
        <w:tc>
          <w:tcPr>
            <w:tcW w:type="dxa" w:w="1134"/>
          </w:tcPr>
          <w:p>
            <w:r>
              <w:rPr>
                <w:sz w:val="20"/>
              </w:rPr>
              <w:t>19</w:t>
            </w:r>
          </w:p>
        </w:tc>
        <w:tc>
          <w:tcPr>
            <w:tcW w:type="dxa" w:w="1417"/>
          </w:tcPr>
          <w:p>
            <w:r>
              <w:rPr>
                <w:sz w:val="20"/>
              </w:rPr>
              <w:t>1</w:t>
            </w:r>
          </w:p>
        </w:tc>
        <w:tc>
          <w:tcPr>
            <w:tcW w:type="dxa" w:w="1984"/>
          </w:tcPr>
          <w:p>
            <w:r>
              <w:rPr>
                <w:sz w:val="20"/>
              </w:rPr>
              <w:t>5,3 %</w:t>
            </w:r>
          </w:p>
        </w:tc>
        <w:tc>
          <w:tcPr>
            <w:tcW w:type="dxa" w:w="2835"/>
          </w:tcPr>
          <w:p>
            <w:r>
              <w:rPr>
                <w:sz w:val="20"/>
              </w:rPr>
              <w:t>0  (wenige Probleme)</w:t>
            </w:r>
          </w:p>
        </w:tc>
      </w:tr>
      <w:tr>
        <w:tc>
          <w:tcPr>
            <w:tcW w:type="dxa" w:w="1134"/>
          </w:tcPr>
          <w:p>
            <w:r>
              <w:rPr>
                <w:sz w:val="20"/>
              </w:rPr>
              <w:t>4878</w:t>
            </w:r>
          </w:p>
        </w:tc>
        <w:tc>
          <w:tcPr>
            <w:tcW w:type="dxa" w:w="1134"/>
          </w:tcPr>
          <w:p>
            <w:r>
              <w:rPr>
                <w:sz w:val="20"/>
              </w:rPr>
              <w:t>2</w:t>
            </w:r>
          </w:p>
        </w:tc>
        <w:tc>
          <w:tcPr>
            <w:tcW w:type="dxa" w:w="1417"/>
          </w:tcPr>
          <w:p>
            <w:r>
              <w:rPr>
                <w:sz w:val="20"/>
              </w:rPr>
              <w:t>0</w:t>
            </w:r>
          </w:p>
        </w:tc>
        <w:tc>
          <w:tcPr>
            <w:tcW w:type="dxa" w:w="1984"/>
          </w:tcPr>
          <w:p>
            <w:r>
              <w:rPr>
                <w:sz w:val="20"/>
              </w:rPr>
              <w:t>0,0 %</w:t>
            </w:r>
          </w:p>
        </w:tc>
        <w:tc>
          <w:tcPr>
            <w:tcW w:type="dxa" w:w="2835"/>
          </w:tcPr>
          <w:p>
            <w:r>
              <w:rPr>
                <w:sz w:val="20"/>
              </w:rPr>
              <w:t>0  (wenige Probleme)</w:t>
            </w:r>
          </w:p>
        </w:tc>
      </w:tr>
      <w:tr>
        <w:tc>
          <w:tcPr>
            <w:tcW w:type="dxa" w:w="1134"/>
          </w:tcPr>
          <w:p>
            <w:r>
              <w:rPr>
                <w:sz w:val="20"/>
              </w:rPr>
              <w:t>4879</w:t>
            </w:r>
          </w:p>
        </w:tc>
        <w:tc>
          <w:tcPr>
            <w:tcW w:type="dxa" w:w="1134"/>
          </w:tcPr>
          <w:p>
            <w:r>
              <w:rPr>
                <w:sz w:val="20"/>
              </w:rPr>
              <w:t>18</w:t>
            </w:r>
          </w:p>
        </w:tc>
        <w:tc>
          <w:tcPr>
            <w:tcW w:type="dxa" w:w="1417"/>
          </w:tcPr>
          <w:p>
            <w:r>
              <w:rPr>
                <w:sz w:val="20"/>
              </w:rPr>
              <w:t>1</w:t>
            </w:r>
          </w:p>
        </w:tc>
        <w:tc>
          <w:tcPr>
            <w:tcW w:type="dxa" w:w="1984"/>
          </w:tcPr>
          <w:p>
            <w:r>
              <w:rPr>
                <w:sz w:val="20"/>
              </w:rPr>
              <w:t>5,6 %</w:t>
            </w:r>
          </w:p>
        </w:tc>
        <w:tc>
          <w:tcPr>
            <w:tcW w:type="dxa" w:w="2835"/>
          </w:tcPr>
          <w:p>
            <w:r>
              <w:rPr>
                <w:sz w:val="20"/>
              </w:rPr>
              <w:t>0  (wenige Probleme)</w:t>
            </w:r>
          </w:p>
        </w:tc>
      </w:tr>
      <w:tr>
        <w:tc>
          <w:tcPr>
            <w:tcW w:type="dxa" w:w="1134"/>
          </w:tcPr>
          <w:p>
            <w:r>
              <w:rPr>
                <w:sz w:val="20"/>
              </w:rPr>
              <w:t>4880</w:t>
            </w:r>
          </w:p>
        </w:tc>
        <w:tc>
          <w:tcPr>
            <w:tcW w:type="dxa" w:w="1134"/>
          </w:tcPr>
          <w:p>
            <w:r>
              <w:rPr>
                <w:sz w:val="20"/>
              </w:rPr>
              <w:t>12</w:t>
            </w:r>
          </w:p>
        </w:tc>
        <w:tc>
          <w:tcPr>
            <w:tcW w:type="dxa" w:w="1417"/>
          </w:tcPr>
          <w:p>
            <w:r>
              <w:rPr>
                <w:sz w:val="20"/>
              </w:rPr>
              <w:t>1</w:t>
            </w:r>
          </w:p>
        </w:tc>
        <w:tc>
          <w:tcPr>
            <w:tcW w:type="dxa" w:w="1984"/>
          </w:tcPr>
          <w:p>
            <w:r>
              <w:rPr>
                <w:sz w:val="20"/>
              </w:rPr>
              <w:t>8,3 %</w:t>
            </w:r>
          </w:p>
        </w:tc>
        <w:tc>
          <w:tcPr>
            <w:tcW w:type="dxa" w:w="2835"/>
          </w:tcPr>
          <w:p>
            <w:r>
              <w:rPr>
                <w:sz w:val="20"/>
              </w:rPr>
              <w:t>1  (viele Probleme)</w:t>
            </w:r>
          </w:p>
        </w:tc>
      </w:tr>
      <w:tr>
        <w:tc>
          <w:tcPr>
            <w:tcW w:type="dxa" w:w="1134"/>
          </w:tcPr>
          <w:p>
            <w:r>
              <w:rPr>
                <w:sz w:val="20"/>
              </w:rPr>
              <w:t>4881</w:t>
            </w:r>
          </w:p>
        </w:tc>
        <w:tc>
          <w:tcPr>
            <w:tcW w:type="dxa" w:w="1134"/>
          </w:tcPr>
          <w:p>
            <w:r>
              <w:rPr>
                <w:sz w:val="20"/>
              </w:rPr>
              <w:t>23</w:t>
            </w:r>
          </w:p>
        </w:tc>
        <w:tc>
          <w:tcPr>
            <w:tcW w:type="dxa" w:w="1417"/>
          </w:tcPr>
          <w:p>
            <w:r>
              <w:rPr>
                <w:sz w:val="20"/>
              </w:rPr>
              <w:t>3</w:t>
            </w:r>
          </w:p>
        </w:tc>
        <w:tc>
          <w:tcPr>
            <w:tcW w:type="dxa" w:w="1984"/>
          </w:tcPr>
          <w:p>
            <w:r>
              <w:rPr>
                <w:sz w:val="20"/>
              </w:rPr>
              <w:t>13,0 %</w:t>
            </w:r>
          </w:p>
        </w:tc>
        <w:tc>
          <w:tcPr>
            <w:tcW w:type="dxa" w:w="2835"/>
          </w:tcPr>
          <w:p>
            <w:r>
              <w:rPr>
                <w:sz w:val="20"/>
              </w:rPr>
              <w:t>1  (viele Probleme)</w:t>
            </w:r>
          </w:p>
        </w:tc>
      </w:tr>
      <w:tr>
        <w:tc>
          <w:tcPr>
            <w:tcW w:type="dxa" w:w="1134"/>
          </w:tcPr>
          <w:p>
            <w:r>
              <w:rPr>
                <w:sz w:val="20"/>
              </w:rPr>
              <w:t>4882</w:t>
            </w:r>
          </w:p>
        </w:tc>
        <w:tc>
          <w:tcPr>
            <w:tcW w:type="dxa" w:w="1134"/>
          </w:tcPr>
          <w:p>
            <w:r>
              <w:rPr>
                <w:sz w:val="20"/>
              </w:rPr>
              <w:t>26</w:t>
            </w:r>
          </w:p>
        </w:tc>
        <w:tc>
          <w:tcPr>
            <w:tcW w:type="dxa" w:w="1417"/>
          </w:tcPr>
          <w:p>
            <w:r>
              <w:rPr>
                <w:sz w:val="20"/>
              </w:rPr>
              <w:t>1</w:t>
            </w:r>
          </w:p>
        </w:tc>
        <w:tc>
          <w:tcPr>
            <w:tcW w:type="dxa" w:w="1984"/>
          </w:tcPr>
          <w:p>
            <w:r>
              <w:rPr>
                <w:sz w:val="20"/>
              </w:rPr>
              <w:t>3,8 %</w:t>
            </w:r>
          </w:p>
        </w:tc>
        <w:tc>
          <w:tcPr>
            <w:tcW w:type="dxa" w:w="2835"/>
          </w:tcPr>
          <w:p>
            <w:r>
              <w:rPr>
                <w:sz w:val="20"/>
              </w:rPr>
              <w:t>0  (wenige Probleme)</w:t>
            </w:r>
          </w:p>
        </w:tc>
      </w:tr>
      <w:tr>
        <w:tc>
          <w:tcPr>
            <w:tcW w:type="dxa" w:w="1134"/>
          </w:tcPr>
          <w:p>
            <w:r>
              <w:rPr>
                <w:sz w:val="20"/>
              </w:rPr>
              <w:t>4886</w:t>
            </w:r>
          </w:p>
        </w:tc>
        <w:tc>
          <w:tcPr>
            <w:tcW w:type="dxa" w:w="1134"/>
          </w:tcPr>
          <w:p>
            <w:r>
              <w:rPr>
                <w:sz w:val="20"/>
              </w:rPr>
              <w:t>84</w:t>
            </w:r>
          </w:p>
        </w:tc>
        <w:tc>
          <w:tcPr>
            <w:tcW w:type="dxa" w:w="1417"/>
          </w:tcPr>
          <w:p>
            <w:r>
              <w:rPr>
                <w:sz w:val="20"/>
              </w:rPr>
              <w:t>5</w:t>
            </w:r>
          </w:p>
        </w:tc>
        <w:tc>
          <w:tcPr>
            <w:tcW w:type="dxa" w:w="1984"/>
          </w:tcPr>
          <w:p>
            <w:r>
              <w:rPr>
                <w:sz w:val="20"/>
              </w:rPr>
              <w:t>6,0 %</w:t>
            </w:r>
          </w:p>
        </w:tc>
        <w:tc>
          <w:tcPr>
            <w:tcW w:type="dxa" w:w="2835"/>
          </w:tcPr>
          <w:p>
            <w:r>
              <w:rPr>
                <w:sz w:val="20"/>
              </w:rPr>
              <w:t>1  (viele Probleme)</w:t>
            </w:r>
          </w:p>
        </w:tc>
      </w:tr>
      <w:tr>
        <w:tc>
          <w:tcPr>
            <w:tcW w:type="dxa" w:w="1134"/>
          </w:tcPr>
          <w:p>
            <w:r>
              <w:rPr>
                <w:sz w:val="20"/>
              </w:rPr>
              <w:t>4887</w:t>
            </w:r>
          </w:p>
        </w:tc>
        <w:tc>
          <w:tcPr>
            <w:tcW w:type="dxa" w:w="1134"/>
          </w:tcPr>
          <w:p>
            <w:r>
              <w:rPr>
                <w:sz w:val="20"/>
              </w:rPr>
              <w:t>78</w:t>
            </w:r>
          </w:p>
        </w:tc>
        <w:tc>
          <w:tcPr>
            <w:tcW w:type="dxa" w:w="1417"/>
          </w:tcPr>
          <w:p>
            <w:r>
              <w:rPr>
                <w:sz w:val="20"/>
              </w:rPr>
              <w:t>11</w:t>
            </w:r>
          </w:p>
        </w:tc>
        <w:tc>
          <w:tcPr>
            <w:tcW w:type="dxa" w:w="1984"/>
          </w:tcPr>
          <w:p>
            <w:r>
              <w:rPr>
                <w:sz w:val="20"/>
              </w:rPr>
              <w:t>14,1 %</w:t>
            </w:r>
          </w:p>
        </w:tc>
        <w:tc>
          <w:tcPr>
            <w:tcW w:type="dxa" w:w="2835"/>
          </w:tcPr>
          <w:p>
            <w:r>
              <w:rPr>
                <w:sz w:val="20"/>
              </w:rPr>
              <w:t>1  (viele Probleme)</w:t>
            </w:r>
          </w:p>
        </w:tc>
      </w:tr>
    </w:tbl>
    <w:p>
      <w:pPr>
        <w:spacing w:before="0" w:after="100"/>
      </w:pPr>
      <w:r>
        <w:rPr>
          <w:b w:val="0"/>
          <w:i/>
          <w:color w:val="555555"/>
          <w:sz w:val="19"/>
        </w:rPr>
        <w:t>SO.QBID = Krankenhaus-ID  ·  total_qi = Anzahl bewerteter Indikatoren  ·  auffaellig_n = davon auffällig  ·  auffaellig_quote = auffaellig_n / total_qi  ·  hat_viele_Probleme = 1 wenn Quote &gt; Median 5,88 %</w:t>
      </w:r>
    </w:p>
    <w:p/>
    <w:p>
      <w:pPr>
        <w:pStyle w:val="Heading2"/>
        <w:spacing w:before="200" w:after="60"/>
      </w:pPr>
      <w:r>
        <w:rPr>
          <w:b/>
          <w:color w:val="BF5A00"/>
          <w:sz w:val="24"/>
        </w:rPr>
        <w:t>2.3  Merkmale (Features) aufbereiten</w:t>
      </w:r>
    </w:p>
    <w:p>
      <w:pPr>
        <w:spacing w:before="0" w:after="160"/>
      </w:pPr>
      <w:r>
        <w:rPr>
          <w:b w:val="0"/>
          <w:i w:val="0"/>
          <w:sz w:val="22"/>
        </w:rPr>
        <w:t>Warum genau diese 8 Merkmale? Die Aufgabenstellung (Fragestellung.docx) fordert 5–8 aussagekräftige Strukturmerkmale und nennt dabei explizit Bettenzahl, Trägerschaft, Region, Uni-Status, Fortbildungsquote und Ärzte pro Bett als Beispiele — diese sechs wurden direkt übernommen. Pflegekräfte pro Bett und Konzernzugehörigkeit kamen nachträglich hinzu, beide auf Empfehlung der Kollegen aus dem BI-Tool-Vergleich (Personalintensität bzw. mögliche zentrale Qualitätssicherung im Konzern als plausible Zusatzhypothesen). Damit ist die von der Aufgabenstellung vorgegebene Obergrenze von 8 Merkmalen erreicht.</w:t>
      </w:r>
    </w:p>
    <w:tbl>
      <w:tblPr>
        <w:tblStyle w:val="TableGrid"/>
        <w:tblW w:type="auto" w:w="0"/>
        <w:tblLook w:firstColumn="1" w:firstRow="1" w:lastColumn="0" w:lastRow="0" w:noHBand="0" w:noVBand="1" w:val="04A0"/>
      </w:tblPr>
      <w:tblGrid>
        <w:gridCol w:w="3041"/>
        <w:gridCol w:w="3041"/>
        <w:gridCol w:w="3041"/>
      </w:tblGrid>
      <w:tr>
        <w:tc>
          <w:tcPr>
            <w:tcW w:type="dxa" w:w="1984"/>
            <w:shd w:fill="1F497D" w:val="clear"/>
          </w:tcPr>
          <w:p>
            <w:r>
              <w:rPr>
                <w:b/>
                <w:color w:val="FFFFFF"/>
                <w:sz w:val="20"/>
              </w:rPr>
              <w:t>Merkmal</w:t>
            </w:r>
          </w:p>
        </w:tc>
        <w:tc>
          <w:tcPr>
            <w:tcW w:type="dxa" w:w="2551"/>
            <w:shd w:fill="1F497D" w:val="clear"/>
          </w:tcPr>
          <w:p>
            <w:r>
              <w:rPr>
                <w:b/>
                <w:color w:val="FFFFFF"/>
                <w:sz w:val="20"/>
              </w:rPr>
              <w:t>Quelle</w:t>
            </w:r>
          </w:p>
        </w:tc>
        <w:tc>
          <w:tcPr>
            <w:tcW w:type="dxa" w:w="3969"/>
            <w:shd w:fill="1F497D" w:val="clear"/>
          </w:tcPr>
          <w:p>
            <w:r>
              <w:rPr>
                <w:b/>
                <w:color w:val="FFFFFF"/>
                <w:sz w:val="20"/>
              </w:rPr>
              <w:t>Python-Technik</w:t>
            </w:r>
          </w:p>
        </w:tc>
      </w:tr>
      <w:tr>
        <w:tc>
          <w:tcPr>
            <w:tcW w:type="dxa" w:w="1984"/>
          </w:tcPr>
          <w:p>
            <w:r>
              <w:rPr>
                <w:sz w:val="20"/>
              </w:rPr>
              <w:t>SO.Betten</w:t>
            </w:r>
          </w:p>
        </w:tc>
        <w:tc>
          <w:tcPr>
            <w:tcW w:type="dxa" w:w="2551"/>
          </w:tcPr>
          <w:p>
            <w:r>
              <w:rPr>
                <w:sz w:val="20"/>
              </w:rPr>
              <w:t>SO.csv</w:t>
            </w:r>
          </w:p>
        </w:tc>
        <w:tc>
          <w:tcPr>
            <w:tcW w:type="dxa" w:w="3969"/>
          </w:tcPr>
          <w:p>
            <w:r>
              <w:rPr>
                <w:sz w:val="20"/>
              </w:rPr>
              <w:t>pd.read_csv → direkt verfügbar</w:t>
            </w:r>
          </w:p>
        </w:tc>
      </w:tr>
      <w:tr>
        <w:tc>
          <w:tcPr>
            <w:tcW w:type="dxa" w:w="1984"/>
          </w:tcPr>
          <w:p>
            <w:r>
              <w:rPr>
                <w:sz w:val="20"/>
              </w:rPr>
              <w:t>KH.Träger.Art</w:t>
            </w:r>
          </w:p>
        </w:tc>
        <w:tc>
          <w:tcPr>
            <w:tcW w:type="dxa" w:w="2551"/>
          </w:tcPr>
          <w:p>
            <w:r>
              <w:rPr>
                <w:sz w:val="20"/>
              </w:rPr>
              <w:t>SO.csv</w:t>
            </w:r>
          </w:p>
        </w:tc>
        <w:tc>
          <w:tcPr>
            <w:tcW w:type="dxa" w:w="3969"/>
          </w:tcPr>
          <w:p>
            <w:r>
              <w:rPr>
                <w:sz w:val="20"/>
              </w:rPr>
              <w:t>pd.read_csv → direkt verfügbar</w:t>
            </w:r>
          </w:p>
        </w:tc>
      </w:tr>
      <w:tr>
        <w:tc>
          <w:tcPr>
            <w:tcW w:type="dxa" w:w="1984"/>
          </w:tcPr>
          <w:p>
            <w:r>
              <w:rPr>
                <w:sz w:val="20"/>
              </w:rPr>
              <w:t>SO.Bundesland</w:t>
            </w:r>
          </w:p>
        </w:tc>
        <w:tc>
          <w:tcPr>
            <w:tcW w:type="dxa" w:w="2551"/>
          </w:tcPr>
          <w:p>
            <w:r>
              <w:rPr>
                <w:sz w:val="20"/>
              </w:rPr>
              <w:t>SO.csv</w:t>
            </w:r>
          </w:p>
        </w:tc>
        <w:tc>
          <w:tcPr>
            <w:tcW w:type="dxa" w:w="3969"/>
          </w:tcPr>
          <w:p>
            <w:r>
              <w:rPr>
                <w:sz w:val="20"/>
              </w:rPr>
              <w:t>pd.read_csv → direkt verfügbar</w:t>
            </w:r>
          </w:p>
        </w:tc>
      </w:tr>
      <w:tr>
        <w:tc>
          <w:tcPr>
            <w:tcW w:type="dxa" w:w="1984"/>
          </w:tcPr>
          <w:p>
            <w:r>
              <w:rPr>
                <w:sz w:val="20"/>
              </w:rPr>
              <w:t>SO.Uni</w:t>
            </w:r>
          </w:p>
        </w:tc>
        <w:tc>
          <w:tcPr>
            <w:tcW w:type="dxa" w:w="2551"/>
          </w:tcPr>
          <w:p>
            <w:r>
              <w:rPr>
                <w:sz w:val="20"/>
              </w:rPr>
              <w:t>SO.csv</w:t>
            </w:r>
          </w:p>
        </w:tc>
        <w:tc>
          <w:tcPr>
            <w:tcW w:type="dxa" w:w="3969"/>
          </w:tcPr>
          <w:p>
            <w:r>
              <w:rPr>
                <w:sz w:val="20"/>
              </w:rPr>
              <w:t>pd.read_csv → direkt verfügbar</w:t>
            </w:r>
          </w:p>
        </w:tc>
      </w:tr>
      <w:tr>
        <w:tc>
          <w:tcPr>
            <w:tcW w:type="dxa" w:w="1984"/>
          </w:tcPr>
          <w:p>
            <w:r>
              <w:rPr>
                <w:sz w:val="20"/>
              </w:rPr>
              <w:t>fortbildungsquote</w:t>
            </w:r>
          </w:p>
        </w:tc>
        <w:tc>
          <w:tcPr>
            <w:tcW w:type="dxa" w:w="2551"/>
          </w:tcPr>
          <w:p>
            <w:r>
              <w:rPr>
                <w:sz w:val="20"/>
              </w:rPr>
              <w:t>QS.Fortbildung.csv</w:t>
            </w:r>
          </w:p>
        </w:tc>
        <w:tc>
          <w:tcPr>
            <w:tcW w:type="dxa" w:w="3969"/>
          </w:tcPr>
          <w:p>
            <w:r>
              <w:rPr>
                <w:sz w:val="20"/>
              </w:rPr>
              <w:t>Berechnet: Erbracht / Pflichtige</w:t>
            </w:r>
          </w:p>
        </w:tc>
      </w:tr>
      <w:tr>
        <w:tc>
          <w:tcPr>
            <w:tcW w:type="dxa" w:w="1984"/>
          </w:tcPr>
          <w:p>
            <w:r>
              <w:rPr>
                <w:sz w:val="20"/>
              </w:rPr>
              <w:t>aerzte_pro_bett</w:t>
            </w:r>
          </w:p>
        </w:tc>
        <w:tc>
          <w:tcPr>
            <w:tcW w:type="dxa" w:w="2551"/>
          </w:tcPr>
          <w:p>
            <w:r>
              <w:rPr>
                <w:sz w:val="20"/>
              </w:rPr>
              <w:t>FA.Personalliste.csv + FA.csv</w:t>
            </w:r>
          </w:p>
        </w:tc>
        <w:tc>
          <w:tcPr>
            <w:tcW w:type="dxa" w:w="3969"/>
          </w:tcPr>
          <w:p>
            <w:r>
              <w:rPr>
                <w:sz w:val="20"/>
              </w:rPr>
              <w:t>2× Left Join über ABTID → FA.QBID; str.replace(',','.') → float</w:t>
            </w:r>
          </w:p>
        </w:tc>
      </w:tr>
      <w:tr>
        <w:tc>
          <w:tcPr>
            <w:tcW w:type="dxa" w:w="1984"/>
          </w:tcPr>
          <w:p>
            <w:r>
              <w:rPr>
                <w:sz w:val="20"/>
              </w:rPr>
              <w:t>pflege_pro_bett</w:t>
            </w:r>
          </w:p>
        </w:tc>
        <w:tc>
          <w:tcPr>
            <w:tcW w:type="dxa" w:w="2551"/>
          </w:tcPr>
          <w:p>
            <w:r>
              <w:rPr>
                <w:sz w:val="20"/>
              </w:rPr>
              <w:t>SO.Personalliste.csv</w:t>
            </w:r>
          </w:p>
        </w:tc>
        <w:tc>
          <w:tcPr>
            <w:tcW w:type="dxa" w:w="3969"/>
          </w:tcPr>
          <w:p>
            <w:r>
              <w:rPr>
                <w:sz w:val="20"/>
              </w:rPr>
              <w:t>Filter Bereich=='Pflege', groupby, / SO.Betten</w:t>
            </w:r>
          </w:p>
        </w:tc>
      </w:tr>
      <w:tr>
        <w:tc>
          <w:tcPr>
            <w:tcW w:type="dxa" w:w="1984"/>
          </w:tcPr>
          <w:p>
            <w:r>
              <w:rPr>
                <w:sz w:val="20"/>
              </w:rPr>
              <w:t>ist_konzern</w:t>
            </w:r>
          </w:p>
        </w:tc>
        <w:tc>
          <w:tcPr>
            <w:tcW w:type="dxa" w:w="2551"/>
          </w:tcPr>
          <w:p>
            <w:r>
              <w:rPr>
                <w:sz w:val="20"/>
              </w:rPr>
              <w:t>Konzern.csv</w:t>
            </w:r>
          </w:p>
        </w:tc>
        <w:tc>
          <w:tcPr>
            <w:tcW w:type="dxa" w:w="3969"/>
          </w:tcPr>
          <w:p>
            <w:r>
              <w:rPr>
                <w:sz w:val="20"/>
              </w:rPr>
              <w:t>SO.Standortnummer in Konzern? → 0/1</w:t>
            </w:r>
          </w:p>
        </w:tc>
      </w:tr>
    </w:tbl>
    <w:p/>
    <w:p>
      <w:pPr>
        <w:spacing w:before="0" w:after="100"/>
      </w:pPr>
      <w:r>
        <w:rPr>
          <w:b w:val="0"/>
          <w:i/>
          <w:color w:val="555555"/>
          <w:sz w:val="22"/>
        </w:rPr>
        <w:t>Technische Besonderheit bei aerzte_pro_bett: Dezimalzahlen lagen im deutschen Format gespeichert ('13,47' statt '13.47'). pandas interpretiert das als String — Summe wäre 0. Fix: str.replace + pd.to_numeric.</w:t>
      </w:r>
    </w:p>
    <w:p>
      <w:pPr>
        <w:spacing w:before="40" w:after="40"/>
        <w:ind w:left="454"/>
      </w:pPr>
      <w:r>
        <w:rPr>
          <w:rFonts w:ascii="Courier New" w:hAnsi="Courier New"/>
          <w:color w:val="2C3E50"/>
          <w:sz w:val="19"/>
        </w:rPr>
        <w:t>aerzte['anzahl_float'] = aerzte['FA.Personal.Anzahl']</w:t>
      </w:r>
    </w:p>
    <w:p>
      <w:pPr>
        <w:spacing w:before="40" w:after="40"/>
        <w:ind w:left="454"/>
      </w:pPr>
      <w:r>
        <w:rPr>
          <w:rFonts w:ascii="Courier New" w:hAnsi="Courier New"/>
          <w:color w:val="2C3E50"/>
          <w:sz w:val="19"/>
        </w:rPr>
        <w:t xml:space="preserve">    .astype(str).str.replace(',', '.').pipe(pd.to_numeric, errors='coerce')</w:t>
      </w:r>
    </w:p>
    <w:p>
      <w:pPr>
        <w:pStyle w:val="Heading2"/>
        <w:spacing w:before="200" w:after="60"/>
      </w:pPr>
      <w:r>
        <w:rPr>
          <w:b/>
          <w:color w:val="BF5A00"/>
          <w:sz w:val="24"/>
        </w:rPr>
        <w:t>2.4  Analysetabelle zusammenführen</w:t>
      </w:r>
    </w:p>
    <w:p>
      <w:pPr>
        <w:spacing w:before="0" w:after="100"/>
      </w:pPr>
      <w:r>
        <w:rPr>
          <w:b w:val="0"/>
          <w:i w:val="0"/>
          <w:sz w:val="22"/>
        </w:rPr>
        <w:t>Der Merge passiert nicht in einem einzigen Schritt, sondern schrittweise in 3 Stufen, verteilt über das Notebook — nach jeder Stufe wird die wachsende Tabelle als Data/analysetabelle.csv gespeichert, bevor die nächste Stufe darauf aufbaut:</w:t>
      </w:r>
    </w:p>
    <w:p>
      <w:pPr>
        <w:spacing w:before="0" w:after="40"/>
      </w:pPr>
      <w:r>
        <w:rPr>
          <w:b/>
          <w:i w:val="0"/>
          <w:sz w:val="22"/>
        </w:rPr>
        <w:t>Stufe 1 (Abschnitt 4) — Ziel-Variable + Stammdaten + Fortbildungsquote:</w:t>
      </w:r>
    </w:p>
    <w:p>
      <w:pPr>
        <w:spacing w:before="40" w:after="40"/>
        <w:ind w:left="454"/>
      </w:pPr>
      <w:r>
        <w:rPr>
          <w:rFonts w:ascii="Courier New" w:hAnsi="Courier New"/>
          <w:color w:val="2C3E50"/>
          <w:sz w:val="19"/>
        </w:rPr>
        <w:t>analyse = auffaellig_quote</w:t>
      </w:r>
    </w:p>
    <w:p>
      <w:pPr>
        <w:spacing w:before="40" w:after="40"/>
        <w:ind w:left="454"/>
      </w:pPr>
      <w:r>
        <w:rPr>
          <w:rFonts w:ascii="Courier New" w:hAnsi="Courier New"/>
          <w:color w:val="2C3E50"/>
          <w:sz w:val="19"/>
        </w:rPr>
        <w:t xml:space="preserve">    .merge(so_klein, on='SO.QBID', how='left')</w:t>
      </w:r>
    </w:p>
    <w:p>
      <w:pPr>
        <w:spacing w:before="40" w:after="40"/>
        <w:ind w:left="454"/>
      </w:pPr>
      <w:r>
        <w:rPr>
          <w:rFonts w:ascii="Courier New" w:hAnsi="Courier New"/>
          <w:color w:val="2C3E50"/>
          <w:sz w:val="19"/>
        </w:rPr>
        <w:t xml:space="preserve">    .merge(fb_quote, on='SO.QBID', how='left')</w:t>
      </w:r>
    </w:p>
    <w:p>
      <w:pPr>
        <w:spacing w:before="40" w:after="40"/>
        <w:ind w:left="454"/>
      </w:pPr>
      <w:r>
        <w:rPr>
          <w:rFonts w:ascii="Courier New" w:hAnsi="Courier New"/>
          <w:color w:val="2C3E50"/>
          <w:sz w:val="19"/>
        </w:rPr>
        <w:t>→ (1.821, 14)  ·  gespeichert nach Data/analysetabelle.csv</w:t>
      </w:r>
    </w:p>
    <w:p>
      <w:pPr>
        <w:spacing w:before="0" w:after="40"/>
      </w:pPr>
      <w:r>
        <w:rPr>
          <w:b/>
          <w:i w:val="0"/>
          <w:sz w:val="22"/>
        </w:rPr>
        <w:t>Stufe 2 (Abschnitt 5.2) — Ärzte pro Bett hinzugefügt:</w:t>
      </w:r>
    </w:p>
    <w:p>
      <w:pPr>
        <w:spacing w:before="40" w:after="40"/>
        <w:ind w:left="454"/>
      </w:pPr>
      <w:r>
        <w:rPr>
          <w:rFonts w:ascii="Courier New" w:hAnsi="Courier New"/>
          <w:color w:val="2C3E50"/>
          <w:sz w:val="19"/>
        </w:rPr>
        <w:t>analyse = analyse.merge(aerzte_pro_haus[['SO.QBID','aerzte_pro_bett']], on='SO.QBID', how='left')</w:t>
      </w:r>
    </w:p>
    <w:p>
      <w:pPr>
        <w:spacing w:before="40" w:after="40"/>
        <w:ind w:left="454"/>
      </w:pPr>
      <w:r>
        <w:rPr>
          <w:rFonts w:ascii="Courier New" w:hAnsi="Courier New"/>
          <w:color w:val="2C3E50"/>
          <w:sz w:val="19"/>
        </w:rPr>
        <w:t>→ (1.821, 16)  ·  erneut gespeichert (überschreibt Stufe 1)</w:t>
      </w:r>
    </w:p>
    <w:p>
      <w:pPr>
        <w:spacing w:before="0" w:after="40"/>
      </w:pPr>
      <w:r>
        <w:rPr>
          <w:b/>
          <w:i w:val="0"/>
          <w:sz w:val="22"/>
        </w:rPr>
        <w:t>Stufe 3 (Abschnitt 8) — Pflege pro Bett und Konzernzugehörigkeit hinzugefügt:</w:t>
      </w:r>
    </w:p>
    <w:p>
      <w:pPr>
        <w:spacing w:before="40" w:after="40"/>
        <w:ind w:left="454"/>
      </w:pPr>
      <w:r>
        <w:rPr>
          <w:rFonts w:ascii="Courier New" w:hAnsi="Courier New"/>
          <w:color w:val="2C3E50"/>
          <w:sz w:val="19"/>
        </w:rPr>
        <w:t>analyse = analyse.merge(pflege_pro_haus[['SO.QBID','pflege_pro_bett']], on='SO.QBID', how='left')</w:t>
      </w:r>
    </w:p>
    <w:p>
      <w:pPr>
        <w:spacing w:before="40" w:after="40"/>
        <w:ind w:left="454"/>
      </w:pPr>
      <w:r>
        <w:rPr>
          <w:rFonts w:ascii="Courier New" w:hAnsi="Courier New"/>
          <w:color w:val="2C3E50"/>
          <w:sz w:val="19"/>
        </w:rPr>
        <w:t>analyse = analyse.merge(konzern_flag[['SO.QBID','ist_konzern']], on='SO.QBID', how='left')</w:t>
      </w:r>
    </w:p>
    <w:p>
      <w:pPr>
        <w:spacing w:before="40" w:after="40"/>
        <w:ind w:left="454"/>
      </w:pPr>
      <w:r>
        <w:rPr>
          <w:rFonts w:ascii="Courier New" w:hAnsi="Courier New"/>
          <w:color w:val="2C3E50"/>
          <w:sz w:val="19"/>
        </w:rPr>
        <w:t>→ (1.821, 18)  ·  finale Version, erneut gespeichert (überschreibt Stufe 2)</w:t>
      </w:r>
    </w:p>
    <w:p>
      <w:pPr>
        <w:spacing w:before="0" w:after="100"/>
      </w:pPr>
      <w:r>
        <w:rPr>
          <w:b w:val="0"/>
          <w:i/>
          <w:color w:val="555555"/>
          <w:sz w:val="19"/>
        </w:rPr>
        <w:t>Insgesamt also 5 einzelne .merge()-Aufrufe über 3 Stufen, mit 3 Speichervorgängen — nicht ein einziger großer Merge am Ende, sondern eine schrittweise wachsende Tabelle, jeweils dann erweitert, wenn ein neues Merkmal fertig berechnet war.</w:t>
      </w:r>
    </w:p>
    <w:p/>
    <w:p>
      <w:pPr>
        <w:spacing w:before="0" w:after="60"/>
      </w:pPr>
      <w:r>
        <w:rPr>
          <w:b/>
          <w:i w:val="0"/>
          <w:sz w:val="22"/>
        </w:rPr>
        <w:t>Woher stammt jede Tabelle in dieser Merge-Kette?</w:t>
      </w:r>
    </w:p>
    <w:tbl>
      <w:tblPr>
        <w:tblStyle w:val="TableGrid"/>
        <w:tblW w:type="auto" w:w="0"/>
        <w:tblLook w:firstColumn="1" w:firstRow="1" w:lastColumn="0" w:lastRow="0" w:noHBand="0" w:noVBand="1" w:val="04A0"/>
      </w:tblPr>
      <w:tblGrid>
        <w:gridCol w:w="3041"/>
        <w:gridCol w:w="3041"/>
        <w:gridCol w:w="3041"/>
      </w:tblGrid>
      <w:tr>
        <w:tc>
          <w:tcPr>
            <w:tcW w:type="dxa" w:w="1701"/>
            <w:shd w:fill="1F497D" w:val="clear"/>
          </w:tcPr>
          <w:p>
            <w:r>
              <w:rPr>
                <w:b/>
                <w:color w:val="FFFFFF"/>
                <w:sz w:val="20"/>
              </w:rPr>
              <w:t>Variable</w:t>
            </w:r>
          </w:p>
        </w:tc>
        <w:tc>
          <w:tcPr>
            <w:tcW w:type="dxa" w:w="3402"/>
            <w:shd w:fill="1F497D" w:val="clear"/>
          </w:tcPr>
          <w:p>
            <w:r>
              <w:rPr>
                <w:b/>
                <w:color w:val="FFFFFF"/>
                <w:sz w:val="20"/>
              </w:rPr>
              <w:t>Quelldatei</w:t>
            </w:r>
          </w:p>
        </w:tc>
        <w:tc>
          <w:tcPr>
            <w:tcW w:type="dxa" w:w="2835"/>
            <w:shd w:fill="1F497D" w:val="clear"/>
          </w:tcPr>
          <w:p>
            <w:r>
              <w:rPr>
                <w:b/>
                <w:color w:val="FFFFFF"/>
                <w:sz w:val="20"/>
              </w:rPr>
              <w:t>Beigetragene Spalten</w:t>
            </w:r>
          </w:p>
        </w:tc>
      </w:tr>
      <w:tr>
        <w:tc>
          <w:tcPr>
            <w:tcW w:type="dxa" w:w="1701"/>
          </w:tcPr>
          <w:p>
            <w:r>
              <w:rPr>
                <w:sz w:val="20"/>
              </w:rPr>
              <w:t>auffaellig_quote</w:t>
            </w:r>
          </w:p>
        </w:tc>
        <w:tc>
          <w:tcPr>
            <w:tcW w:type="dxa" w:w="3402"/>
          </w:tcPr>
          <w:p>
            <w:r>
              <w:rPr>
                <w:sz w:val="20"/>
              </w:rPr>
              <w:t>QS.Qualitätsindikator.csv (Abschnitt 2.2, Basis der Kette)</w:t>
            </w:r>
          </w:p>
        </w:tc>
        <w:tc>
          <w:tcPr>
            <w:tcW w:type="dxa" w:w="2835"/>
          </w:tcPr>
          <w:p>
            <w:r>
              <w:rPr>
                <w:sz w:val="20"/>
              </w:rPr>
              <w:t>total_qi, auffaellig_n, auffaellig_quote, hat_viele_Probleme</w:t>
            </w:r>
          </w:p>
        </w:tc>
      </w:tr>
      <w:tr>
        <w:tc>
          <w:tcPr>
            <w:tcW w:type="dxa" w:w="1701"/>
          </w:tcPr>
          <w:p>
            <w:r>
              <w:rPr>
                <w:sz w:val="20"/>
              </w:rPr>
              <w:t>so_klein</w:t>
            </w:r>
          </w:p>
        </w:tc>
        <w:tc>
          <w:tcPr>
            <w:tcW w:type="dxa" w:w="3402"/>
          </w:tcPr>
          <w:p>
            <w:r>
              <w:rPr>
                <w:sz w:val="20"/>
              </w:rPr>
              <w:t>SO.csv (Stammdaten)</w:t>
            </w:r>
          </w:p>
        </w:tc>
        <w:tc>
          <w:tcPr>
            <w:tcW w:type="dxa" w:w="2835"/>
          </w:tcPr>
          <w:p>
            <w:r>
              <w:rPr>
                <w:sz w:val="20"/>
              </w:rPr>
              <w:t>SO.Name, SO.Betten, SO.Bundesland, SO.Uni, KH.Träger, KH.Träger.Art, SO.Latitude, SO.Longitude, SO.Standortnummer</w:t>
            </w:r>
          </w:p>
        </w:tc>
      </w:tr>
      <w:tr>
        <w:tc>
          <w:tcPr>
            <w:tcW w:type="dxa" w:w="1701"/>
          </w:tcPr>
          <w:p>
            <w:r>
              <w:rPr>
                <w:sz w:val="20"/>
              </w:rPr>
              <w:t>fb_quote</w:t>
            </w:r>
          </w:p>
        </w:tc>
        <w:tc>
          <w:tcPr>
            <w:tcW w:type="dxa" w:w="3402"/>
          </w:tcPr>
          <w:p>
            <w:r>
              <w:rPr>
                <w:sz w:val="20"/>
              </w:rPr>
              <w:t>QS.Fortbildung.csv</w:t>
            </w:r>
          </w:p>
        </w:tc>
        <w:tc>
          <w:tcPr>
            <w:tcW w:type="dxa" w:w="2835"/>
          </w:tcPr>
          <w:p>
            <w:r>
              <w:rPr>
                <w:sz w:val="20"/>
              </w:rPr>
              <w:t>fortbildungsquote</w:t>
            </w:r>
          </w:p>
        </w:tc>
      </w:tr>
      <w:tr>
        <w:tc>
          <w:tcPr>
            <w:tcW w:type="dxa" w:w="1701"/>
          </w:tcPr>
          <w:p>
            <w:r>
              <w:rPr>
                <w:sz w:val="20"/>
              </w:rPr>
              <w:t>aerzte_pro_haus</w:t>
            </w:r>
          </w:p>
        </w:tc>
        <w:tc>
          <w:tcPr>
            <w:tcW w:type="dxa" w:w="3402"/>
          </w:tcPr>
          <w:p>
            <w:r>
              <w:rPr>
                <w:sz w:val="20"/>
              </w:rPr>
              <w:t>FA.Personalliste.csv + FA.csv (2 Joins über ABTID)</w:t>
            </w:r>
          </w:p>
        </w:tc>
        <w:tc>
          <w:tcPr>
            <w:tcW w:type="dxa" w:w="2835"/>
          </w:tcPr>
          <w:p>
            <w:r>
              <w:rPr>
                <w:sz w:val="20"/>
              </w:rPr>
              <w:t>aerzte_pro_bett</w:t>
            </w:r>
          </w:p>
        </w:tc>
      </w:tr>
      <w:tr>
        <w:tc>
          <w:tcPr>
            <w:tcW w:type="dxa" w:w="1701"/>
          </w:tcPr>
          <w:p>
            <w:r>
              <w:rPr>
                <w:sz w:val="20"/>
              </w:rPr>
              <w:t>pflege_haus</w:t>
            </w:r>
          </w:p>
        </w:tc>
        <w:tc>
          <w:tcPr>
            <w:tcW w:type="dxa" w:w="3402"/>
          </w:tcPr>
          <w:p>
            <w:r>
              <w:rPr>
                <w:sz w:val="20"/>
              </w:rPr>
              <w:t>SO.Personalliste.csv</w:t>
            </w:r>
          </w:p>
        </w:tc>
        <w:tc>
          <w:tcPr>
            <w:tcW w:type="dxa" w:w="2835"/>
          </w:tcPr>
          <w:p>
            <w:r>
              <w:rPr>
                <w:sz w:val="20"/>
              </w:rPr>
              <w:t>pflege_pro_bett</w:t>
            </w:r>
          </w:p>
        </w:tc>
      </w:tr>
      <w:tr>
        <w:tc>
          <w:tcPr>
            <w:tcW w:type="dxa" w:w="1701"/>
          </w:tcPr>
          <w:p>
            <w:r>
              <w:rPr>
                <w:sz w:val="20"/>
              </w:rPr>
              <w:t>konzern_flag</w:t>
            </w:r>
          </w:p>
        </w:tc>
        <w:tc>
          <w:tcPr>
            <w:tcW w:type="dxa" w:w="3402"/>
          </w:tcPr>
          <w:p>
            <w:r>
              <w:rPr>
                <w:sz w:val="20"/>
              </w:rPr>
              <w:t>Konzern.csv</w:t>
            </w:r>
          </w:p>
        </w:tc>
        <w:tc>
          <w:tcPr>
            <w:tcW w:type="dxa" w:w="2835"/>
          </w:tcPr>
          <w:p>
            <w:r>
              <w:rPr>
                <w:sz w:val="20"/>
              </w:rPr>
              <w:t>ist_konzern</w:t>
            </w:r>
          </w:p>
        </w:tc>
      </w:tr>
    </w:tbl>
    <w:p>
      <w:pPr>
        <w:spacing w:before="0" w:after="100"/>
      </w:pPr>
      <w:r>
        <w:rPr>
          <w:b w:val="0"/>
          <w:i/>
          <w:color w:val="555555"/>
          <w:sz w:val="19"/>
        </w:rPr>
        <w:t>SO.QBID ist in jeder der sechs Tabellen der gemeinsame Schlüssel — dadurch landet am Ende jede Spalte in der richtigen Zeile (= richtiges Krankenhaus), obwohl die Spalten aus fünf völlig unterschiedlichen Rohdateien stammen. how='left' mit auffaellig_quote als Basis stellt sicher, dass alle 1.821 Häuser mit Ziel-Variable erhalten bleiben, auch wenn ihnen einzelne Merkmale fehlen (z. B. keine Fortbildungsdaten → NaN bei fortbildungsquote).</w:t>
      </w:r>
    </w:p>
    <w:p>
      <w:pPr>
        <w:spacing w:before="0" w:after="100"/>
      </w:pPr>
      <w:r>
        <w:rPr>
          <w:b/>
          <w:i w:val="0"/>
          <w:sz w:val="22"/>
        </w:rPr>
        <w:t xml:space="preserve">Warum 1.821 Zeilen und nicht 2.310? </w:t>
      </w:r>
      <w:r>
        <w:rPr>
          <w:b w:val="0"/>
          <w:i w:val="0"/>
          <w:sz w:val="22"/>
        </w:rPr>
        <w:t>Ausgangspunkt des Merges ist auffaellig_quote (die Ziel-Variable, 1.821 Häuser) — so_klein aus SO.csv (2.310 Häuser) wird per Left Join daran angehängt, nicht umgekehrt. Dadurch bleiben nur Häuser übrig, die auch in der Ziel-Variable vorkommen. In zwei Schritten werden es weniger: 486 Häuser (2.310 − 1.824) stehen zwar in SO.csv mit Stammdaten, haben aber keine Zeile in QS.Qualitätsindikator.csv überhaupt. Von den verbliebenen 1.824 haben zusätzlich 3 Häuser unter der korrigierten Definition keine einzige bewertbare Zeile mehr (siehe Abschnitt 2.2) — macht zusammen 489 fehlende Häuser und 1.821 übrige.</w:t>
      </w:r>
    </w:p>
    <w:p>
      <w:r>
        <w:br w:type="page"/>
      </w:r>
    </w:p>
    <w:p>
      <w:pPr>
        <w:pStyle w:val="Heading1"/>
        <w:spacing w:before="280" w:after="80"/>
      </w:pPr>
      <w:r>
        <w:rPr>
          <w:b/>
          <w:color w:val="1F497D"/>
          <w:sz w:val="28"/>
        </w:rPr>
        <w:t>3  Baustein 2 — Deskriptive Analyse  (Woche 2)</w:t>
      </w:r>
    </w:p>
    <w:p>
      <w:pPr>
        <w:spacing w:before="0" w:after="160"/>
      </w:pPr>
      <w:r>
        <w:rPr>
          <w:b/>
          <w:i/>
          <w:color w:val="555555"/>
          <w:sz w:val="22"/>
        </w:rPr>
        <w:t xml:space="preserve">Korrektur (Stand 2026-08-14): </w:t>
      </w:r>
      <w:r>
        <w:rPr>
          <w:b w:val="0"/>
          <w:i/>
          <w:color w:val="555555"/>
          <w:sz w:val="22"/>
        </w:rPr>
        <w:t>Die Ziel-Variable hat_viele_Probleme wurde korrigiert (siehe Abschnitt 2.2) — 72,5 % der Krankenhäuser wechseln dadurch die Gruppe (viele/wenige Probleme). Alle Grafiken und Kernaussagen in diesem Abschnitt 3 wurden mit Notebooks/02_Analyse.ipynb gegen die korrigierte Data/analysetabelle.csv neu berechnet und sind aktuell.</w:t>
      </w:r>
    </w:p>
    <w:p>
      <w:pPr>
        <w:spacing w:before="0" w:after="100"/>
      </w:pPr>
      <w:r>
        <w:rPr>
          <w:b w:val="0"/>
          <w:i w:val="0"/>
          <w:sz w:val="22"/>
        </w:rPr>
        <w:t>Notebook: Notebooks/02_Analyse.ipynb  ·  Ergebnis: 12 Grafiken in grafiken/  ·  5 statistische Tests</w:t>
      </w:r>
    </w:p>
    <w:p>
      <w:pPr>
        <w:spacing w:before="80" w:after="80"/>
        <w:pBdr>
          <w:bottom w:val="single" w:sz="4" w:space="1" w:color="CCCCCC"/>
        </w:pBdr>
      </w:pPr>
    </w:p>
    <w:p>
      <w:pPr>
        <w:pStyle w:val="Heading2"/>
        <w:spacing w:before="200" w:after="60"/>
      </w:pPr>
      <w:r>
        <w:rPr>
          <w:b/>
          <w:color w:val="BF5A00"/>
          <w:sz w:val="24"/>
        </w:rPr>
        <w:t>3.1  Die 12 Grafiken im Detail</w:t>
      </w:r>
    </w:p>
    <w:p>
      <w:pPr>
        <w:spacing w:before="0" w:after="100"/>
      </w:pPr>
      <w:r>
        <w:rPr>
          <w:b w:val="0"/>
          <w:i w:val="0"/>
          <w:sz w:val="22"/>
        </w:rPr>
        <w:t>Alle Analysen arbeiten ausschließlich auf analysetabelle.csv. Zu jeder Grafik: was sie zeigt und warum sie für die Projektfrage wichtig ist. Die Tabelle unten fasst die Kernaussage jeder Grafik auf einen Blick zusammen — im Anschluss folgt jede Grafik einzeln mit Bild und Erklärung.</w:t>
      </w:r>
    </w:p>
    <w:tbl>
      <w:tblPr>
        <w:tblStyle w:val="TableGrid"/>
        <w:tblW w:type="auto" w:w="0"/>
        <w:tblLook w:firstColumn="1" w:firstRow="1" w:lastColumn="0" w:lastRow="0" w:noHBand="0" w:noVBand="1" w:val="04A0"/>
      </w:tblPr>
      <w:tblGrid>
        <w:gridCol w:w="4561"/>
        <w:gridCol w:w="4561"/>
      </w:tblGrid>
      <w:tr>
        <w:tc>
          <w:tcPr>
            <w:tcW w:type="dxa" w:w="3402"/>
            <w:shd w:fill="1F497D" w:val="clear"/>
          </w:tcPr>
          <w:p>
            <w:r>
              <w:rPr>
                <w:b/>
                <w:color w:val="FFFFFF"/>
                <w:sz w:val="20"/>
              </w:rPr>
              <w:t>Grafik</w:t>
            </w:r>
          </w:p>
        </w:tc>
        <w:tc>
          <w:tcPr>
            <w:tcW w:type="dxa" w:w="5102"/>
            <w:shd w:fill="1F497D" w:val="clear"/>
          </w:tcPr>
          <w:p>
            <w:r>
              <w:rPr>
                <w:b/>
                <w:color w:val="FFFFFF"/>
                <w:sz w:val="20"/>
              </w:rPr>
              <w:t>Kernaussage</w:t>
            </w:r>
          </w:p>
        </w:tc>
      </w:tr>
      <w:tr>
        <w:tc>
          <w:tcPr>
            <w:tcW w:type="dxa" w:w="3402"/>
          </w:tcPr>
          <w:p>
            <w:r>
              <w:rPr>
                <w:sz w:val="20"/>
              </w:rPr>
              <w:t>1 — Verteilung der auffällig-Quote</w:t>
            </w:r>
          </w:p>
        </w:tc>
        <w:tc>
          <w:tcPr>
            <w:tcW w:type="dxa" w:w="5102"/>
          </w:tcPr>
          <w:p>
            <w:r>
              <w:rPr>
                <w:sz w:val="20"/>
              </w:rPr>
              <w:t>Zielvariable rechtsschief verteilt, Median 5,88 % — Ausgangspunkt aller Vergleiche</w:t>
            </w:r>
          </w:p>
        </w:tc>
      </w:tr>
      <w:tr>
        <w:tc>
          <w:tcPr>
            <w:tcW w:type="dxa" w:w="3402"/>
          </w:tcPr>
          <w:p>
            <w:r>
              <w:rPr>
                <w:sz w:val="20"/>
              </w:rPr>
              <w:t>2 — Bettenzahl</w:t>
            </w:r>
          </w:p>
        </w:tc>
        <w:tc>
          <w:tcPr>
            <w:tcW w:type="dxa" w:w="5102"/>
          </w:tcPr>
          <w:p>
            <w:r>
              <w:rPr>
                <w:sz w:val="20"/>
              </w:rPr>
              <w:t>Schwacher, aber messbarer Zusammenhang (Md 166 vs. 220, r=+0,14) — Häuser mit vielen Problemen tendenziell größer, Bereiche überlappen stark</w:t>
            </w:r>
          </w:p>
        </w:tc>
      </w:tr>
      <w:tr>
        <w:tc>
          <w:tcPr>
            <w:tcW w:type="dxa" w:w="3402"/>
          </w:tcPr>
          <w:p>
            <w:r>
              <w:rPr>
                <w:sz w:val="20"/>
              </w:rPr>
              <w:t>3 — Trägerschaft</w:t>
            </w:r>
          </w:p>
        </w:tc>
        <w:tc>
          <w:tcPr>
            <w:tcW w:type="dxa" w:w="5102"/>
          </w:tcPr>
          <w:p>
            <w:r>
              <w:rPr>
                <w:sz w:val="20"/>
              </w:rPr>
              <w:t>Optisch sichtbar (öffentlich 53,5 % vs. privat 43,8 %), aber laut ANOVA NICHT statistisch signifikant (p=0,969)</w:t>
            </w:r>
          </w:p>
        </w:tc>
      </w:tr>
      <w:tr>
        <w:tc>
          <w:tcPr>
            <w:tcW w:type="dxa" w:w="3402"/>
          </w:tcPr>
          <w:p>
            <w:r>
              <w:rPr>
                <w:sz w:val="20"/>
              </w:rPr>
              <w:t>4 — Uni-Kliniken</w:t>
            </w:r>
          </w:p>
        </w:tc>
        <w:tc>
          <w:tcPr>
            <w:tcW w:type="dxa" w:w="5102"/>
          </w:tcPr>
          <w:p>
            <w:r>
              <w:rPr>
                <w:sz w:val="20"/>
              </w:rPr>
              <w:t>Deutlicher Unterschied: Uni-Kliniken (68,5 %) vs. normale Häuser (48,7 %) — bei kleiner Fallzahl (n=92) mit Vorsicht zu lesen</w:t>
            </w:r>
          </w:p>
        </w:tc>
      </w:tr>
      <w:tr>
        <w:tc>
          <w:tcPr>
            <w:tcW w:type="dxa" w:w="3402"/>
          </w:tcPr>
          <w:p>
            <w:r>
              <w:rPr>
                <w:sz w:val="20"/>
              </w:rPr>
              <w:t>5+6 — Fortbildung &amp; Ärzte pro Bett</w:t>
            </w:r>
          </w:p>
        </w:tc>
        <w:tc>
          <w:tcPr>
            <w:tcW w:type="dxa" w:w="5102"/>
          </w:tcPr>
          <w:p>
            <w:r>
              <w:rPr>
                <w:sz w:val="20"/>
              </w:rPr>
              <w:t>Fortbildung ohne Effekt · Ärzte pro Bett bei Häusern mit vielen Problemen höher — wichtigstes Merkmal</w:t>
            </w:r>
          </w:p>
        </w:tc>
      </w:tr>
      <w:tr>
        <w:tc>
          <w:tcPr>
            <w:tcW w:type="dxa" w:w="3402"/>
          </w:tcPr>
          <w:p>
            <w:r>
              <w:rPr>
                <w:sz w:val="20"/>
              </w:rPr>
              <w:t>7 — Bundesland</w:t>
            </w:r>
          </w:p>
        </w:tc>
        <w:tc>
          <w:tcPr>
            <w:tcW w:type="dxa" w:w="5102"/>
          </w:tcPr>
          <w:p>
            <w:r>
              <w:rPr>
                <w:sz w:val="20"/>
              </w:rPr>
              <w:t>Regionale Unterschiede im Anteil der Häuser mit vielen Qualitätsproblemen sichtbar, aber kleine Stichproben beachten</w:t>
            </w:r>
          </w:p>
        </w:tc>
      </w:tr>
      <w:tr>
        <w:tc>
          <w:tcPr>
            <w:tcW w:type="dxa" w:w="3402"/>
          </w:tcPr>
          <w:p>
            <w:r>
              <w:rPr>
                <w:sz w:val="20"/>
              </w:rPr>
              <w:t>8 — Korrelationsmatrix</w:t>
            </w:r>
          </w:p>
        </w:tc>
        <w:tc>
          <w:tcPr>
            <w:tcW w:type="dxa" w:w="5102"/>
          </w:tcPr>
          <w:p>
            <w:r>
              <w:rPr>
                <w:sz w:val="20"/>
              </w:rPr>
              <w:t>Kompakte Übersicht: Ärzte/Bett und Pflege/Bett korrelieren am stärksten (positiv) mit vielen Qualitätsproblemen</w:t>
            </w:r>
          </w:p>
        </w:tc>
      </w:tr>
      <w:tr>
        <w:tc>
          <w:tcPr>
            <w:tcW w:type="dxa" w:w="3402"/>
          </w:tcPr>
          <w:p>
            <w:r>
              <w:rPr>
                <w:sz w:val="20"/>
              </w:rPr>
              <w:t>9 — Streudiagramm Betten × Ärzte/Bett</w:t>
            </w:r>
          </w:p>
        </w:tc>
        <w:tc>
          <w:tcPr>
            <w:tcW w:type="dxa" w:w="5102"/>
          </w:tcPr>
          <w:p>
            <w:r>
              <w:rPr>
                <w:sz w:val="20"/>
              </w:rPr>
              <w:t>Häuser mit wenigen vs. vielen Qualitätsproblemen lassen sich anhand dieser zwei Merkmale nicht klar trennen</w:t>
            </w:r>
          </w:p>
        </w:tc>
      </w:tr>
      <w:tr>
        <w:tc>
          <w:tcPr>
            <w:tcW w:type="dxa" w:w="3402"/>
          </w:tcPr>
          <w:p>
            <w:r>
              <w:rPr>
                <w:sz w:val="20"/>
              </w:rPr>
              <w:t>10 — Störfaktor Träger × Bettengröße</w:t>
            </w:r>
          </w:p>
        </w:tc>
        <w:tc>
          <w:tcPr>
            <w:tcW w:type="dxa" w:w="5102"/>
          </w:tcPr>
          <w:p>
            <w:r>
              <w:rPr>
                <w:sz w:val="20"/>
              </w:rPr>
              <w:t>Private Häuser sind im Schnitt kleiner (Md 125 vs. 232 Betten) — bleibt als methodischer Punkt relevant, ist aber zweitrangig, da schon die ANOVA in Grafik 3 keinen Trägereffekt findet</w:t>
            </w:r>
          </w:p>
        </w:tc>
      </w:tr>
      <w:tr>
        <w:tc>
          <w:tcPr>
            <w:tcW w:type="dxa" w:w="3402"/>
          </w:tcPr>
          <w:p>
            <w:r>
              <w:rPr>
                <w:sz w:val="20"/>
              </w:rPr>
              <w:t>11 — Pflegekräfte pro Bett</w:t>
            </w:r>
          </w:p>
        </w:tc>
        <w:tc>
          <w:tcPr>
            <w:tcW w:type="dxa" w:w="5102"/>
          </w:tcPr>
          <w:p>
            <w:r>
              <w:rPr>
                <w:sz w:val="20"/>
              </w:rPr>
              <w:t>Gleiches Muster wie Ärzte/Bett — drittwichtigstes Merkmal</w:t>
            </w:r>
          </w:p>
        </w:tc>
      </w:tr>
      <w:tr>
        <w:tc>
          <w:tcPr>
            <w:tcW w:type="dxa" w:w="3402"/>
          </w:tcPr>
          <w:p>
            <w:r>
              <w:rPr>
                <w:sz w:val="20"/>
              </w:rPr>
              <w:t>12 — Konzernvergleich</w:t>
            </w:r>
          </w:p>
        </w:tc>
        <w:tc>
          <w:tcPr>
            <w:tcW w:type="dxa" w:w="5102"/>
          </w:tcPr>
          <w:p>
            <w:r>
              <w:rPr>
                <w:sz w:val="20"/>
              </w:rPr>
              <w:t>Kein statistisch signifikanter Unterschied zwischen Konzern- und unabhängigen Häusern (Chi² p=0,2585)</w:t>
            </w:r>
          </w:p>
        </w:tc>
      </w:tr>
    </w:tbl>
    <w:p/>
    <w:p>
      <w:pPr>
        <w:keepNext/>
        <w:spacing w:before="120"/>
      </w:pPr>
      <w:r>
        <w:rPr>
          <w:b/>
          <w:color w:val="555555"/>
          <w:sz w:val="20"/>
        </w:rPr>
        <w:t>Grafik 1 — Verteilung der auffällig-Quote (Median 5,88 %, rechtsschief)</w:t>
      </w:r>
    </w:p>
    <w:p>
      <w:pPr>
        <w:keepNext/>
        <w:keepLines/>
      </w:pPr>
      <w:r>
        <w:drawing>
          <wp:inline xmlns:a="http://schemas.openxmlformats.org/drawingml/2006/main" xmlns:pic="http://schemas.openxmlformats.org/drawingml/2006/picture">
            <wp:extent cx="4680000" cy="2636381"/>
            <wp:docPr id="2" name="Picture 2"/>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4680000" cy="2636381"/>
                    </a:xfrm>
                    <a:prstGeom prst="rect"/>
                  </pic:spPr>
                </pic:pic>
              </a:graphicData>
            </a:graphic>
          </wp:inline>
        </w:drawing>
      </w:r>
    </w:p>
    <w:p>
      <w:pPr>
        <w:spacing w:after="40"/>
      </w:pPr>
    </w:p>
    <w:p>
      <w:pPr>
        <w:spacing w:before="0" w:after="100"/>
      </w:pPr>
      <w:r>
        <w:rPr>
          <w:b w:val="0"/>
          <w:i w:val="0"/>
          <w:color w:val="555555"/>
          <w:sz w:val="19"/>
        </w:rPr>
        <w:t>Warum wichtig: Zeigt, wie die Ziel-Variable selbst verteilt ist, bevor überhaupt etwas verglichen wird — Grundvoraussetzung für alle folgenden Auswertungen. Die auffällige Spitze bei 0 % (28,2 % der Häuser) zeigt: die meisten Häuser haben nur sehr wenige auffällige Indikatoren — 'viele Probleme' ist eine relative, keine absolute Aussage.</w:t>
      </w:r>
    </w:p>
    <w:p>
      <w:pPr>
        <w:keepNext/>
        <w:spacing w:before="120"/>
      </w:pPr>
      <w:r>
        <w:rPr>
          <w:b/>
          <w:color w:val="555555"/>
          <w:sz w:val="20"/>
        </w:rPr>
        <w:t>Grafik 2 — Bettenzahl: Wenige Probleme Md=166, Viele Probleme Md=220</w:t>
      </w:r>
    </w:p>
    <w:p>
      <w:pPr>
        <w:keepNext/>
        <w:keepLines/>
      </w:pPr>
      <w:r>
        <w:drawing>
          <wp:inline xmlns:a="http://schemas.openxmlformats.org/drawingml/2006/main" xmlns:pic="http://schemas.openxmlformats.org/drawingml/2006/picture">
            <wp:extent cx="4680000" cy="5528878"/>
            <wp:docPr id="3" name="Picture 3"/>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4680000" cy="5528878"/>
                    </a:xfrm>
                    <a:prstGeom prst="rect"/>
                  </pic:spPr>
                </pic:pic>
              </a:graphicData>
            </a:graphic>
          </wp:inline>
        </w:drawing>
      </w:r>
    </w:p>
    <w:p>
      <w:pPr>
        <w:spacing w:after="40"/>
      </w:pPr>
    </w:p>
    <w:p>
      <w:pPr>
        <w:spacing w:before="0" w:after="100"/>
      </w:pPr>
      <w:r>
        <w:rPr>
          <w:b w:val="0"/>
          <w:i w:val="0"/>
          <w:color w:val="555555"/>
          <w:sz w:val="19"/>
        </w:rPr>
        <w:t>Warum wichtig: Prüft die naheliegende Hypothese 'größere Häuser = andere Auffälligkeit'. Häuser mit vielen Problemen sind im Median größer (220 vs. 166 Betten). Die Korrelation ist mit r=+0,14 aber schwach: Bei dieser Stichprobengröße (1.821 Häuser) werden schon kleine Effekte statistisch signifikant, ohne praktisch groß zu sein. Die Wertebereiche beider Gruppen überlappen stark — Bettenzahl allein hat kaum Vorhersagekraft, welcher Gruppe ein Haus angehört.</w:t>
      </w:r>
    </w:p>
    <w:p>
      <w:pPr>
        <w:keepNext/>
        <w:spacing w:before="120"/>
      </w:pPr>
      <w:r>
        <w:rPr>
          <w:b/>
          <w:color w:val="555555"/>
          <w:sz w:val="20"/>
        </w:rPr>
        <w:t>Grafik 3 — Trägerschaft: Öffentliche Häuser mit höchstem Auffälligkeitsanteil</w:t>
      </w:r>
    </w:p>
    <w:p>
      <w:pPr>
        <w:keepNext/>
        <w:keepLines/>
      </w:pPr>
      <w:r>
        <w:drawing>
          <wp:inline xmlns:a="http://schemas.openxmlformats.org/drawingml/2006/main" xmlns:pic="http://schemas.openxmlformats.org/drawingml/2006/picture">
            <wp:extent cx="4680000" cy="3194286"/>
            <wp:docPr id="4" name="Picture 4"/>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4680000" cy="3194286"/>
                    </a:xfrm>
                    <a:prstGeom prst="rect"/>
                  </pic:spPr>
                </pic:pic>
              </a:graphicData>
            </a:graphic>
          </wp:inline>
        </w:drawing>
      </w:r>
    </w:p>
    <w:p>
      <w:pPr>
        <w:spacing w:after="40"/>
      </w:pPr>
    </w:p>
    <w:p>
      <w:pPr>
        <w:spacing w:before="0" w:after="100"/>
      </w:pPr>
      <w:r>
        <w:rPr>
          <w:b w:val="0"/>
          <w:i w:val="0"/>
          <w:color w:val="555555"/>
          <w:sz w:val="19"/>
        </w:rPr>
        <w:t>Warum wichtig: Optisch der auffälligste Unterschied der gesamten Analyse (öffentlich 53,5 % vs. freigemeinnützig 50,6 % vs. privat 43,8 %) — die spätere ANOVA auf der stetigen Quote zeigt aber: F=0,031, p=0,969, NICHT signifikant. Die drei Trägerarten unterscheiden sich im Mittelwert der Quote praktisch nicht (8,56 % / 8,57 % / 8,72 %) — der Unterschied in den Prozentsätzen entsteht erst durch den Median-Split. Eine der wichtigsten Erkenntnisse der Korrektur.</w:t>
      </w:r>
    </w:p>
    <w:p>
      <w:pPr>
        <w:keepNext/>
        <w:spacing w:before="120"/>
      </w:pPr>
      <w:r>
        <w:rPr>
          <w:b/>
          <w:color w:val="555555"/>
          <w:sz w:val="20"/>
        </w:rPr>
        <w:t>Grafik 4 — Uni-Kliniken (68,5 %) vs. normale Häuser (48,7 %)</w:t>
      </w:r>
    </w:p>
    <w:p>
      <w:pPr>
        <w:keepNext/>
        <w:keepLines/>
      </w:pPr>
      <w:r>
        <w:drawing>
          <wp:inline xmlns:a="http://schemas.openxmlformats.org/drawingml/2006/main" xmlns:pic="http://schemas.openxmlformats.org/drawingml/2006/picture">
            <wp:extent cx="4680000" cy="3414619"/>
            <wp:docPr id="5" name="Picture 5"/>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4680000" cy="3414619"/>
                    </a:xfrm>
                    <a:prstGeom prst="rect"/>
                  </pic:spPr>
                </pic:pic>
              </a:graphicData>
            </a:graphic>
          </wp:inline>
        </w:drawing>
      </w:r>
    </w:p>
    <w:p>
      <w:pPr>
        <w:spacing w:after="40"/>
      </w:pPr>
    </w:p>
    <w:p>
      <w:pPr>
        <w:spacing w:before="0" w:after="100"/>
      </w:pPr>
      <w:r>
        <w:rPr>
          <w:b w:val="0"/>
          <w:i w:val="0"/>
          <w:color w:val="555555"/>
          <w:sz w:val="19"/>
        </w:rPr>
        <w:t>Warum wichtig: Testet, ob spezialisierte Häuser mit komplexeren Fällen anders abschneiden. Deutlicher Unterschied — plausibel, da Uni-Kliniken öfter Hochrisikofälle behandeln, an denen die auf Standardfälle kalibrierten Indikatoren häufiger anschlagen. Bei nur 92 Uni-Kliniken im Datensatz ist das Ergebnis trotzdem mit Vorsicht zu lesen.</w:t>
      </w:r>
    </w:p>
    <w:p>
      <w:pPr>
        <w:keepNext/>
        <w:spacing w:before="120"/>
      </w:pPr>
      <w:r>
        <w:rPr>
          <w:b/>
          <w:color w:val="555555"/>
          <w:sz w:val="20"/>
        </w:rPr>
        <w:t>Grafik 5+6 — Fortbildungsquote (kein Unterschied) &amp; Ärzte pro Bett (sichtbarer Unterschied)</w:t>
      </w:r>
    </w:p>
    <w:p>
      <w:pPr>
        <w:keepNext/>
        <w:keepLines/>
      </w:pPr>
      <w:r>
        <w:drawing>
          <wp:inline xmlns:a="http://schemas.openxmlformats.org/drawingml/2006/main" xmlns:pic="http://schemas.openxmlformats.org/drawingml/2006/picture">
            <wp:extent cx="4680000" cy="2076773"/>
            <wp:docPr id="6" name="Picture 6"/>
            <wp:cNvGraphicFramePr>
              <a:graphicFrameLocks noChangeAspect="1"/>
            </wp:cNvGraphicFramePr>
            <a:graphic>
              <a:graphicData uri="http://schemas.openxmlformats.org/drawingml/2006/picture">
                <pic:pic>
                  <pic:nvPicPr>
                    <pic:cNvPr id="0" name="g5_6_fortbildung_aerzte.png"/>
                    <pic:cNvPicPr/>
                  </pic:nvPicPr>
                  <pic:blipFill>
                    <a:blip r:embed="rId13"/>
                    <a:stretch>
                      <a:fillRect/>
                    </a:stretch>
                  </pic:blipFill>
                  <pic:spPr>
                    <a:xfrm>
                      <a:off x="0" y="0"/>
                      <a:ext cx="4680000" cy="2076773"/>
                    </a:xfrm>
                    <a:prstGeom prst="rect"/>
                  </pic:spPr>
                </pic:pic>
              </a:graphicData>
            </a:graphic>
          </wp:inline>
        </w:drawing>
      </w:r>
    </w:p>
    <w:p>
      <w:pPr>
        <w:spacing w:after="40"/>
      </w:pPr>
    </w:p>
    <w:p>
      <w:pPr>
        <w:spacing w:before="0" w:after="100"/>
      </w:pPr>
      <w:r>
        <w:rPr>
          <w:b w:val="0"/>
          <w:i w:val="0"/>
          <w:color w:val="555555"/>
          <w:sz w:val="19"/>
        </w:rPr>
        <w:t>Warum wichtig: Die entscheidende Weiche der gesamten Analyse. Fortbildungsquote zeigt keinerlei Unterschied (Md=0,667 in beiden Gruppen) und wird verworfen. Ärzte pro Bett zeigt eine sichtbare Verschiebung (Md 0,382 vs. 0,470, Häuser mit vielen Problemen haben MEHR Ärzte pro Bett) — bestätigt sich später per T-Test (t=−9,13, p&lt;0,0001) als stärkstes Einzelmerkmal und höchste Feature Importance im späteren Decision Tree.</w:t>
      </w:r>
    </w:p>
    <w:p>
      <w:pPr>
        <w:keepNext/>
        <w:spacing w:before="120"/>
      </w:pPr>
      <w:r>
        <w:rPr>
          <w:b/>
          <w:color w:val="555555"/>
          <w:sz w:val="20"/>
        </w:rPr>
        <w:t>Grafik 7 — Bundesland: Rheinland-Pfalz 64,0 % (n=89) vs. Thüringen 36,0 % (n=50)</w:t>
      </w:r>
    </w:p>
    <w:p>
      <w:pPr>
        <w:keepNext/>
        <w:keepLines/>
      </w:pPr>
      <w:r>
        <w:drawing>
          <wp:inline xmlns:a="http://schemas.openxmlformats.org/drawingml/2006/main" xmlns:pic="http://schemas.openxmlformats.org/drawingml/2006/picture">
            <wp:extent cx="4680000" cy="2882384"/>
            <wp:docPr id="7" name="Picture 7"/>
            <wp:cNvGraphicFramePr>
              <a:graphicFrameLocks noChangeAspect="1"/>
            </wp:cNvGraphicFramePr>
            <a:graphic>
              <a:graphicData uri="http://schemas.openxmlformats.org/drawingml/2006/picture">
                <pic:pic>
                  <pic:nvPicPr>
                    <pic:cNvPr id="0" name="g7_bundesland.png"/>
                    <pic:cNvPicPr/>
                  </pic:nvPicPr>
                  <pic:blipFill>
                    <a:blip r:embed="rId14"/>
                    <a:stretch>
                      <a:fillRect/>
                    </a:stretch>
                  </pic:blipFill>
                  <pic:spPr>
                    <a:xfrm>
                      <a:off x="0" y="0"/>
                      <a:ext cx="4680000" cy="2882384"/>
                    </a:xfrm>
                    <a:prstGeom prst="rect"/>
                  </pic:spPr>
                </pic:pic>
              </a:graphicData>
            </a:graphic>
          </wp:inline>
        </w:drawing>
      </w:r>
    </w:p>
    <w:p>
      <w:pPr>
        <w:spacing w:after="40"/>
      </w:pPr>
    </w:p>
    <w:p>
      <w:pPr>
        <w:spacing w:before="0" w:after="100"/>
      </w:pPr>
      <w:r>
        <w:rPr>
          <w:b w:val="0"/>
          <w:i w:val="0"/>
          <w:color w:val="555555"/>
          <w:sz w:val="19"/>
        </w:rPr>
        <w:t>Warum wichtig: Prüft, ob Region/Landesvorgaben eine Rolle spielen. Sichtbare Unterschiede, aber mit Vorsicht zu lesen: manche Bundesländer haben nur wenige Häuser (z. B. Bremen: n=14) — dort kann ein einzelnes Haus den Landeswert stark verschieben.</w:t>
      </w:r>
    </w:p>
    <w:p>
      <w:pPr>
        <w:keepNext/>
        <w:spacing w:before="120"/>
      </w:pPr>
      <w:r>
        <w:rPr>
          <w:b/>
          <w:color w:val="555555"/>
          <w:sz w:val="20"/>
        </w:rPr>
        <w:t>Grafik 8 — Korrelationsmatrix: Alle Merkmale auf einen Blick</w:t>
      </w:r>
    </w:p>
    <w:p>
      <w:pPr>
        <w:keepNext/>
        <w:keepLines/>
      </w:pPr>
      <w:r>
        <w:drawing>
          <wp:inline xmlns:a="http://schemas.openxmlformats.org/drawingml/2006/main" xmlns:pic="http://schemas.openxmlformats.org/drawingml/2006/picture">
            <wp:extent cx="4680000" cy="4180245"/>
            <wp:docPr id="8" name="Picture 8"/>
            <wp:cNvGraphicFramePr>
              <a:graphicFrameLocks noChangeAspect="1"/>
            </wp:cNvGraphicFramePr>
            <a:graphic>
              <a:graphicData uri="http://schemas.openxmlformats.org/drawingml/2006/picture">
                <pic:pic>
                  <pic:nvPicPr>
                    <pic:cNvPr id="0" name="g8_korrelation.png"/>
                    <pic:cNvPicPr/>
                  </pic:nvPicPr>
                  <pic:blipFill>
                    <a:blip r:embed="rId15"/>
                    <a:stretch>
                      <a:fillRect/>
                    </a:stretch>
                  </pic:blipFill>
                  <pic:spPr>
                    <a:xfrm>
                      <a:off x="0" y="0"/>
                      <a:ext cx="4680000" cy="4180245"/>
                    </a:xfrm>
                    <a:prstGeom prst="rect"/>
                  </pic:spPr>
                </pic:pic>
              </a:graphicData>
            </a:graphic>
          </wp:inline>
        </w:drawing>
      </w:r>
    </w:p>
    <w:p>
      <w:pPr>
        <w:spacing w:after="40"/>
      </w:pPr>
    </w:p>
    <w:p>
      <w:pPr>
        <w:spacing w:before="0" w:after="100"/>
      </w:pPr>
      <w:r>
        <w:rPr>
          <w:b w:val="0"/>
          <w:i w:val="0"/>
          <w:color w:val="555555"/>
          <w:sz w:val="19"/>
        </w:rPr>
        <w:t>Warum wichtig: Fasst die gesamte deskriptive Analyse in einer Zahl pro Merkmal zusammen — die kompakteste Übersicht, welches Merkmal am stärksten mit hat_viele_Probleme zusammenhängt. Alle Korrelationen sind jetzt positiv: total_qi (r=+0,24, Strukturartefakt) vorn, dann aerzte_pro_bett (r=+0,21) und pflege_pro_bett (r=+0,17); ist_konzern und fortbildungsquote bleiben praktisch bei null.</w:t>
      </w:r>
    </w:p>
    <w:p>
      <w:pPr>
        <w:keepNext/>
        <w:spacing w:before="120"/>
      </w:pPr>
      <w:r>
        <w:rPr>
          <w:b/>
          <w:color w:val="555555"/>
          <w:sz w:val="20"/>
        </w:rPr>
        <w:t>Grafik 9 — Streudiagramm: Bettenzahl vs. Ärzte pro Bett</w:t>
      </w:r>
    </w:p>
    <w:p>
      <w:pPr>
        <w:keepNext/>
        <w:keepLines/>
      </w:pPr>
      <w:r>
        <w:drawing>
          <wp:inline xmlns:a="http://schemas.openxmlformats.org/drawingml/2006/main" xmlns:pic="http://schemas.openxmlformats.org/drawingml/2006/picture">
            <wp:extent cx="4680000" cy="3178547"/>
            <wp:docPr id="9" name="Picture 9"/>
            <wp:cNvGraphicFramePr>
              <a:graphicFrameLocks noChangeAspect="1"/>
            </wp:cNvGraphicFramePr>
            <a:graphic>
              <a:graphicData uri="http://schemas.openxmlformats.org/drawingml/2006/picture">
                <pic:pic>
                  <pic:nvPicPr>
                    <pic:cNvPr id="0" name="g9_scatter_betten_aerzte.png"/>
                    <pic:cNvPicPr/>
                  </pic:nvPicPr>
                  <pic:blipFill>
                    <a:blip r:embed="rId16"/>
                    <a:stretch>
                      <a:fillRect/>
                    </a:stretch>
                  </pic:blipFill>
                  <pic:spPr>
                    <a:xfrm>
                      <a:off x="0" y="0"/>
                      <a:ext cx="4680000" cy="3178547"/>
                    </a:xfrm>
                    <a:prstGeom prst="rect"/>
                  </pic:spPr>
                </pic:pic>
              </a:graphicData>
            </a:graphic>
          </wp:inline>
        </w:drawing>
      </w:r>
    </w:p>
    <w:p>
      <w:pPr>
        <w:spacing w:after="40"/>
      </w:pPr>
    </w:p>
    <w:p>
      <w:pPr>
        <w:spacing w:before="0" w:after="100"/>
      </w:pPr>
      <w:r>
        <w:rPr>
          <w:b w:val="0"/>
          <w:i w:val="0"/>
          <w:color w:val="555555"/>
          <w:sz w:val="19"/>
        </w:rPr>
        <w:t>Warum wichtig: Prüft, ob sich die beiden Gruppen anhand von zwei Merkmalen gemeinsam trennen lassen — mehr Information als eine einzelne Korrelationszahl. Starke Überlappung bestätigt: Mit diesen beiden Merkmalen allein lässt sich kein Haus zuverlässig zuordnen.</w:t>
      </w:r>
    </w:p>
    <w:p>
      <w:pPr>
        <w:keepNext/>
        <w:spacing w:before="120"/>
      </w:pPr>
      <w:r>
        <w:rPr>
          <w:b/>
          <w:color w:val="555555"/>
          <w:sz w:val="20"/>
        </w:rPr>
        <w:t>Grafik 10 — Störfaktor: Private Häuser (Md 125 Betten) deutlich kleiner als öffentliche (232)</w:t>
      </w:r>
    </w:p>
    <w:p>
      <w:pPr>
        <w:keepNext/>
        <w:keepLines/>
      </w:pPr>
      <w:r>
        <w:drawing>
          <wp:inline xmlns:a="http://schemas.openxmlformats.org/drawingml/2006/main" xmlns:pic="http://schemas.openxmlformats.org/drawingml/2006/picture">
            <wp:extent cx="4680000" cy="3155754"/>
            <wp:docPr id="10" name="Picture 10"/>
            <wp:cNvGraphicFramePr>
              <a:graphicFrameLocks noChangeAspect="1"/>
            </wp:cNvGraphicFramePr>
            <a:graphic>
              <a:graphicData uri="http://schemas.openxmlformats.org/drawingml/2006/picture">
                <pic:pic>
                  <pic:nvPicPr>
                    <pic:cNvPr id="0" name="g10_stoerfaktor_traeger.png"/>
                    <pic:cNvPicPr/>
                  </pic:nvPicPr>
                  <pic:blipFill>
                    <a:blip r:embed="rId17"/>
                    <a:stretch>
                      <a:fillRect/>
                    </a:stretch>
                  </pic:blipFill>
                  <pic:spPr>
                    <a:xfrm>
                      <a:off x="0" y="0"/>
                      <a:ext cx="4680000" cy="3155754"/>
                    </a:xfrm>
                    <a:prstGeom prst="rect"/>
                  </pic:spPr>
                </pic:pic>
              </a:graphicData>
            </a:graphic>
          </wp:inline>
        </w:drawing>
      </w:r>
    </w:p>
    <w:p>
      <w:pPr>
        <w:spacing w:after="40"/>
      </w:pPr>
    </w:p>
    <w:p>
      <w:pPr>
        <w:spacing w:before="0" w:after="100"/>
      </w:pPr>
      <w:r>
        <w:rPr>
          <w:b w:val="0"/>
          <w:i w:val="0"/>
          <w:color w:val="555555"/>
          <w:sz w:val="19"/>
        </w:rPr>
        <w:t>Warum wichtig: Ein methodisch relevanter Kontroll-Befund, jetzt aber zweitrangig: Da die ANOVA in Grafik 3 schon auf Ebene der stetigen Quote keinen Trägereffekt findet, muss hier auch nichts mehr bereinigt werden. Zeigt aber weiterhin, wie wichtig es war, diesen Störfaktor überhaupt zu prüfen, bevor man aus Grafik 3 vorschnell 'privat = schlechter' geschlossen hätte.</w:t>
      </w:r>
    </w:p>
    <w:p>
      <w:pPr>
        <w:keepNext/>
        <w:spacing w:before="120"/>
      </w:pPr>
      <w:r>
        <w:rPr>
          <w:b/>
          <w:color w:val="555555"/>
          <w:sz w:val="20"/>
        </w:rPr>
        <w:t>Grafik 11 — Pflegekräfte pro Bett: Wenige Probleme Md=0,891, Viele Probleme Md=1,047</w:t>
      </w:r>
    </w:p>
    <w:p>
      <w:pPr>
        <w:keepNext/>
        <w:keepLines/>
      </w:pPr>
      <w:r>
        <w:drawing>
          <wp:inline xmlns:a="http://schemas.openxmlformats.org/drawingml/2006/main" xmlns:pic="http://schemas.openxmlformats.org/drawingml/2006/picture">
            <wp:extent cx="4680000" cy="3049951"/>
            <wp:docPr id="11" name="Picture 11"/>
            <wp:cNvGraphicFramePr>
              <a:graphicFrameLocks noChangeAspect="1"/>
            </wp:cNvGraphicFramePr>
            <a:graphic>
              <a:graphicData uri="http://schemas.openxmlformats.org/drawingml/2006/picture">
                <pic:pic>
                  <pic:nvPicPr>
                    <pic:cNvPr id="0" name="g11_pflege_pro_bett.png"/>
                    <pic:cNvPicPr/>
                  </pic:nvPicPr>
                  <pic:blipFill>
                    <a:blip r:embed="rId18"/>
                    <a:stretch>
                      <a:fillRect/>
                    </a:stretch>
                  </pic:blipFill>
                  <pic:spPr>
                    <a:xfrm>
                      <a:off x="0" y="0"/>
                      <a:ext cx="4680000" cy="3049951"/>
                    </a:xfrm>
                    <a:prstGeom prst="rect"/>
                  </pic:spPr>
                </pic:pic>
              </a:graphicData>
            </a:graphic>
          </wp:inline>
        </w:drawing>
      </w:r>
    </w:p>
    <w:p>
      <w:pPr>
        <w:spacing w:after="40"/>
      </w:pPr>
    </w:p>
    <w:p>
      <w:pPr>
        <w:spacing w:before="0" w:after="100"/>
      </w:pPr>
      <w:r>
        <w:rPr>
          <w:b w:val="0"/>
          <w:i w:val="0"/>
          <w:color w:val="555555"/>
          <w:sz w:val="19"/>
        </w:rPr>
        <w:t>Warum wichtig: Zeigt dasselbe (jetzt positive) Muster wie Ärzte pro Bett und bestätigt sich später ebenfalls per T-Test (t=−7,51, p&lt;0,0001) — wird zum drittwichtigsten Merkmal im Decision Tree. Die Ähnlichkeit zu Grafik 6 ist zugleich ein Hinweis auf Multikollinearität (beide Merkmale korrelieren auch untereinander, r=0,58).</w:t>
      </w:r>
    </w:p>
    <w:p>
      <w:pPr>
        <w:keepNext/>
        <w:spacing w:before="120"/>
      </w:pPr>
      <w:r>
        <w:rPr>
          <w:b/>
          <w:color w:val="555555"/>
          <w:sz w:val="20"/>
        </w:rPr>
        <w:t>Grafik 12 — Konzernhaus (52,5 %) vs. unabhängiges Haus (49,0 %)</w:t>
      </w:r>
    </w:p>
    <w:p>
      <w:pPr>
        <w:keepNext/>
        <w:keepLines/>
      </w:pPr>
      <w:r>
        <w:drawing>
          <wp:inline xmlns:a="http://schemas.openxmlformats.org/drawingml/2006/main" xmlns:pic="http://schemas.openxmlformats.org/drawingml/2006/picture">
            <wp:extent cx="4680000" cy="3414619"/>
            <wp:docPr id="12" name="Picture 12"/>
            <wp:cNvGraphicFramePr>
              <a:graphicFrameLocks noChangeAspect="1"/>
            </wp:cNvGraphicFramePr>
            <a:graphic>
              <a:graphicData uri="http://schemas.openxmlformats.org/drawingml/2006/picture">
                <pic:pic>
                  <pic:nvPicPr>
                    <pic:cNvPr id="0" name="g12_konzern_vergleich.png"/>
                    <pic:cNvPicPr/>
                  </pic:nvPicPr>
                  <pic:blipFill>
                    <a:blip r:embed="rId19"/>
                    <a:stretch>
                      <a:fillRect/>
                    </a:stretch>
                  </pic:blipFill>
                  <pic:spPr>
                    <a:xfrm>
                      <a:off x="0" y="0"/>
                      <a:ext cx="4680000" cy="3414619"/>
                    </a:xfrm>
                    <a:prstGeom prst="rect"/>
                  </pic:spPr>
                </pic:pic>
              </a:graphicData>
            </a:graphic>
          </wp:inline>
        </w:drawing>
      </w:r>
    </w:p>
    <w:p>
      <w:pPr>
        <w:spacing w:after="40"/>
      </w:pPr>
    </w:p>
    <w:p>
      <w:pPr>
        <w:spacing w:before="0" w:after="100"/>
      </w:pPr>
      <w:r>
        <w:rPr>
          <w:b w:val="0"/>
          <w:i w:val="0"/>
          <w:color w:val="555555"/>
          <w:sz w:val="19"/>
        </w:rPr>
        <w:t>Warum wichtig: Testet eine von Kollegen vorgeschlagene Hypothese (zentrale Qualitätssicherung im Konzern). Leicht unterschiedliche Werte, aber per Chi²-Test bestätigt: p=0,2585, klar nicht signifikant. Bewusst trotzdem im Modell belassen: 'Kein Zusammenhang' ist ein valider, dokumentierter Befund.</w:t>
      </w:r>
    </w:p>
    <w:p>
      <w:pPr>
        <w:pStyle w:val="Heading2"/>
        <w:spacing w:before="200" w:after="60"/>
      </w:pPr>
      <w:r>
        <w:rPr>
          <w:b/>
          <w:color w:val="BF5A00"/>
          <w:sz w:val="24"/>
        </w:rPr>
        <w:t>3.2  Ausblick: Inferenzstatistik (in Arbeit)</w:t>
      </w:r>
    </w:p>
    <w:p>
      <w:pPr>
        <w:spacing w:before="0" w:after="100"/>
      </w:pPr>
      <w:r>
        <w:rPr>
          <w:b w:val="0"/>
          <w:i w:val="0"/>
          <w:sz w:val="22"/>
        </w:rPr>
        <w:t>Die Inferenzstatistik — T-Tests, Chi²-Test, ANOVA und 95 %-Konfidenzintervalle zur statistischen Absicherung der in den 12 Grafiken sichtbaren Unterschiede — ist zum Zeitpunkt dieses Berichts noch in Arbeit und wird in einer kommenden Version dieses Dokuments ergänzt.</w:t>
      </w:r>
    </w:p>
    <w:p>
      <w:pPr>
        <w:spacing w:before="0" w:after="100"/>
      </w:pPr>
      <w:r>
        <w:rPr>
          <w:b w:val="0"/>
          <w:i w:val="0"/>
          <w:sz w:val="22"/>
        </w:rPr>
        <w:t>Warum ist das wichtig? Die Grafiken zeigen Unterschiede zwischen den beiden Gruppen — z. B. mehr Ärzte und Pflegekräfte pro Bett bei Häusern mit vielen Qualitätsproblemen. Ein optisch sichtbarer Unterschied in einer Stichprobe von 1.821 Häusern beweist aber noch nicht, dass dieser Unterschied real ist und nicht nur zufällige Schwankung. Die Inferenzstatistik liefert genau diesen Nachweis: Sie berechnet, wie wahrscheinlich der beobachtete Unterschied wäre, wenn es in Wirklichkeit gar keinen echten Zusammenhang gäbe. Damit lässt sich zwischen 'zufälliger Schwankung' und 'statistisch abgesichertem Befund' unterscheiden — eine notwendige Ergänzung zur rein deskriptiven Analyse, bevor belastbare Schlussfolgerungen für die Gesamtheit aller deutschen Krankenhäuser gezogen werden können.</w:t>
      </w:r>
    </w:p>
    <w:sectPr w:rsidR="00FC693F" w:rsidRPr="0006063C" w:rsidSect="00034616">
      <w:pgSz w:w="12240" w:h="15840"/>
      <w:pgMar w:top="1417" w:right="141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Datenanalyse-Projekt</dc:creator>
  <cp:keywords/>
  <dc:description>generated by python-docx</dc:description>
  <cp:lastModifiedBy/>
  <cp:revision>1</cp:revision>
  <dcterms:created xsi:type="dcterms:W3CDTF">2013-12-23T23:15:00Z</dcterms:created>
  <dcterms:modified xsi:type="dcterms:W3CDTF">2026-08-14T19:12:09Z</dcterms:modified>
  <cp:category/>
</cp:coreProperties>
</file>