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jc w:val="center"/>
      </w:pPr>
      <w:r>
        <w:rPr>
          <w:b/>
          <w:color w:val="1F497D"/>
          <w:sz w:val="44"/>
        </w:rPr>
        <w:t>Qualitäts-Muster-Finder</w:t>
      </w:r>
    </w:p>
    <w:p>
      <w:pPr>
        <w:spacing w:before="120" w:after="80"/>
        <w:jc w:val="center"/>
      </w:pPr>
      <w:r>
        <w:rPr>
          <w:b w:val="0"/>
          <w:i/>
          <w:color w:val="555555"/>
          <w:sz w:val="26"/>
        </w:rPr>
        <w:t>Präsentationsskript — Sprechertext je Folie</w:t>
      </w:r>
    </w:p>
    <w:p>
      <w:pPr>
        <w:spacing w:before="0" w:after="80"/>
        <w:jc w:val="center"/>
      </w:pPr>
      <w:r>
        <w:rPr>
          <w:b w:val="0"/>
          <w:i w:val="0"/>
          <w:color w:val="555555"/>
          <w:sz w:val="22"/>
        </w:rPr>
        <w:t>~32 Minuten · 17 Folien · Einzelpräsentation</w:t>
      </w:r>
    </w:p>
    <w:p>
      <w:pPr>
        <w:spacing w:before="0" w:after="800"/>
        <w:jc w:val="center"/>
      </w:pPr>
      <w:r>
        <w:rPr>
          <w:b w:val="0"/>
          <w:i w:val="0"/>
          <w:color w:val="555555"/>
          <w:sz w:val="20"/>
        </w:rPr>
        <w:t>Stand: 10.08.2026</w:t>
      </w:r>
    </w:p>
    <w:p>
      <w:r>
        <w:br w:type="page"/>
      </w:r>
    </w:p>
    <w:p>
      <w:pPr>
        <w:spacing w:before="0" w:after="80"/>
      </w:pPr>
      <w:r>
        <w:rPr>
          <w:b/>
          <w:i w:val="0"/>
          <w:color w:val="1F497D"/>
          <w:sz w:val="24"/>
        </w:rPr>
        <w:t>Hinweis zur Nutzung</w:t>
      </w:r>
    </w:p>
    <w:p>
      <w:pPr>
        <w:spacing w:before="0" w:after="400"/>
      </w:pPr>
      <w:r>
        <w:rPr>
          <w:b w:val="0"/>
          <w:i w:val="0"/>
          <w:color w:val="555555"/>
          <w:sz w:val="20"/>
        </w:rPr>
        <w:t>Dieses Skript enthält den vollständigen Sprechertext für alle 17 Folien. Der Text ist erzählend formuliert und kann direkt vorgelesen oder als Gedächtnisstütze für freies Sprechen genutzt werden. Übergänge zwischen den Folien sind kursiv hervorgehoben.</w:t>
      </w:r>
    </w:p>
    <w:p>
      <w:pPr>
        <w:spacing w:before="80" w:after="80"/>
        <w:pBdr>
          <w:bottom w:val="single" w:sz="4" w:space="1" w:color="CCCCCC"/>
        </w:pBdr>
      </w:pPr>
    </w:p>
    <w:p>
      <w:pPr>
        <w:pStyle w:val="Heading1"/>
        <w:spacing w:before="400" w:after="120"/>
      </w:pPr>
      <w:r>
        <w:rPr>
          <w:b/>
          <w:color w:val="1F497D"/>
          <w:sz w:val="28"/>
        </w:rPr>
        <w:t>Block 1 — Einstieg &amp; Projektfrage  (Folien 1–3 · ca. 4 Min)</w:t>
      </w:r>
    </w:p>
    <w:p/>
    <w:p>
      <w:pPr>
        <w:pStyle w:val="Heading2"/>
        <w:spacing w:before="280" w:after="80"/>
      </w:pPr>
      <w:r>
        <w:rPr>
          <w:b/>
          <w:color w:val="1F497D"/>
          <w:sz w:val="26"/>
        </w:rPr>
        <w:t>Folie 1  —  Titelfolie</w:t>
      </w:r>
      <w:r>
        <w:rPr>
          <w:b w:val="0"/>
          <w:color w:val="555555"/>
          <w:sz w:val="20"/>
        </w:rPr>
        <w:t xml:space="preserve">  [ca. 1 Min]</w:t>
      </w:r>
    </w:p>
    <w:p>
      <w:pPr>
        <w:spacing w:before="0" w:after="120"/>
      </w:pPr>
      <w:r>
        <w:rPr>
          <w:b w:val="0"/>
          <w:i w:val="0"/>
          <w:sz w:val="22"/>
        </w:rPr>
        <w:t>Herzlich willkommen. Unser Projekt trägt den Namen Qualitäts-Muster-Finder. Wie der Name schon andeutet, geht es um Muster in den Daten: Wir haben konkrete Datensätze aus dem deutschen Gesundheitswesen untersucht und uns gefragt, welche Krankenhausmerkmale damit zusammenhängen, dass ein Haus überdurchschnittlich viele Qualitätsprobleme aufweist. Dabei zeigen wir auch, wenn sich kein klarer Zusammenhang ergeben hat — denn auch das ist ein valides und interessantes Ergebnis.</w:t>
      </w:r>
    </w:p>
    <w:p>
      <w:pPr>
        <w:spacing w:before="160" w:after="80"/>
      </w:pPr>
      <w:r>
        <w:rPr>
          <w:i/>
          <w:color w:val="BF5A00"/>
          <w:sz w:val="20"/>
        </w:rPr>
        <w:t>→ Übergang: Bevor wir ins Detail gehen — hier kurz der Fahrplan für die nächsten 30 Minuten.</w:t>
      </w:r>
    </w:p>
    <w:p/>
    <w:p>
      <w:pPr>
        <w:pStyle w:val="Heading2"/>
        <w:spacing w:before="280" w:after="80"/>
      </w:pPr>
      <w:r>
        <w:rPr>
          <w:b/>
          <w:color w:val="1F497D"/>
          <w:sz w:val="26"/>
        </w:rPr>
        <w:t>Folie 2  —  Agenda</w:t>
      </w:r>
      <w:r>
        <w:rPr>
          <w:b w:val="0"/>
          <w:color w:val="555555"/>
          <w:sz w:val="20"/>
        </w:rPr>
        <w:t xml:space="preserve">  [ca. 1 Min]</w:t>
      </w:r>
    </w:p>
    <w:p>
      <w:pPr>
        <w:spacing w:before="0" w:after="120"/>
      </w:pPr>
      <w:r>
        <w:rPr>
          <w:b w:val="0"/>
          <w:i w:val="0"/>
          <w:sz w:val="22"/>
        </w:rPr>
        <w:t>Wir laufen heute den kompletten Weg einer Datenanalyse ab — von den Rohdaten bis zum interaktiven Dashboard. Zuerst klären wir die Projektfrage und stellen den Datensatz vor. Dann zeigen wir, wie wir aus 86 CSV-Dateien eine saubere Analysetabelle gebaut haben. Im dritten Block kommen die eigentlichen Ergebnisse: Welche Merkmale hängen mit Qualitätsproblemen zusammen — und welche nicht? Im vierten Block folgen Machine Learning und das interaktive Dashboard. Und zum Abschluss ziehen wir ein Fazit und zeigen, wo die Grenzen dieser Analyse liegen.</w:t>
      </w:r>
    </w:p>
    <w:p>
      <w:pPr>
        <w:spacing w:before="160" w:after="80"/>
      </w:pPr>
      <w:r>
        <w:rPr>
          <w:i/>
          <w:color w:val="BF5A00"/>
          <w:sz w:val="20"/>
        </w:rPr>
        <w:t>→ Übergang: Fangen wir mit der zentralen Frage an, um die es in unserem Projekt geht.</w:t>
      </w:r>
    </w:p>
    <w:p/>
    <w:p>
      <w:pPr>
        <w:pStyle w:val="Heading2"/>
        <w:spacing w:before="280" w:after="80"/>
      </w:pPr>
      <w:r>
        <w:rPr>
          <w:b/>
          <w:color w:val="1F497D"/>
          <w:sz w:val="26"/>
        </w:rPr>
        <w:t>Folie 3  —  Projektfrage &amp; Datensatz</w:t>
      </w:r>
      <w:r>
        <w:rPr>
          <w:b w:val="0"/>
          <w:color w:val="555555"/>
          <w:sz w:val="20"/>
        </w:rPr>
        <w:t xml:space="preserve">  [ca. 2 Min]</w:t>
      </w:r>
    </w:p>
    <w:p>
      <w:pPr>
        <w:spacing w:before="0" w:after="120"/>
      </w:pPr>
      <w:r>
        <w:rPr>
          <w:b w:val="0"/>
          <w:i w:val="0"/>
          <w:sz w:val="22"/>
        </w:rPr>
        <w:t>Die Frage lautet: Gibt es Zusammenhänge zwischen den Strukturmerkmalen eines Krankenhauses und der Häufigkeit seiner auffälligen Qualitätsindikatoren? Qualitätsindikatoren sind dabei messbare Kennzahlen, mit denen die Qualität der medizinischen Versorgung bewertet wird — z. B. der Anteil der Patientinnen, bei denen während einer gynäkologischen Bauchspiegelung ein umliegendes Organ verletzt wurde, die Rate der Patientinnen und Patienten, die nach einem Herzkathetereingriff keine Beschwerden wie Schmerzen oder Taubheitsgefühle aufweisen, oder der Anteil der Patientinnen und Patienten, bei denen während des Krankenhausaufenthalts ein Druckgeschwür — Dekubitus — entstanden ist. Alle drei Beispiele stammen direkt aus unserem Datensatz, aus QS.Qualitätsindikator.csv, Leistungsbereiche GYN-OP, PCI und DEK.</w:t>
      </w:r>
    </w:p>
    <w:p>
      <w:pPr>
        <w:spacing w:before="0" w:after="120"/>
      </w:pPr>
      <w:r>
        <w:rPr>
          <w:b w:val="0"/>
          <w:i w:val="0"/>
          <w:sz w:val="22"/>
        </w:rPr>
        <w:t>Der Hintergrund: Jedes deutsche Krankenhaus ist gesetzlich verpflichtet, jährlich einen Qualitätsbericht zu veröffentlichen. Das macht diesen Datensatz besonders wertvoll — alle Häuser werden nach denselben Regeln bewertet. Das ist die Grundvoraussetzung für einen fairen Vergleich.</w:t>
      </w:r>
    </w:p>
    <w:p>
      <w:pPr>
        <w:spacing w:before="0" w:after="120"/>
      </w:pPr>
      <w:r>
        <w:rPr>
          <w:b w:val="0"/>
          <w:i w:val="0"/>
          <w:sz w:val="22"/>
        </w:rPr>
        <w:t>Zur Datenbasis: Wir arbeiten mit Qualitätsberichten aus dem Jahr 2023, herausgegeben vom Institut für Qualitätssicherung und Transparenz im Gesundheitswesen — kurz IQTIG. Der Datensatz umfasst 1.824 Krankenhäuser, die tatsächlich bewertet wurden, verteilt auf 86 CSV-Dateien mit insgesamt rund 1,2 Gigabyte. Pro Haus gibt es etwa 150 Qualitätsindikatoren. Dabei kann das Ergebnis in beide Richtungen gehen: Kein Zusammenhang ist genauso ein valides Ergebnis wie ein starker Zusammenhang.</w:t>
      </w:r>
    </w:p>
    <w:p>
      <w:pPr>
        <w:spacing w:before="160" w:after="80"/>
      </w:pPr>
      <w:r>
        <w:rPr>
          <w:i/>
          <w:color w:val="BF5A00"/>
          <w:sz w:val="20"/>
        </w:rPr>
        <w:t>→ Übergang: Bevor wir tiefer einsteigen — kurz ein Überblick, wie wir uns durch diesen Datensatz durchgearbeitet haben.</w:t>
      </w:r>
    </w:p>
    <w:p>
      <w:pPr>
        <w:spacing w:before="80" w:after="80"/>
        <w:pBdr>
          <w:bottom w:val="single" w:sz="4" w:space="1" w:color="CCCCCC"/>
        </w:pBdr>
      </w:pPr>
    </w:p>
    <w:p>
      <w:pPr>
        <w:pStyle w:val="Heading1"/>
        <w:spacing w:before="400" w:after="120"/>
      </w:pPr>
      <w:r>
        <w:rPr>
          <w:b/>
          <w:color w:val="1F497D"/>
          <w:sz w:val="28"/>
        </w:rPr>
        <w:t>Block 2 — Datenvorbereitung  (Folien 4–8 · ca. 8 Min)</w:t>
      </w:r>
    </w:p>
    <w:p/>
    <w:p>
      <w:pPr>
        <w:pStyle w:val="Heading2"/>
        <w:spacing w:before="280" w:after="80"/>
      </w:pPr>
      <w:r>
        <w:rPr>
          <w:b/>
          <w:color w:val="1F497D"/>
          <w:sz w:val="26"/>
        </w:rPr>
        <w:t>Folie 4  —  Datensatz: 86 CSV-Dateien klassifiziert</w:t>
      </w:r>
      <w:r>
        <w:rPr>
          <w:b w:val="0"/>
          <w:color w:val="555555"/>
          <w:sz w:val="20"/>
        </w:rPr>
        <w:t xml:space="preserve">  [ca. 1 Min]</w:t>
      </w:r>
    </w:p>
    <w:p>
      <w:pPr>
        <w:spacing w:before="0" w:after="120"/>
      </w:pPr>
      <w:r>
        <w:rPr>
          <w:b w:val="0"/>
          <w:i w:val="0"/>
          <w:sz w:val="22"/>
        </w:rPr>
        <w:t>Der Datensatz besteht aus 86 CSV-Dateien mit insgesamt rund 1,2 Gigabyte. Nicht jede Datei ist für unsere Fragestellung relevant — deshalb haben wir zunächst jede Datei gesichtet und einer von drei Kategorien zugewiesen.</w:t>
      </w:r>
    </w:p>
    <w:p>
      <w:pPr>
        <w:spacing w:before="0" w:after="120"/>
      </w:pPr>
      <w:r>
        <w:rPr>
          <w:b w:val="0"/>
          <w:i w:val="0"/>
          <w:sz w:val="22"/>
        </w:rPr>
        <w:t>Sieben Dateien haben wir aktiv verwendet und in die Analysetabelle eingebunden — darunter SO.csv für Stammdaten, QS.Qualitätsindikator.csv als Quelle der Ziel-Variable und FA.Personalliste.csv für die Ärztedichte. 33 weitere Dateien haben wir als potenziell relevant identifiziert, aber noch nicht eingebunden — sie wären Kandidaten für Folgeanalysen. 29 Dateien wurden bewusst ausgeschlossen: keine Analyserelevanz, DSGVO-Daten oder reine Lookup-Tabellen. 17 Dateien sind technische Schlüsseltabellen ohne eigene Analysedaten.</w:t>
      </w:r>
    </w:p>
    <w:p>
      <w:pPr>
        <w:spacing w:before="160" w:after="80"/>
      </w:pPr>
      <w:r>
        <w:rPr>
          <w:i/>
          <w:color w:val="BF5A00"/>
          <w:sz w:val="20"/>
        </w:rPr>
        <w:t>→ Übergang: Jetzt schauen wir, welche dieser 7 Dateien wir konkret verwendet haben — und was in ihnen steckt.</w:t>
      </w:r>
    </w:p>
    <w:p/>
    <w:p>
      <w:pPr>
        <w:pStyle w:val="Heading2"/>
        <w:spacing w:before="280" w:after="80"/>
      </w:pPr>
      <w:r>
        <w:rPr>
          <w:b/>
          <w:color w:val="1F497D"/>
          <w:sz w:val="26"/>
        </w:rPr>
        <w:t>Folie 5  —  Die 7 verwendeten Quelldateien</w:t>
      </w:r>
      <w:r>
        <w:rPr>
          <w:b w:val="0"/>
          <w:color w:val="555555"/>
          <w:sz w:val="20"/>
        </w:rPr>
        <w:t xml:space="preserve">  [ca. 1 Min]</w:t>
      </w:r>
    </w:p>
    <w:p>
      <w:pPr>
        <w:spacing w:before="0" w:after="120"/>
      </w:pPr>
      <w:r>
        <w:rPr>
          <w:b w:val="0"/>
          <w:i w:val="0"/>
          <w:sz w:val="22"/>
        </w:rPr>
        <w:t>Von den 86 CSV-Dateien haben wir 7 aktiv eingebunden. Die Tabelle zeigt, welche Datei welche Rolle spielt: drei Dateien liefern strukturelle Merkmale (SO.csv, QS.Fortbildung.csv, Konzern.csv), zwei liefern die Personalmerkmale (FA.Personalliste.csv und SO.Personalliste.csv), eine dient als technische Brückentabelle (FA.csv) — und QS.Qualitätsindikator.csv liefert als einzige die Ziel-Variable.</w:t>
      </w:r>
    </w:p>
    <w:p>
      <w:pPr>
        <w:spacing w:before="160" w:after="80"/>
      </w:pPr>
      <w:r>
        <w:rPr>
          <w:i/>
          <w:color w:val="BF5A00"/>
          <w:sz w:val="20"/>
        </w:rPr>
        <w:t>→ Übergang: Jetzt schauen wir, wie diese Daten inhaltlich zusammenhängen.</w:t>
      </w:r>
    </w:p>
    <w:p/>
    <w:p>
      <w:pPr>
        <w:pStyle w:val="Heading2"/>
        <w:spacing w:before="280" w:after="80"/>
      </w:pPr>
      <w:r>
        <w:rPr>
          <w:b/>
          <w:color w:val="1F497D"/>
          <w:sz w:val="26"/>
        </w:rPr>
        <w:t>Folie 6  —  Zwei Datenarten: Merkmale &amp; Ziel-Variable</w:t>
      </w:r>
      <w:r>
        <w:rPr>
          <w:b w:val="0"/>
          <w:color w:val="555555"/>
          <w:sz w:val="20"/>
        </w:rPr>
        <w:t xml:space="preserve">  [ca. 2 Min]</w:t>
      </w:r>
    </w:p>
    <w:p>
      <w:pPr>
        <w:spacing w:before="0" w:after="120"/>
      </w:pPr>
      <w:r>
        <w:rPr>
          <w:b w:val="0"/>
          <w:i w:val="0"/>
          <w:sz w:val="22"/>
        </w:rPr>
        <w:t>Das Herzstück des Projekts ist diese Unterscheidung: Auf der einen Seite stehen die Strukturdaten — das sind unsere Eingabevariablen. Sie beschreiben, wie ein Krankenhaus aufgebaut ist: Wie viele Betten hat es? Wer trägt es — privat, öffentlich oder freigemeinnützig? Ist es eine Uni-Klinik? Wie ist die Personalausstattung? Diese Daten stammen aus dem sogenannten A-Teil des Qualitätsberichts: SO.csv für Stammdaten, FA.csv für Fachabteilungen, Konzern.csv für Konzernzugehörigkeit.</w:t>
      </w:r>
    </w:p>
    <w:p>
      <w:pPr>
        <w:spacing w:before="0" w:after="120"/>
      </w:pPr>
      <w:r>
        <w:rPr>
          <w:b w:val="0"/>
          <w:i w:val="0"/>
          <w:sz w:val="22"/>
        </w:rPr>
        <w:t>Auf der anderen Seite stehen die Qualitätsdaten — das ist unsere Zielvariable. Sie beschreiben, wie gut die Versorgung ist: Für jeden der rund 150 Qualitätsindikatoren bekommt ein Haus entweder die Bewertung 'rechnerisch auffällig' oder 'nicht auffällig'. Diese Daten stecken in QS.Qualitätsindikator.csv — allein diese eine Datei ist 911 Megabyte groß.</w:t>
      </w:r>
    </w:p>
    <w:p>
      <w:pPr>
        <w:spacing w:before="0" w:after="120"/>
      </w:pPr>
      <w:r>
        <w:rPr>
          <w:b w:val="0"/>
          <w:i w:val="0"/>
          <w:sz w:val="22"/>
        </w:rPr>
        <w:t>Diese Unterscheidung wird später für unser Machine Learning wichtig: Die Strukturdaten dienen als Eingaben für das Modell, während die Qualitätsdaten das Ergebnis darstellen, das wir erklären beziehungsweise vorhersagen möchten.</w:t>
      </w:r>
    </w:p>
    <w:p>
      <w:pPr>
        <w:spacing w:before="0" w:after="120"/>
      </w:pPr>
      <w:r>
        <w:rPr>
          <w:b w:val="0"/>
          <w:i w:val="0"/>
          <w:sz w:val="22"/>
        </w:rPr>
        <w:t>Das Verbindungsstück zwischen beiden Welten ist der Schlüssel SO.QBID — er erscheint in rund 60 der 86 Dateien und macht es erst möglich, Strukturdaten und Qualitätsdaten für jedes Krankenhaus zusammenzuführen.</w:t>
      </w:r>
    </w:p>
    <w:p>
      <w:pPr>
        <w:spacing w:before="160" w:after="80"/>
      </w:pPr>
      <w:r>
        <w:rPr>
          <w:i/>
          <w:color w:val="BF5A00"/>
          <w:sz w:val="20"/>
        </w:rPr>
        <w:t>→ Übergang: Aber wie wird aus 150 Einzelbewertungen eine einzige Kennzahl pro Haus? Das zeigt die nächste Folie.</w:t>
      </w:r>
    </w:p>
    <w:p/>
    <w:p>
      <w:pPr>
        <w:pStyle w:val="Heading2"/>
        <w:spacing w:before="280" w:after="80"/>
      </w:pPr>
      <w:r>
        <w:rPr>
          <w:b/>
          <w:color w:val="1F497D"/>
          <w:sz w:val="26"/>
        </w:rPr>
        <w:t>Folie 7  —  Wie entsteht die Ziel-Variable?</w:t>
      </w:r>
      <w:r>
        <w:rPr>
          <w:b w:val="0"/>
          <w:color w:val="555555"/>
          <w:sz w:val="20"/>
        </w:rPr>
        <w:t xml:space="preserve">  [ca. 2 Min]</w:t>
      </w:r>
    </w:p>
    <w:p>
      <w:pPr>
        <w:spacing w:before="0" w:after="120"/>
      </w:pPr>
      <w:r>
        <w:rPr>
          <w:b w:val="0"/>
          <w:i w:val="0"/>
          <w:sz w:val="22"/>
        </w:rPr>
        <w:t>Die Berechnung der Ziel-Variable war technisch aufwändig — und es gab drei klassische Fallstricke, in die man leicht hineintappt.</w:t>
      </w:r>
    </w:p>
    <w:p>
      <w:pPr>
        <w:spacing w:before="0" w:after="120"/>
      </w:pPr>
      <w:r>
        <w:rPr>
          <w:b w:val="0"/>
          <w:i w:val="0"/>
          <w:sz w:val="22"/>
        </w:rPr>
        <w:t>Erstens: Nicht alle Zeilen in QS.Qualitätsindikator.csv sind echte Qualitätsindikatoren. Es gibt auch sogenannte Zählkennzahlen — EKez, TKez, KKez — die nur Fallzahlen erfassen und keine inhaltliche Bewertung darstellen. Diese müssen vor der Analyse herausgefiltert werden.</w:t>
      </w:r>
    </w:p>
    <w:p>
      <w:pPr>
        <w:spacing w:before="0" w:after="120"/>
      </w:pPr>
      <w:r>
        <w:rPr>
          <w:b w:val="0"/>
          <w:i w:val="0"/>
          <w:sz w:val="22"/>
        </w:rPr>
        <w:t>Zweitens: Der Bewertungscode N99 bedeutet 'nicht bewertet' — nicht etwa 'unauffällig'. Diese Zeilen werden ausgeschlossen, weil ein fehlendes Urteil kein positives Urteil ist.</w:t>
      </w:r>
    </w:p>
    <w:p>
      <w:pPr>
        <w:spacing w:before="0" w:after="120"/>
      </w:pPr>
      <w:r>
        <w:rPr>
          <w:b w:val="0"/>
          <w:i w:val="0"/>
          <w:sz w:val="22"/>
        </w:rPr>
        <w:t>Drittens: Ohne Deduplizierung wird jeder Indikator mehrfach gezählt, weil manche Häuser mehrere Einträge pro Indikator haben. Die Lösung: Je Krankenhaus und Indikator exakt eine Zeile behalten.</w:t>
      </w:r>
    </w:p>
    <w:p>
      <w:pPr>
        <w:spacing w:before="0" w:after="120"/>
      </w:pPr>
      <w:r>
        <w:rPr>
          <w:b w:val="0"/>
          <w:i w:val="0"/>
          <w:sz w:val="22"/>
        </w:rPr>
        <w:t>Nach diesen Schritten gilt: R* bedeutet rechnerisch auffällig, N* bedeutet nicht auffällig. Wir berechnen dann pro Haus die auffaellig_quote — also den Anteil auffälliger Indikatoren. Der Median dieser Quote liegt bei 76,92 Prozent. Alles oberhalb dieses Medians gilt als 'viele Probleme', alles darunter als 'wenige Probleme'. Damit werden die Krankenhäuser in zwei ungefähr gleich große Gruppen aufgeteilt — eine mit niedrigeren und eine mit höheren Anteilen auffälliger Qualitätsindikatoren.</w:t>
      </w:r>
    </w:p>
    <w:p>
      <w:pPr>
        <w:spacing w:before="160" w:after="80"/>
      </w:pPr>
      <w:r>
        <w:rPr>
          <w:i/>
          <w:color w:val="BF5A00"/>
          <w:sz w:val="20"/>
        </w:rPr>
        <w:t>→ Übergang: Jetzt wissen wir, was wir erklären wollen. Aber was sind die erklärenden Merkmale?</w:t>
      </w:r>
    </w:p>
    <w:p/>
    <w:p>
      <w:pPr>
        <w:pStyle w:val="Heading2"/>
        <w:spacing w:before="280" w:after="80"/>
      </w:pPr>
      <w:r>
        <w:rPr>
          <w:b/>
          <w:color w:val="1F497D"/>
          <w:sz w:val="26"/>
        </w:rPr>
        <w:t>Folie 8  —  Die 8 Merkmale der Analysetabelle</w:t>
      </w:r>
      <w:r>
        <w:rPr>
          <w:b w:val="0"/>
          <w:color w:val="555555"/>
          <w:sz w:val="20"/>
        </w:rPr>
        <w:t xml:space="preserve">  [ca. 2 Min]</w:t>
      </w:r>
    </w:p>
    <w:p>
      <w:pPr>
        <w:spacing w:before="0" w:after="120"/>
      </w:pPr>
      <w:r>
        <w:rPr>
          <w:b w:val="0"/>
          <w:i w:val="0"/>
          <w:sz w:val="22"/>
        </w:rPr>
        <w:t>Wir haben aus den 86 Quelldateien acht Merkmale ausgewählt, die wir für besonders aussagekräftig halten. Vier davon sind direkt strukturell: Bettenzahl als Maß für die Größe des Hauses, Trägerschaft in drei Kategorien — privat, freigemeinnützig, öffentlich — Bundesland als regionale Komponente, und der Uni-Status als Indikator für akademische Kliniken.</w:t>
      </w:r>
    </w:p>
    <w:p>
      <w:pPr>
        <w:spacing w:before="0" w:after="120"/>
      </w:pPr>
      <w:r>
        <w:rPr>
          <w:b w:val="0"/>
          <w:i w:val="0"/>
          <w:sz w:val="22"/>
        </w:rPr>
        <w:t>Dazu kommen vier personalbasierte und organisatorische Merkmale: Ärzte pro Bett und Pflegekräfte pro Bett als Maße für die Personalintensität, Fortbildungsquote als Qualitätsmerkmal der Weiterbildung, und Konzernzugehörigkeit als Hinweis auf die Einbettung in größere Strukturen.</w:t>
      </w:r>
    </w:p>
    <w:p>
      <w:pPr>
        <w:spacing w:before="0" w:after="120"/>
      </w:pPr>
      <w:r>
        <w:rPr>
          <w:b w:val="0"/>
          <w:i w:val="0"/>
          <w:sz w:val="22"/>
        </w:rPr>
        <w:t>Technisch besonders anspruchsvoll war die Berechnung von Ärzte pro Bett: Die Personaldaten lagen in zwei verschiedenen Tabellen — FA.Personalliste.csv enthält die einzelnen Mitarbeiter mit Stellenanteil, kennt aber nur die Fachabteilungs-ID, nicht das Krankenhaus. FA.csv verbindet Fachabteilung und Krankenhaus. Deshalb waren zwei Left Joins nötig: erst Personalliste an FA.csv, dann das Ergebnis an SO.csv — Left Joins, weil sonst Tageskliniken ohne Bettenzahl still aus der Analyse gefallen wären. Dazu kam ein zweites Problem: Die Stellenanteile waren als Text mit Komma gespeichert, zum Beispiel '1,75' statt '1.75'. pandas interpretiert das als Zeichenkette, nicht als Zahl — die Summierung liefert dann lautlos nur NaN-Werte statt echter Zahlen, ohne jede Fehlermeldung. Erst nach str.replace(',', '.') und pd.to_numeric() stimmten die Ergebnisse.</w:t>
      </w:r>
    </w:p>
    <w:p>
      <w:pPr>
        <w:spacing w:before="0" w:after="120"/>
      </w:pPr>
      <w:r>
        <w:rPr>
          <w:b w:val="0"/>
          <w:i w:val="0"/>
          <w:sz w:val="22"/>
        </w:rPr>
        <w:t>Das Ergebnis all dieser Arbeit ist eine einzige Datei: analysetabelle.csv — 1.824 Zeilen, 18 Spalten, eine Zeile pro Krankenhaus. Von dieser Tabelle aus läuft alles andere: die Analyse, das Dashboard, das Machine-Learning-Modell.</w:t>
      </w:r>
    </w:p>
    <w:p>
      <w:pPr>
        <w:spacing w:before="160" w:after="80"/>
      </w:pPr>
      <w:r>
        <w:rPr>
          <w:i/>
          <w:color w:val="BF5A00"/>
          <w:sz w:val="20"/>
        </w:rPr>
        <w:t>→ Übergang: Mit dieser Grundlage können wir jetzt schauen, was die Daten uns tatsächlich sagen.</w:t>
      </w:r>
    </w:p>
    <w:p>
      <w:pPr>
        <w:spacing w:before="80" w:after="80"/>
        <w:pBdr>
          <w:bottom w:val="single" w:sz="4" w:space="1" w:color="CCCCCC"/>
        </w:pBdr>
      </w:pPr>
    </w:p>
    <w:p>
      <w:pPr>
        <w:pStyle w:val="Heading1"/>
        <w:spacing w:before="400" w:after="120"/>
      </w:pPr>
      <w:r>
        <w:rPr>
          <w:b/>
          <w:color w:val="1F497D"/>
          <w:sz w:val="28"/>
        </w:rPr>
        <w:t>Block 3 — Ergebnisse der Analyse  (Folien 9–13 · ca. 10 Min)</w:t>
      </w:r>
    </w:p>
    <w:p/>
    <w:p>
      <w:pPr>
        <w:pStyle w:val="Heading2"/>
        <w:spacing w:before="280" w:after="80"/>
      </w:pPr>
      <w:r>
        <w:rPr>
          <w:b/>
          <w:color w:val="1F497D"/>
          <w:sz w:val="26"/>
        </w:rPr>
        <w:t>Folie 9  —  Befund 1: Verteilung der Auffälligkeitsquote</w:t>
      </w:r>
      <w:r>
        <w:rPr>
          <w:b w:val="0"/>
          <w:color w:val="555555"/>
          <w:sz w:val="20"/>
        </w:rPr>
        <w:t xml:space="preserve">  [ca. 2 Min]</w:t>
      </w:r>
    </w:p>
    <w:p>
      <w:pPr>
        <w:spacing w:before="0" w:after="120"/>
      </w:pPr>
      <w:r>
        <w:rPr>
          <w:b w:val="0"/>
          <w:i w:val="0"/>
          <w:sz w:val="22"/>
        </w:rPr>
        <w:t>Bevor wir einzelne Merkmale vergleichen, lohnt sich ein Blick auf die Ziel-Variable selbst: Wie ist die Auffälligkeitsquote über alle 1.824 Häuser verteilt?</w:t>
      </w:r>
    </w:p>
    <w:p>
      <w:pPr>
        <w:spacing w:before="0" w:after="120"/>
      </w:pPr>
      <w:r>
        <w:rPr>
          <w:b w:val="0"/>
          <w:i w:val="0"/>
          <w:sz w:val="22"/>
        </w:rPr>
        <w:t>Das Histogramm zeigt: Die meisten Häuser häufen sich im rechten Bereich — also bei hohen Auffälligkeitsquoten zwischen 60 und 90 Prozent. Es gibt kaum Häuser mit sehr niedrigen Werten, dafür eine längere Ausläufer der Verteilung nach links. Der Median liegt bei 76,92 Prozent — das klingt auf den ersten Blick erschreckend hoch, ist aber erklärbar: Die Qualitätsindikatoren des IQTIG sind bewusst anspruchsvoll gesetzt, um Verbesserungspotenziale sichtbar zu machen. Wichtig für die Analyse: Es gibt kein extremes Ungleichgewicht — rund 925 Häuser liegen unterhalb des Medians, rund 899 darüber. Das ist eine gute Ausgangslage für Gruppenvergleiche.</w:t>
      </w:r>
    </w:p>
    <w:p>
      <w:pPr>
        <w:spacing w:before="160" w:after="80"/>
      </w:pPr>
      <w:r>
        <w:rPr>
          <w:i/>
          <w:color w:val="BF5A00"/>
          <w:sz w:val="20"/>
        </w:rPr>
        <w:t>→ Übergang: Schauen wir uns jetzt an, ob die Trägerschaft eines Hauses mit seiner Auffälligkeitsquote zusammenhängt.</w:t>
      </w:r>
    </w:p>
    <w:p/>
    <w:p>
      <w:pPr>
        <w:pStyle w:val="Heading2"/>
        <w:spacing w:before="280" w:after="80"/>
      </w:pPr>
      <w:r>
        <w:rPr>
          <w:b/>
          <w:color w:val="1F497D"/>
          <w:sz w:val="26"/>
        </w:rPr>
        <w:t>Folie 10  —  Befund 2: Trägerschaft</w:t>
      </w:r>
      <w:r>
        <w:rPr>
          <w:b w:val="0"/>
          <w:color w:val="555555"/>
          <w:sz w:val="20"/>
        </w:rPr>
        <w:t xml:space="preserve">  [ca. 2 Min]</w:t>
      </w:r>
    </w:p>
    <w:p>
      <w:pPr>
        <w:spacing w:before="0" w:after="120"/>
      </w:pPr>
      <w:r>
        <w:rPr>
          <w:b w:val="0"/>
          <w:i w:val="0"/>
          <w:sz w:val="22"/>
        </w:rPr>
        <w:t>Das ist unser klarster inhaltlicher Befund: Private Krankenhäuser haben mit 56,5 Prozent deutlich häufiger viele Qualitätsprobleme als freigemeinnützige mit 46,4 Prozent oder öffentliche mit 46,7 Prozent.</w:t>
      </w:r>
    </w:p>
    <w:p>
      <w:pPr>
        <w:spacing w:before="0" w:after="120"/>
      </w:pPr>
      <w:r>
        <w:rPr>
          <w:b w:val="0"/>
          <w:i w:val="0"/>
          <w:sz w:val="22"/>
        </w:rPr>
        <w:t>Um zu prüfen, ob dieser Unterschied statistisch belastbar ist oder nur zufällig, haben wir eine ANOVA durchgeführt — eine Varianzanalyse. Die ANOVA beantwortet genau diese Frage: Sind die Unterschiede zwischen drei oder mehr Gruppen groß genug, um nicht durch puren Zufall erklärbar zu sein? Das Ergebnis ist ein p-Wert — der gibt an, wie wahrscheinlich es wäre, diesen Unterschied zu sehen, wenn in Wirklichkeit gar kein Unterschied existiert. Unser p-Wert liegt unter 0,001 — das bedeutet: die Wahrscheinlichkeit, dass dieser Unterschied reiner Zufall ist, liegt unter 0,1 Prozent. Das nennt man statistisch hochsignifikant.</w:t>
      </w:r>
    </w:p>
    <w:p>
      <w:pPr>
        <w:spacing w:before="0" w:after="120"/>
      </w:pPr>
      <w:r>
        <w:rPr>
          <w:b w:val="0"/>
          <w:i w:val="0"/>
          <w:sz w:val="22"/>
        </w:rPr>
        <w:t>Aber hier ist Vorsicht geboten: Private Häuser sind im Median deutlich kleiner — rund 90 Betten gegenüber etwa 260 Betten bei öffentlichen Häusern. Kleinere Häuser behandeln weniger Fälle pro Indikator, das macht die Ergebnisse schwankungsanfälliger — ein Haus mit 10 Fällen kann leichter 100 Prozent Auffälligkeit erreichen als ein Haus mit 500 Fällen. Das bedeutet: Was wir als Trägerschaftseffekt sehen, könnte in Wirklichkeit ein Größeneffekt sein. Korrelation ist nicht Kausalität — das gilt auch hier.</w:t>
      </w:r>
    </w:p>
    <w:p>
      <w:pPr>
        <w:spacing w:before="160" w:after="80"/>
      </w:pPr>
      <w:r>
        <w:rPr>
          <w:i/>
          <w:color w:val="BF5A00"/>
          <w:sz w:val="20"/>
        </w:rPr>
        <w:t>→ Übergang: Das führt uns direkt zur nächsten Frage: Welches Merkmal hängt am stärksten mit Qualitätsproblemen zusammen?</w:t>
      </w:r>
    </w:p>
    <w:p/>
    <w:p>
      <w:pPr>
        <w:pStyle w:val="Heading2"/>
        <w:spacing w:before="280" w:after="80"/>
      </w:pPr>
      <w:r>
        <w:rPr>
          <w:b/>
          <w:color w:val="1F497D"/>
          <w:sz w:val="26"/>
        </w:rPr>
        <w:t>Folie 11  —  Befund 3: Personal ist der stärkste Prädiktor</w:t>
      </w:r>
      <w:r>
        <w:rPr>
          <w:b w:val="0"/>
          <w:color w:val="555555"/>
          <w:sz w:val="20"/>
        </w:rPr>
        <w:t xml:space="preserve">  [ca. 2 Min]</w:t>
      </w:r>
    </w:p>
    <w:p>
      <w:pPr>
        <w:spacing w:before="0" w:after="120"/>
      </w:pPr>
      <w:r>
        <w:rPr>
          <w:b w:val="0"/>
          <w:i w:val="0"/>
          <w:sz w:val="22"/>
        </w:rPr>
        <w:t>Mehr Personal pro Bett geht mit weniger Qualitätsproblemen einher — das ist der stärkste und robusteste Befund in diesem Projekt. Häuser mit wenigen Problemen haben im Median 0,468 Ärzte pro Bett, Häuser mit vielen Problemen nur 0,390 — ein Unterschied von rund 17 Prozent.</w:t>
      </w:r>
    </w:p>
    <w:p>
      <w:pPr>
        <w:spacing w:before="0" w:after="120"/>
      </w:pPr>
      <w:r>
        <w:rPr>
          <w:b w:val="0"/>
          <w:i w:val="0"/>
          <w:sz w:val="22"/>
        </w:rPr>
        <w:t>Wir haben das mit einem T-Test überprüft. Der T-Test vergleicht zwei Gruppen — hier: Häuser mit wenigen vs. vielen Problemen — und testet, ob der Unterschied im Mittelwert groß genug ist, um nicht durch Zufall erklärbar zu sein. Der t-Wert von 6,002 beschreibt dabei, wie viele Standardabweichungen der Gruppenunterschied vom Zufall entfernt ist — je größer, desto klarer das Signal. Der p-Wert liegt auch hier unter 0,001: statistisch hochsignifikant. Das gleiche Muster zeigt sich bei den Pflegekräften pro Bett mit ähnlicher Stärke.</w:t>
      </w:r>
    </w:p>
    <w:p>
      <w:pPr>
        <w:spacing w:before="0" w:after="120"/>
      </w:pPr>
      <w:r>
        <w:rPr>
          <w:b w:val="0"/>
          <w:i w:val="0"/>
          <w:sz w:val="22"/>
        </w:rPr>
        <w:t>Umso überraschender ist ein anderer Befund: Die Fortbildungsquote — also der Anteil der Mitarbeiter, die an qualitätssichernden Fortbildungen teilgenommen haben — zeigt praktisch keinen Zusammenhang mit der Auffälligkeitsquote. Die Korrelation liegt bei etwa 0,01 — das ist so nah an null, dass man von keinem messbaren Zusammenhang sprechen kann. Das ist kein Messfehler, das ist ein Ergebnis. Manche Erwartungen bestätigen sich, manche nicht — beides gehört zu den Ergebnissen unserer Analyse.</w:t>
      </w:r>
    </w:p>
    <w:p>
      <w:pPr>
        <w:spacing w:before="160" w:after="80"/>
      </w:pPr>
      <w:r>
        <w:rPr>
          <w:i/>
          <w:color w:val="BF5A00"/>
          <w:sz w:val="20"/>
        </w:rPr>
        <w:t>→ Übergang: Neben Trägerschaft und Personal haben wir auch regionale Unterschiede und den Uni-Status untersucht.</w:t>
      </w:r>
    </w:p>
    <w:p/>
    <w:p>
      <w:pPr>
        <w:pStyle w:val="Heading2"/>
        <w:spacing w:before="280" w:after="80"/>
      </w:pPr>
      <w:r>
        <w:rPr>
          <w:b/>
          <w:color w:val="1F497D"/>
          <w:sz w:val="26"/>
        </w:rPr>
        <w:t>Folie 12  —  Befund 4: Bundesland &amp; Uni-Status</w:t>
      </w:r>
      <w:r>
        <w:rPr>
          <w:b w:val="0"/>
          <w:color w:val="555555"/>
          <w:sz w:val="20"/>
        </w:rPr>
        <w:t xml:space="preserve">  [ca. 2 Min]</w:t>
      </w:r>
    </w:p>
    <w:p>
      <w:pPr>
        <w:spacing w:before="0" w:after="120"/>
      </w:pPr>
      <w:r>
        <w:rPr>
          <w:b w:val="0"/>
          <w:i w:val="0"/>
          <w:sz w:val="22"/>
        </w:rPr>
        <w:t>Wir haben zwei weitere Merkmale untersucht: Bundesland und Uni-Status — beides Merkmale, bei denen wir eigentlich einen Zusammenhang erwartet hätten.</w:t>
      </w:r>
    </w:p>
    <w:p>
      <w:pPr>
        <w:spacing w:before="0" w:after="120"/>
      </w:pPr>
      <w:r>
        <w:rPr>
          <w:b w:val="0"/>
          <w:i w:val="0"/>
          <w:sz w:val="22"/>
        </w:rPr>
        <w:t>Beim Bundesland sehen wir auf der Grafik große Unterschiede: Im Saarland haben 63 Prozent der dortigen Krankenhäuser viele Qualitätsprobleme, in Berlin nur 33 Prozent. Aber: Im Saarland haben wir nur 19 Häuser. Wenn dort eines mehr auffällig ist, verschiebt sich der Balken um 5 Prozentpunkte. Das heißt: Ein einzelnes Krankenhaus mehr oder weniger in der roten Gruppe reicht aus, um den Prozentwert des gesamten Bundeslandes um 5 Punkte zu verändern. Das ist kein belastbares Ergebnis — das ist Zufall durch kleine Stichprobe.</w:t>
      </w:r>
    </w:p>
    <w:p>
      <w:pPr>
        <w:spacing w:before="0" w:after="120"/>
      </w:pPr>
      <w:r>
        <w:rPr>
          <w:b w:val="0"/>
          <w:i w:val="0"/>
          <w:sz w:val="22"/>
        </w:rPr>
        <w:t>Beim Uni-Status haben wir erwartet, dass Unikliniken besser abschneiden — mehr Forschung, mehr Fachärzte. Tatsächlich: 47 Prozent Unikliniken auffällig, 49 Prozent normale Häuser. Praktisch identisch. Der Grund: Unikliniken behandeln die schwersten Fälle. Die Grenzwerte der Qualitätsindikatoren wurden aber anhand typischer Standardeingriffe festgelegt — also für einen durchschnittlichen Patienten. Wer ausschließlich Hochrisikopatienten behandelt, überschreitet diese Grenzwerte öfter, nicht weil die Qualität schlechter ist, sondern weil die Ausgangslage schwieriger ist.</w:t>
      </w:r>
    </w:p>
    <w:p>
      <w:pPr>
        <w:spacing w:before="0" w:after="120"/>
      </w:pPr>
      <w:r>
        <w:rPr>
          <w:b w:val="0"/>
          <w:i w:val="0"/>
          <w:sz w:val="22"/>
        </w:rPr>
        <w:t>Für Konzernhäuser haben wir den Chi-Quadrat-Test genutzt. Der prüft bei zwei Ja/Nein-Gruppen — hier: Konzern ja/nein und viele Probleme ja/nein — ob die Verteilung zwischen den Gruppen vom Zufall abweicht. Das Ergebnis: p = 0,90. Zur Erinnerung: p-Wert nahe 0 heißt, der Unterschied ist kein Zufall. p-Wert nahe 1 heißt das Gegenteil — die Verteilung zwischen Konzernhäusern und unabhängigen Häusern ist so ähnlich, dass sie genauso gut zufällig entstanden sein könnte. Kein Zusammenhang.</w:t>
      </w:r>
    </w:p>
    <w:p>
      <w:pPr>
        <w:spacing w:before="160" w:after="80"/>
      </w:pPr>
      <w:r>
        <w:rPr>
          <w:i/>
          <w:color w:val="BF5A00"/>
          <w:sz w:val="20"/>
        </w:rPr>
        <w:t>→ Übergang: Diese einzelnen Befunde zusammenzufassen ist die Aufgabe der nächsten Folie.</w:t>
      </w:r>
    </w:p>
    <w:p/>
    <w:p>
      <w:pPr>
        <w:pStyle w:val="Heading2"/>
        <w:spacing w:before="280" w:after="80"/>
      </w:pPr>
      <w:r>
        <w:rPr>
          <w:b/>
          <w:color w:val="1F497D"/>
          <w:sz w:val="26"/>
        </w:rPr>
        <w:t>Folie 13  —  Gesamtübersicht: Korrelationsmatrix</w:t>
      </w:r>
      <w:r>
        <w:rPr>
          <w:b w:val="0"/>
          <w:color w:val="555555"/>
          <w:sz w:val="20"/>
        </w:rPr>
        <w:t xml:space="preserve">  [ca. 2 Min]</w:t>
      </w:r>
    </w:p>
    <w:p>
      <w:pPr>
        <w:spacing w:before="0" w:after="120"/>
      </w:pPr>
      <w:r>
        <w:rPr>
          <w:b w:val="0"/>
          <w:i w:val="0"/>
          <w:sz w:val="22"/>
        </w:rPr>
        <w:t>Die Korrelationsmatrix fasst alle Zusammenhänge auf einmal zusammen — als Heatmap. Jede Zahl darin ist ein r, ein sogenannter Korrelationskoeffizient. r misst, wie stark zwei Merkmale zusammenhängen, auf einer Skala von −1 bis +1. r = 0 bedeutet kein Zusammenhang. r = 1 bedeutet: steigt das eine, steigt auch das andere. r = −1 bedeutet: steigt das eine, sinkt das andere. Alles zwischen −0,3 und +0,3 gilt in der Praxis als schwacher Zusammenhang.</w:t>
      </w:r>
    </w:p>
    <w:p>
      <w:pPr>
        <w:spacing w:before="0" w:after="120"/>
      </w:pPr>
      <w:r>
        <w:rPr>
          <w:b w:val="0"/>
          <w:i w:val="0"/>
          <w:sz w:val="22"/>
        </w:rPr>
        <w:t>Das wichtigste Ergebnis: Alle unsere r-Werte liegen in diesem schwachen Bereich. Den rechnerisch stärksten Zusammenhang zeigt die Anzahl der bewerteten Indikatoren — r = −0,28. Das ist aber kein inhaltlicher Befund, sondern ein methodisches Artefakt: Größere Häuser haben mehr Indikatoren und performen im Durchschnitt stabiler.</w:t>
      </w:r>
    </w:p>
    <w:p>
      <w:pPr>
        <w:spacing w:before="0" w:after="120"/>
      </w:pPr>
      <w:r>
        <w:rPr>
          <w:b w:val="0"/>
          <w:i w:val="0"/>
          <w:sz w:val="22"/>
        </w:rPr>
        <w:t>Von den inhaltlich interessanten Merkmalen haben Ärzte pro Bett und Pflegekräfte pro Bett je r = −0,14 — schwach, aber der stärkste inhaltliche Zusammenhang. Das Minuszeichen sagt dabei: mehr Personal pro Bett geht mit weniger Problemen einher. Bettenzahl: r = −0,08. Fortbildungsquote: r ≈ 0,01. Konzern: r ≈ 0,00 — praktisch null, kein messbarer Zusammenhang.</w:t>
      </w:r>
    </w:p>
    <w:p>
      <w:pPr>
        <w:spacing w:before="0" w:after="120"/>
      </w:pPr>
      <w:r>
        <w:rPr>
          <w:b w:val="0"/>
          <w:i w:val="0"/>
          <w:sz w:val="22"/>
        </w:rPr>
        <w:t>Das ist das zentrale Ergebnis dieses Projekts: Die verfügbaren Strukturmerkmale erklären die Qualitätsunterschiede zwischen Krankenhäusern nur sehr begrenzt. Andere Faktoren — Patientenstruktur, Dokumentationsverhalten, regionale Besonderheiten — spielen wahrscheinlich eine viel größere Rolle. Das macht dieses Ergebnis nicht wertlos — es zeigt klar, wo die Grenzen strukturbasierter Erklärungsansätze liegen.</w:t>
      </w:r>
    </w:p>
    <w:p>
      <w:pPr>
        <w:spacing w:before="160" w:after="80"/>
      </w:pPr>
      <w:r>
        <w:rPr>
          <w:i/>
          <w:color w:val="BF5A00"/>
          <w:sz w:val="20"/>
        </w:rPr>
        <w:t>→ Übergang: Wir haben die Erkenntnisse aus dieser Analyse genutzt, um ein Machine-Learning-Modell zu trainieren.</w:t>
      </w:r>
    </w:p>
    <w:p>
      <w:pPr>
        <w:spacing w:before="80" w:after="80"/>
        <w:pBdr>
          <w:bottom w:val="single" w:sz="4" w:space="1" w:color="CCCCCC"/>
        </w:pBdr>
      </w:pPr>
    </w:p>
    <w:p>
      <w:pPr>
        <w:pStyle w:val="Heading1"/>
        <w:spacing w:before="400" w:after="120"/>
      </w:pPr>
      <w:r>
        <w:rPr>
          <w:b/>
          <w:color w:val="1F497D"/>
          <w:sz w:val="28"/>
        </w:rPr>
        <w:t>Block 4 — Machine Learning &amp; Dashboard  (Folien 14–15 · ca. 6 Min)</w:t>
      </w:r>
    </w:p>
    <w:p/>
    <w:p>
      <w:pPr>
        <w:pStyle w:val="Heading2"/>
        <w:spacing w:before="280" w:after="80"/>
      </w:pPr>
      <w:r>
        <w:rPr>
          <w:b/>
          <w:color w:val="1F497D"/>
          <w:sz w:val="26"/>
        </w:rPr>
        <w:t>Folie 14  —  Decision Tree: Modell &amp; Ergebnis</w:t>
      </w:r>
      <w:r>
        <w:rPr>
          <w:b w:val="0"/>
          <w:color w:val="555555"/>
          <w:sz w:val="20"/>
        </w:rPr>
        <w:t xml:space="preserve">  [ca. 3 Min]</w:t>
      </w:r>
    </w:p>
    <w:p>
      <w:pPr>
        <w:spacing w:before="0" w:after="120"/>
      </w:pPr>
      <w:r>
        <w:rPr>
          <w:b w:val="0"/>
          <w:i w:val="0"/>
          <w:sz w:val="22"/>
        </w:rPr>
        <w:t>Als nächsten Schritt haben wir einen Entscheidungsbaum trainiert. Wir haben uns bewusst für ein einfaches Modell entschieden, das man Schritt für Schritt nachvollziehen kann — kein Black-Box-Algorithmus, sondern ein klarer Entscheidungspfad. Die maximale Tiefe ist auf drei Ebenen begrenzt: Das Modell stellt höchstens drei Fragen hintereinander, bevor es zu einer Einschätzung kommt.</w:t>
      </w:r>
    </w:p>
    <w:p>
      <w:pPr>
        <w:spacing w:before="0" w:after="120"/>
      </w:pPr>
      <w:r>
        <w:rPr>
          <w:b w:val="0"/>
          <w:i w:val="0"/>
          <w:sz w:val="22"/>
        </w:rPr>
        <w:t>Die erste und wichtigste Frage lautet: Hat das Haus weniger als 0,271 Ärzte pro Bett? Dieser Schwellenwert wurde vom Modell automatisch ermittelt und bestätigt, was wir in der deskriptiven Analyse gesehen haben: Ärzte pro Bett ist der stärkste Prädiktor. Er trägt 53,6 Prozent zur Vorhersagequalität bei. Pflegekräfte pro Bett kommen auf 23,8 Prozent, Bettenzahl auf 22,6 Prozent.</w:t>
      </w:r>
    </w:p>
    <w:p>
      <w:pPr>
        <w:spacing w:before="0" w:after="120"/>
      </w:pPr>
      <w:r>
        <w:rPr>
          <w:b w:val="0"/>
          <w:i w:val="0"/>
          <w:sz w:val="22"/>
        </w:rPr>
        <w:t>Die Accuracy liegt bei 63,6 Prozent — das Modell trifft in knapp zwei von drei Fällen die richtige Einschätzung. Zum Vergleich: Reines Raten würde 50,7 Prozent erreichen. Das Modell ist also besser als Zufall, aber kein starkes Modell. Das passt zum R²-Wert von 0,033: Die Strukturmerkmale erklären nur 3,3 Prozent der Unterschiede zwischen den Häusern. Das Modell zeigt, was mit diesen Daten möglich ist — und macht damit die Grenze der verfügbaren Information sichtbar.</w:t>
      </w:r>
    </w:p>
    <w:p>
      <w:pPr>
        <w:spacing w:before="160" w:after="80"/>
      </w:pPr>
      <w:r>
        <w:rPr>
          <w:i/>
          <w:color w:val="BF5A00"/>
          <w:sz w:val="20"/>
        </w:rPr>
        <w:t>→ Übergang: Alle diese Ergebnisse haben wir in einem interaktiven Dashboard zusammengeführt, das wir jetzt kurz live zeigen.</w:t>
      </w:r>
    </w:p>
    <w:p/>
    <w:p>
      <w:pPr>
        <w:pStyle w:val="Heading2"/>
        <w:spacing w:before="280" w:after="80"/>
      </w:pPr>
      <w:r>
        <w:rPr>
          <w:b/>
          <w:color w:val="1F497D"/>
          <w:sz w:val="26"/>
        </w:rPr>
        <w:t>Folie 15  —  Streamlit-Dashboard — Live-Demo</w:t>
      </w:r>
      <w:r>
        <w:rPr>
          <w:b w:val="0"/>
          <w:color w:val="555555"/>
          <w:sz w:val="20"/>
        </w:rPr>
        <w:t xml:space="preserve">  [ca. 3 Min]</w:t>
      </w:r>
    </w:p>
    <w:p>
      <w:pPr>
        <w:spacing w:before="0" w:after="120"/>
      </w:pPr>
      <w:r>
        <w:rPr>
          <w:b w:val="0"/>
          <w:i w:val="0"/>
          <w:sz w:val="22"/>
        </w:rPr>
        <w:t>Das Dashboard ist in Python gebaut — mit Streamlit als Web-Framework und Plotly für die interaktiven Grafiken. Die Datenbasis ist analysetabelle.csv, das Modell ist das trainierte scikit-learn-Entscheidungsbaum-Objekt. Für die Präsentation läuft das Dashboard über Streamlit Community Cloud: Der Code liegt auf GitHub, Streamlit liest das Repository automatisch ein und stellt die App als öffentliche URL bereit — kein lokales Setup nötig, nur ein Browser und der Link.</w:t>
      </w:r>
    </w:p>
    <w:p>
      <w:pPr>
        <w:spacing w:before="0" w:after="120"/>
      </w:pPr>
      <w:r>
        <w:rPr>
          <w:b w:val="0"/>
          <w:i w:val="0"/>
          <w:sz w:val="22"/>
        </w:rPr>
        <w:t>Das Dashboard hat vier Seiten. Auf der ersten Seite — Gesamtüberblick — sieht man die wichtigsten Kennzahlen auf einen Blick: Wie viele Häuser gibt es, wie viele davon haben viele Probleme, wie hoch ist die durchschnittliche Auffälligkeitsquote. Dazu gibt es eine interaktive Deutschlandkarte, auf der jedes Haus als farbiger Punkt erscheint — grün für wenige Probleme, rot für viele. Filter für Bundesland, Träger und Kliniktyp erlauben gezielte Auswertungen.</w:t>
      </w:r>
    </w:p>
    <w:p>
      <w:pPr>
        <w:spacing w:before="0" w:after="120"/>
      </w:pPr>
      <w:r>
        <w:rPr>
          <w:b w:val="0"/>
          <w:i w:val="0"/>
          <w:sz w:val="22"/>
        </w:rPr>
        <w:t>Die zweite Seite — Einflussfaktoren — ist die wichtigste für unsere Projektfrage. Hier sieht man direkt, ob sich Gruppen unterscheiden: Trägerschaftsvergleich, Boxplots für Personal pro Bett, Streudiagramme. Die dritte Seite ermöglicht es, ähnliche Häuser zu finden und einen Einzelhaus-Steckbrief anzuzeigen — ideal für konkrete Vergleiche. Die vierte Seite ist der Risiko-Rechner: Wir geben Merkmale ein, und das Modell gibt eine Einschätzung aus — inklusive der Entscheidungsbaum-Visualisierung, die zeigt, wie die Entscheidung zustande gekommen ist.</w:t>
      </w:r>
    </w:p>
    <w:p>
      <w:pPr>
        <w:spacing w:before="0" w:after="120"/>
      </w:pPr>
      <w:r>
        <w:rPr>
          <w:b w:val="0"/>
          <w:i/>
          <w:color w:val="BF5A00"/>
          <w:sz w:val="20"/>
        </w:rPr>
        <w:t>[Live-Demo des Dashboards — ca. 3 Minuten]</w:t>
      </w:r>
    </w:p>
    <w:p>
      <w:pPr>
        <w:spacing w:before="160" w:after="80"/>
      </w:pPr>
      <w:r>
        <w:rPr>
          <w:i/>
          <w:color w:val="BF5A00"/>
          <w:sz w:val="20"/>
        </w:rPr>
        <w:t>→ Übergang: Jetzt ziehen wir ein Gesamtbild: Was haben wir gelernt?</w:t>
      </w:r>
    </w:p>
    <w:p>
      <w:pPr>
        <w:spacing w:before="80" w:after="80"/>
        <w:pBdr>
          <w:bottom w:val="single" w:sz="4" w:space="1" w:color="CCCCCC"/>
        </w:pBdr>
      </w:pPr>
    </w:p>
    <w:p>
      <w:pPr>
        <w:pStyle w:val="Heading1"/>
        <w:spacing w:before="400" w:after="120"/>
      </w:pPr>
      <w:r>
        <w:rPr>
          <w:b/>
          <w:color w:val="1F497D"/>
          <w:sz w:val="28"/>
        </w:rPr>
        <w:t>Block 5 — Fazit &amp; Grenzen  (Folien 16–17 · ca. 4 Min)</w:t>
      </w:r>
    </w:p>
    <w:p/>
    <w:p>
      <w:pPr>
        <w:pStyle w:val="Heading2"/>
        <w:spacing w:before="280" w:after="80"/>
      </w:pPr>
      <w:r>
        <w:rPr>
          <w:b/>
          <w:color w:val="1F497D"/>
          <w:sz w:val="26"/>
        </w:rPr>
        <w:t>Folie 16  —  Gesamteinschätzung</w:t>
      </w:r>
      <w:r>
        <w:rPr>
          <w:b w:val="0"/>
          <w:color w:val="555555"/>
          <w:sz w:val="20"/>
        </w:rPr>
        <w:t xml:space="preserve">  [ca. 2 Min]</w:t>
      </w:r>
    </w:p>
    <w:p>
      <w:pPr>
        <w:spacing w:before="0" w:after="120"/>
      </w:pPr>
      <w:r>
        <w:rPr>
          <w:b w:val="0"/>
          <w:i w:val="0"/>
          <w:sz w:val="22"/>
        </w:rPr>
        <w:t>Die Ampel-Tabelle fasst zusammen, was wir gefunden haben — und was nicht. Grün, also schwacher aber nachweisbarer Zusammenhang: Personal pro Bett. Sowohl Ärzte als auch Pflegekräfte zeigen einen statistisch signifikanten, wenn auch schwachen negativen Zusammenhang mit Qualitätsproblemen. Das ist inhaltlich plausibel und methodisch belastbar.</w:t>
      </w:r>
    </w:p>
    <w:p>
      <w:pPr>
        <w:spacing w:before="0" w:after="120"/>
      </w:pPr>
      <w:r>
        <w:rPr>
          <w:b w:val="0"/>
          <w:i w:val="0"/>
          <w:sz w:val="22"/>
        </w:rPr>
        <w:t>Gelb, also sichtbar aber mit Einschränkungen: Trägerschaft, Bundesland und Bettenzahl. Diese Merkmale zeigen Unterschiede, die aber durch Störfaktoren wie Hausgröße oder kleine Stichproben beeinflusst sein können.</w:t>
      </w:r>
    </w:p>
    <w:p>
      <w:pPr>
        <w:spacing w:before="0" w:after="120"/>
      </w:pPr>
      <w:r>
        <w:rPr>
          <w:b w:val="0"/>
          <w:i w:val="0"/>
          <w:sz w:val="22"/>
        </w:rPr>
        <w:t>Rot, also kein messbarer Zusammenhang: Uni-Status, Konzernzugehörigkeit und Fortbildungsquote. Diese drei Merkmale zeigen in keiner unserer Analysen einen bedeutsamen Zusammenhang mit Qualitätsproblemen.</w:t>
      </w:r>
    </w:p>
    <w:p>
      <w:pPr>
        <w:spacing w:before="0" w:after="120"/>
      </w:pPr>
      <w:r>
        <w:rPr>
          <w:b w:val="0"/>
          <w:i w:val="0"/>
          <w:sz w:val="22"/>
        </w:rPr>
        <w:t>Das Gesamtfazit lautet: Wir finden keine starken, eindeutigen Zusammenhänge. Die Strukturmerkmale allein reichen nicht aus, um Qualitätsprobleme zu erklären. Das ist ein valides Ergebnis — und der ehrlichste Befund, den wir präsentieren können. Eine Analyse, die nur positive Befunde zeigt, wäre keine ehrliche Wissenschaft.</w:t>
      </w:r>
    </w:p>
    <w:p>
      <w:pPr>
        <w:spacing w:before="160" w:after="80"/>
      </w:pPr>
      <w:r>
        <w:rPr>
          <w:i/>
          <w:color w:val="BF5A00"/>
          <w:sz w:val="20"/>
        </w:rPr>
        <w:t>→ Übergang: Zum Abschluss reflektieren wir, wo diese Analyse ihre Grenzen hat — und was als nächstes möglich wäre.</w:t>
      </w:r>
    </w:p>
    <w:p/>
    <w:p>
      <w:pPr>
        <w:pStyle w:val="Heading2"/>
        <w:spacing w:before="280" w:after="80"/>
      </w:pPr>
      <w:r>
        <w:rPr>
          <w:b/>
          <w:color w:val="1F497D"/>
          <w:sz w:val="26"/>
        </w:rPr>
        <w:t>Folie 17  —  Grenzen &amp; Ausblick</w:t>
      </w:r>
      <w:r>
        <w:rPr>
          <w:b w:val="0"/>
          <w:color w:val="555555"/>
          <w:sz w:val="20"/>
        </w:rPr>
        <w:t xml:space="preserve">  [ca. 2 Min]</w:t>
      </w:r>
    </w:p>
    <w:p>
      <w:pPr>
        <w:spacing w:before="0" w:after="120"/>
      </w:pPr>
      <w:r>
        <w:rPr>
          <w:b w:val="0"/>
          <w:i w:val="0"/>
          <w:sz w:val="22"/>
        </w:rPr>
        <w:t>Jede Analyse hat Grenzen, und wir möchten die drei wichtigsten benennen.</w:t>
      </w:r>
    </w:p>
    <w:p>
      <w:pPr>
        <w:spacing w:before="0" w:after="120"/>
      </w:pPr>
      <w:r>
        <w:rPr>
          <w:b w:val="0"/>
          <w:i w:val="0"/>
          <w:sz w:val="22"/>
        </w:rPr>
        <w:t>Erstens: Patientenmix. Ein Krankenhaus, das besonders schwere oder seltene Fälle behandelt, wird häufiger auffällig bewertet — nicht weil die Qualität schlechter ist, sondern weil die Indikatoren auf typische Normalfälle kalibriert sind. Diesen Effekt können wir mit unseren Daten nicht herausrechnen.</w:t>
      </w:r>
    </w:p>
    <w:p>
      <w:pPr>
        <w:spacing w:before="0" w:after="120"/>
      </w:pPr>
      <w:r>
        <w:rPr>
          <w:b w:val="0"/>
          <w:i w:val="0"/>
          <w:sz w:val="22"/>
        </w:rPr>
        <w:t>Zweitens: Dokumentationsqualität. Manche rechnerischen Auffälligkeiten entstehen nicht durch schlechte Versorgung, sondern durch fehlerhafte oder unvollständige Dokumentation. Wir können diese Fälle nicht von echten Qualitätsproblemen trennen.</w:t>
      </w:r>
    </w:p>
    <w:p>
      <w:pPr>
        <w:spacing w:before="0" w:after="120"/>
      </w:pPr>
      <w:r>
        <w:rPr>
          <w:b w:val="0"/>
          <w:i w:val="0"/>
          <w:sz w:val="22"/>
        </w:rPr>
        <w:t>Drittens — und das ist der grundlegende Punkt: Korrelation ist nicht Kausalität. Selbst die schwachen Zusammenhänge, die wir gefunden haben, sagen nichts darüber aus, ob ein bestimmtes Merkmal Qualitätsprobleme verursacht oder nur mit ihnen zusammenhängt.</w:t>
      </w:r>
    </w:p>
    <w:p>
      <w:pPr>
        <w:spacing w:before="0" w:after="120"/>
      </w:pPr>
      <w:r>
        <w:rPr>
          <w:b w:val="0"/>
          <w:i w:val="0"/>
          <w:sz w:val="22"/>
        </w:rPr>
        <w:t>Für mögliche nächste Schritte hätten wir drei konkrete Ansätze: Erstens die Dokumentationsrate aus QS.Leistungsbereich.csv als weiteres Merkmal einbinden — das würde den zweiten Störfaktor teilweise kontrollieren. Zweitens eine Sentiment-Analyse der Freitext-Kommentare: QSQI.KommentarKrankenhaus enthält individuelle Aussagen der Häuser, die NLP-Methoden zugänglich wären. Drittens eine mehrstufige Regression, die Patientenstruktur als Kontrollvariable einschließt.</w:t>
      </w:r>
    </w:p>
    <w:p>
      <w:pPr>
        <w:spacing w:before="0" w:after="120"/>
      </w:pPr>
      <w:r>
        <w:rPr>
          <w:b w:val="0"/>
          <w:i w:val="0"/>
          <w:sz w:val="22"/>
        </w:rPr>
        <w:t>Das Dashboard und alle Notebooks sind vollständig reproduzierbar und können direkt erweitert werden — der Code liegt strukturiert vor und ist dokumentiert.</w:t>
      </w:r>
    </w:p>
    <w:p>
      <w:pPr>
        <w:spacing w:before="0" w:after="120"/>
      </w:pPr>
      <w:r>
        <w:rPr>
          <w:b w:val="0"/>
          <w:i w:val="0"/>
          <w:color w:val="1F497D"/>
          <w:sz w:val="22"/>
        </w:rPr>
        <w:t>Damit sind wir am Ende unserer Präsentation. Wir freuen uns auf Ihre Fragen — ob zum methodischen Vorgehen, zu den Ergebnissen oder zum Dashboard.</w:t>
      </w:r>
    </w:p>
    <w:p>
      <w:pPr>
        <w:spacing w:before="80" w:after="80"/>
        <w:pBdr>
          <w:bottom w:val="single" w:sz="4" w:space="1" w:color="CCCCCC"/>
        </w:pBdr>
      </w:pPr>
    </w:p>
    <w:p>
      <w:r>
        <w:br w:type="page"/>
      </w:r>
    </w:p>
    <w:p>
      <w:pPr>
        <w:spacing w:before="0" w:after="160"/>
      </w:pPr>
      <w:r>
        <w:rPr>
          <w:b/>
          <w:i w:val="0"/>
          <w:color w:val="1F497D"/>
          <w:sz w:val="24"/>
        </w:rPr>
        <w:t>Zeitplan-Übersicht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r>
              <w:rPr>
                <w:b/>
                <w:color w:val="FFFFFF"/>
              </w:rPr>
              <w:t>Block</w:t>
            </w:r>
          </w:p>
        </w:tc>
        <w:tc>
          <w:tcPr>
            <w:tcW w:type="dxa" w:w="2280"/>
            <w:shd w:val="clear" w:color="auto" w:fill="1F497D"/>
          </w:tcPr>
          <w:p>
            <w:r>
              <w:rPr>
                <w:b/>
                <w:color w:val="FFFFFF"/>
              </w:rPr>
              <w:t>Inhalt</w:t>
            </w:r>
          </w:p>
        </w:tc>
        <w:tc>
          <w:tcPr>
            <w:tcW w:type="dxa" w:w="2280"/>
            <w:shd w:val="clear" w:color="auto" w:fill="1F497D"/>
          </w:tcPr>
          <w:p>
            <w:r>
              <w:rPr>
                <w:b/>
                <w:color w:val="FFFFFF"/>
              </w:rPr>
              <w:t>Folien</w:t>
            </w:r>
          </w:p>
        </w:tc>
        <w:tc>
          <w:tcPr>
            <w:tcW w:type="dxa" w:w="2280"/>
            <w:shd w:val="clear" w:color="auto" w:fill="1F497D"/>
          </w:tcPr>
          <w:p>
            <w:r>
              <w:rPr>
                <w:b/>
                <w:color w:val="FFFFFF"/>
              </w:rPr>
              <w:t>Zeit</w:t>
            </w:r>
          </w:p>
        </w:tc>
      </w:tr>
      <w:tr>
        <w:tc>
          <w:tcPr>
            <w:tcW w:type="dxa" w:w="2280"/>
          </w:tcPr>
          <w:p>
            <w:r>
              <w:t>Block 1</w:t>
            </w:r>
          </w:p>
        </w:tc>
        <w:tc>
          <w:tcPr>
            <w:tcW w:type="dxa" w:w="2280"/>
          </w:tcPr>
          <w:p>
            <w:r>
              <w:t>Einstieg &amp; Projektfrage</w:t>
            </w:r>
          </w:p>
        </w:tc>
        <w:tc>
          <w:tcPr>
            <w:tcW w:type="dxa" w:w="2280"/>
          </w:tcPr>
          <w:p>
            <w:r>
              <w:t>Folien 1–3</w:t>
            </w:r>
          </w:p>
        </w:tc>
        <w:tc>
          <w:tcPr>
            <w:tcW w:type="dxa" w:w="2280"/>
          </w:tcPr>
          <w:p>
            <w:r>
              <w:t>~4 Min</w:t>
            </w:r>
          </w:p>
        </w:tc>
      </w:tr>
      <w:tr>
        <w:tc>
          <w:tcPr>
            <w:tcW w:type="dxa" w:w="2280"/>
          </w:tcPr>
          <w:p>
            <w:r>
              <w:t>Block 2</w:t>
            </w:r>
          </w:p>
        </w:tc>
        <w:tc>
          <w:tcPr>
            <w:tcW w:type="dxa" w:w="2280"/>
          </w:tcPr>
          <w:p>
            <w:r>
              <w:t>Datenvorbereitung</w:t>
            </w:r>
          </w:p>
        </w:tc>
        <w:tc>
          <w:tcPr>
            <w:tcW w:type="dxa" w:w="2280"/>
          </w:tcPr>
          <w:p>
            <w:r>
              <w:t>Folien 4–8</w:t>
            </w:r>
          </w:p>
        </w:tc>
        <w:tc>
          <w:tcPr>
            <w:tcW w:type="dxa" w:w="2280"/>
          </w:tcPr>
          <w:p>
            <w:r>
              <w:t>~8 Min</w:t>
            </w:r>
          </w:p>
        </w:tc>
      </w:tr>
      <w:tr>
        <w:tc>
          <w:tcPr>
            <w:tcW w:type="dxa" w:w="2280"/>
          </w:tcPr>
          <w:p>
            <w:r>
              <w:t>Block 3</w:t>
            </w:r>
          </w:p>
        </w:tc>
        <w:tc>
          <w:tcPr>
            <w:tcW w:type="dxa" w:w="2280"/>
          </w:tcPr>
          <w:p>
            <w:r>
              <w:t>Ergebnisse der Analyse</w:t>
            </w:r>
          </w:p>
        </w:tc>
        <w:tc>
          <w:tcPr>
            <w:tcW w:type="dxa" w:w="2280"/>
          </w:tcPr>
          <w:p>
            <w:r>
              <w:t>Folien 9–13</w:t>
            </w:r>
          </w:p>
        </w:tc>
        <w:tc>
          <w:tcPr>
            <w:tcW w:type="dxa" w:w="2280"/>
          </w:tcPr>
          <w:p>
            <w:r>
              <w:t>~10 Min</w:t>
            </w:r>
          </w:p>
        </w:tc>
      </w:tr>
      <w:tr>
        <w:tc>
          <w:tcPr>
            <w:tcW w:type="dxa" w:w="2280"/>
          </w:tcPr>
          <w:p>
            <w:r>
              <w:t>Block 4</w:t>
            </w:r>
          </w:p>
        </w:tc>
        <w:tc>
          <w:tcPr>
            <w:tcW w:type="dxa" w:w="2280"/>
          </w:tcPr>
          <w:p>
            <w:r>
              <w:t>Machine Learning &amp; Dashboard</w:t>
            </w:r>
          </w:p>
        </w:tc>
        <w:tc>
          <w:tcPr>
            <w:tcW w:type="dxa" w:w="2280"/>
          </w:tcPr>
          <w:p>
            <w:r>
              <w:t>Folien 14–15</w:t>
            </w:r>
          </w:p>
        </w:tc>
        <w:tc>
          <w:tcPr>
            <w:tcW w:type="dxa" w:w="2280"/>
          </w:tcPr>
          <w:p>
            <w:r>
              <w:t>~6 Min</w:t>
            </w:r>
          </w:p>
        </w:tc>
      </w:tr>
      <w:tr>
        <w:tc>
          <w:tcPr>
            <w:tcW w:type="dxa" w:w="2280"/>
          </w:tcPr>
          <w:p>
            <w:r>
              <w:t>Block 5</w:t>
            </w:r>
          </w:p>
        </w:tc>
        <w:tc>
          <w:tcPr>
            <w:tcW w:type="dxa" w:w="2280"/>
          </w:tcPr>
          <w:p>
            <w:r>
              <w:t>Fazit &amp; Grenzen</w:t>
            </w:r>
          </w:p>
        </w:tc>
        <w:tc>
          <w:tcPr>
            <w:tcW w:type="dxa" w:w="2280"/>
          </w:tcPr>
          <w:p>
            <w:r>
              <w:t>Folien 16–17</w:t>
            </w:r>
          </w:p>
        </w:tc>
        <w:tc>
          <w:tcPr>
            <w:tcW w:type="dxa" w:w="2280"/>
          </w:tcPr>
          <w:p>
            <w:r>
              <w:t>~4 Min</w:t>
            </w:r>
          </w:p>
        </w:tc>
      </w:tr>
      <w:tr>
        <w:tc>
          <w:tcPr>
            <w:tcW w:type="dxa" w:w="2280"/>
          </w:tcPr>
          <w:p>
            <w:r>
              <w:rPr>
                <w:b/>
              </w:rPr>
              <w:t>Gesamt</w:t>
            </w:r>
          </w:p>
        </w:tc>
        <w:tc>
          <w:tcPr>
            <w:tcW w:type="dxa" w:w="2280"/>
          </w:tcPr>
          <w:p>
            <w:r>
              <w:rPr>
                <w:b/>
              </w:rPr>
            </w:r>
          </w:p>
        </w:tc>
        <w:tc>
          <w:tcPr>
            <w:tcW w:type="dxa" w:w="2280"/>
          </w:tcPr>
          <w:p>
            <w:r>
              <w:rPr>
                <w:b/>
              </w:rPr>
              <w:t>17 Folien</w:t>
            </w:r>
          </w:p>
        </w:tc>
        <w:tc>
          <w:tcPr>
            <w:tcW w:type="dxa" w:w="2280"/>
          </w:tcPr>
          <w:p>
            <w:r>
              <w:rPr>
                <w:b/>
              </w:rPr>
              <w:t>~32 Min</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