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Präsentation — Qualitäts-Muster-Finder</w:t>
        <w:br/>
        <w:t>Folienvorschlag</w:t>
      </w:r>
    </w:p>
    <w:p>
      <w:pPr>
        <w:jc w:val="center"/>
      </w:pPr>
      <w:r>
        <w:rPr>
          <w:i/>
          <w:sz w:val="24"/>
        </w:rPr>
        <w:t>30 Minuten · 15 Folien · Stand: 2026-08-08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F497D"/>
          </w:tcPr>
          <w:p>
            <w:r>
              <w:rPr>
                <w:b/>
                <w:color w:val="FFFFFF"/>
                <w:sz w:val="19"/>
              </w:rPr>
              <w:t>Block</w:t>
            </w:r>
          </w:p>
        </w:tc>
        <w:tc>
          <w:tcPr>
            <w:tcW w:type="dxa" w:w="2422"/>
            <w:shd w:val="clear" w:color="auto" w:fill="1F497D"/>
          </w:tcPr>
          <w:p>
            <w:r>
              <w:rPr>
                <w:b/>
                <w:color w:val="FFFFFF"/>
                <w:sz w:val="19"/>
              </w:rPr>
              <w:t>Inhalt</w:t>
            </w:r>
          </w:p>
        </w:tc>
        <w:tc>
          <w:tcPr>
            <w:tcW w:type="dxa" w:w="2422"/>
            <w:shd w:val="clear" w:color="auto" w:fill="1F497D"/>
          </w:tcPr>
          <w:p>
            <w:r>
              <w:rPr>
                <w:b/>
                <w:color w:val="FFFFFF"/>
                <w:sz w:val="19"/>
              </w:rPr>
              <w:t>Folien</w:t>
            </w:r>
          </w:p>
        </w:tc>
        <w:tc>
          <w:tcPr>
            <w:tcW w:type="dxa" w:w="2422"/>
            <w:shd w:val="clear" w:color="auto" w:fill="1F497D"/>
          </w:tcPr>
          <w:p>
            <w:r>
              <w:rPr>
                <w:b/>
                <w:color w:val="FFFFFF"/>
                <w:sz w:val="19"/>
              </w:rPr>
              <w:t>Zeit</w:t>
            </w:r>
          </w:p>
        </w:tc>
      </w:tr>
      <w:tr>
        <w:tc>
          <w:tcPr>
            <w:tcW w:type="dxa" w:w="2422"/>
            <w:shd w:val="clear" w:color="auto" w:fill="EAF2FB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422"/>
            <w:shd w:val="clear" w:color="auto" w:fill="EAF2FB"/>
          </w:tcPr>
          <w:p>
            <w:r>
              <w:rPr>
                <w:sz w:val="19"/>
              </w:rPr>
              <w:t>Einstieg &amp; Projektfrage</w:t>
            </w:r>
          </w:p>
        </w:tc>
        <w:tc>
          <w:tcPr>
            <w:tcW w:type="dxa" w:w="2422"/>
            <w:shd w:val="clear" w:color="auto" w:fill="EAF2FB"/>
          </w:tcPr>
          <w:p>
            <w:r>
              <w:rPr>
                <w:sz w:val="19"/>
              </w:rPr>
              <w:t>1–3</w:t>
            </w:r>
          </w:p>
        </w:tc>
        <w:tc>
          <w:tcPr>
            <w:tcW w:type="dxa" w:w="2422"/>
            <w:shd w:val="clear" w:color="auto" w:fill="EAF2FB"/>
          </w:tcPr>
          <w:p>
            <w:r>
              <w:rPr>
                <w:sz w:val="19"/>
              </w:rPr>
              <w:t>~4 Min</w:t>
            </w:r>
          </w:p>
        </w:tc>
      </w:tr>
      <w:tr>
        <w:tc>
          <w:tcPr>
            <w:tcW w:type="dxa" w:w="2422"/>
            <w:shd w:val="clear" w:color="auto" w:fill="FFFFFF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422"/>
            <w:shd w:val="clear" w:color="auto" w:fill="FFFFFF"/>
          </w:tcPr>
          <w:p>
            <w:r>
              <w:rPr>
                <w:sz w:val="19"/>
              </w:rPr>
              <w:t>Datenvorbereitung</w:t>
            </w:r>
          </w:p>
        </w:tc>
        <w:tc>
          <w:tcPr>
            <w:tcW w:type="dxa" w:w="2422"/>
            <w:shd w:val="clear" w:color="auto" w:fill="FFFFFF"/>
          </w:tcPr>
          <w:p>
            <w:r>
              <w:rPr>
                <w:sz w:val="19"/>
              </w:rPr>
              <w:t>4–6</w:t>
            </w:r>
          </w:p>
        </w:tc>
        <w:tc>
          <w:tcPr>
            <w:tcW w:type="dxa" w:w="2422"/>
            <w:shd w:val="clear" w:color="auto" w:fill="FFFFFF"/>
          </w:tcPr>
          <w:p>
            <w:r>
              <w:rPr>
                <w:sz w:val="19"/>
              </w:rPr>
              <w:t>~6 Min</w:t>
            </w:r>
          </w:p>
        </w:tc>
      </w:tr>
      <w:tr>
        <w:tc>
          <w:tcPr>
            <w:tcW w:type="dxa" w:w="2422"/>
            <w:shd w:val="clear" w:color="auto" w:fill="EAF2FB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422"/>
            <w:shd w:val="clear" w:color="auto" w:fill="EAF2FB"/>
          </w:tcPr>
          <w:p>
            <w:r>
              <w:rPr>
                <w:sz w:val="19"/>
              </w:rPr>
              <w:t>Ergebnisse der Analyse</w:t>
            </w:r>
          </w:p>
        </w:tc>
        <w:tc>
          <w:tcPr>
            <w:tcW w:type="dxa" w:w="2422"/>
            <w:shd w:val="clear" w:color="auto" w:fill="EAF2FB"/>
          </w:tcPr>
          <w:p>
            <w:r>
              <w:rPr>
                <w:sz w:val="19"/>
              </w:rPr>
              <w:t>7–11</w:t>
            </w:r>
          </w:p>
        </w:tc>
        <w:tc>
          <w:tcPr>
            <w:tcW w:type="dxa" w:w="2422"/>
            <w:shd w:val="clear" w:color="auto" w:fill="EAF2FB"/>
          </w:tcPr>
          <w:p>
            <w:r>
              <w:rPr>
                <w:sz w:val="19"/>
              </w:rPr>
              <w:t>~10 Min</w:t>
            </w:r>
          </w:p>
        </w:tc>
      </w:tr>
      <w:tr>
        <w:tc>
          <w:tcPr>
            <w:tcW w:type="dxa" w:w="2422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422"/>
            <w:shd w:val="clear" w:color="auto" w:fill="FFFFFF"/>
          </w:tcPr>
          <w:p>
            <w:r>
              <w:rPr>
                <w:sz w:val="19"/>
              </w:rPr>
              <w:t>Machine Learning &amp; Dashboard</w:t>
            </w:r>
          </w:p>
        </w:tc>
        <w:tc>
          <w:tcPr>
            <w:tcW w:type="dxa" w:w="2422"/>
            <w:shd w:val="clear" w:color="auto" w:fill="FFFFFF"/>
          </w:tcPr>
          <w:p>
            <w:r>
              <w:rPr>
                <w:sz w:val="19"/>
              </w:rPr>
              <w:t>12–13</w:t>
            </w:r>
          </w:p>
        </w:tc>
        <w:tc>
          <w:tcPr>
            <w:tcW w:type="dxa" w:w="2422"/>
            <w:shd w:val="clear" w:color="auto" w:fill="FFFFFF"/>
          </w:tcPr>
          <w:p>
            <w:r>
              <w:rPr>
                <w:sz w:val="19"/>
              </w:rPr>
              <w:t>~6 Min</w:t>
            </w:r>
          </w:p>
        </w:tc>
      </w:tr>
      <w:tr>
        <w:tc>
          <w:tcPr>
            <w:tcW w:type="dxa" w:w="2422"/>
            <w:shd w:val="clear" w:color="auto" w:fill="EAF2FB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422"/>
            <w:shd w:val="clear" w:color="auto" w:fill="EAF2FB"/>
          </w:tcPr>
          <w:p>
            <w:r>
              <w:rPr>
                <w:sz w:val="19"/>
              </w:rPr>
              <w:t>Fazit &amp; Grenzen</w:t>
            </w:r>
          </w:p>
        </w:tc>
        <w:tc>
          <w:tcPr>
            <w:tcW w:type="dxa" w:w="2422"/>
            <w:shd w:val="clear" w:color="auto" w:fill="EAF2FB"/>
          </w:tcPr>
          <w:p>
            <w:r>
              <w:rPr>
                <w:sz w:val="19"/>
              </w:rPr>
              <w:t>14–15</w:t>
            </w:r>
          </w:p>
        </w:tc>
        <w:tc>
          <w:tcPr>
            <w:tcW w:type="dxa" w:w="2422"/>
            <w:shd w:val="clear" w:color="auto" w:fill="EAF2FB"/>
          </w:tcPr>
          <w:p>
            <w:r>
              <w:rPr>
                <w:sz w:val="19"/>
              </w:rPr>
              <w:t>~4 Min</w:t>
            </w:r>
          </w:p>
        </w:tc>
      </w:tr>
    </w:tbl>
    <w:p/>
    <w:p>
      <w:r>
        <w:br w:type="page"/>
      </w:r>
    </w:p>
    <w:p>
      <w:pPr>
        <w:spacing w:before="200" w:after="80"/>
        <w:shd w:val="clear" w:color="auto" w:fill="1F497D"/>
      </w:pPr>
      <w:r>
        <w:rPr>
          <w:b/>
          <w:color w:val="FFFFFF"/>
          <w:sz w:val="24"/>
        </w:rPr>
        <w:t xml:space="preserve">  BLOCK 1 — Einstieg &amp; Projektfrage  ·  Folien 1–3  ·  ca. 4 Min  </w:t>
      </w:r>
    </w:p>
    <w:p>
      <w:pPr>
        <w:spacing w:before="160" w:after="40"/>
        <w:shd w:val="clear" w:color="auto" w:fill="D6E4F0"/>
      </w:pPr>
      <w:r>
        <w:rPr>
          <w:b/>
          <w:color w:val="1F497D"/>
          <w:sz w:val="22"/>
        </w:rPr>
        <w:t xml:space="preserve">  Folie 1</w:t>
      </w:r>
      <w:r>
        <w:rPr>
          <w:color w:val="222222"/>
          <w:sz w:val="22"/>
        </w:rPr>
        <w:t xml:space="preserve">  —  Titelfolie  </w:t>
      </w:r>
    </w:p>
    <w:p>
      <w:pPr>
        <w:pStyle w:val="ListBullet"/>
        <w:spacing w:after="20"/>
      </w:pPr>
      <w:r>
        <w:rPr>
          <w:sz w:val="21"/>
        </w:rPr>
        <w:t>Projekttitel: Qualitäts-Muster-Finder</w:t>
      </w:r>
    </w:p>
    <w:p>
      <w:pPr>
        <w:pStyle w:val="ListBullet"/>
        <w:spacing w:after="20"/>
      </w:pPr>
      <w:r>
        <w:rPr>
          <w:sz w:val="21"/>
        </w:rPr>
        <w:t>Untertitel: Gibt es Zusammenhänge zwischen der Struktur eines Krankenhauses und seiner Qualität?</w:t>
      </w:r>
    </w:p>
    <w:p>
      <w:pPr>
        <w:pStyle w:val="ListBullet"/>
        <w:spacing w:after="20"/>
      </w:pPr>
      <w:r>
        <w:rPr>
          <w:sz w:val="21"/>
        </w:rPr>
        <w:t>Datum, Name(n)</w:t>
      </w:r>
    </w:p>
    <w:p>
      <w:pPr>
        <w:spacing w:before="60" w:after="120"/>
        <w:ind w:left="283"/>
        <w:shd w:val="clear" w:color="auto" w:fill="FFF8EC"/>
      </w:pPr>
      <w:r>
        <w:rPr>
          <w:i/>
          <w:color w:val="444444"/>
          <w:sz w:val="20"/>
        </w:rPr>
        <w:t>💬  Kurze Begrüßung. Wir haben echte Daten, echte Methoden — und werden ehrliche Ergebnisse präsentieren, auch wenn kein Zusammenhang gefunden wurde.</w:t>
      </w:r>
    </w:p>
    <w:p>
      <w:pPr>
        <w:spacing w:before="160" w:after="40"/>
        <w:shd w:val="clear" w:color="auto" w:fill="D6E4F0"/>
      </w:pPr>
      <w:r>
        <w:rPr>
          <w:b/>
          <w:color w:val="1F497D"/>
          <w:sz w:val="22"/>
        </w:rPr>
        <w:t xml:space="preserve">  Folie 2</w:t>
      </w:r>
      <w:r>
        <w:rPr>
          <w:color w:val="222222"/>
          <w:sz w:val="22"/>
        </w:rPr>
        <w:t xml:space="preserve">  —  Agenda  </w:t>
      </w:r>
    </w:p>
    <w:p>
      <w:pPr>
        <w:pStyle w:val="ListBullet"/>
        <w:spacing w:after="20"/>
      </w:pPr>
      <w:r>
        <w:rPr>
          <w:sz w:val="21"/>
        </w:rPr>
        <w:t>Projektfrage &amp; Datensatz</w:t>
      </w:r>
    </w:p>
    <w:p>
      <w:pPr>
        <w:pStyle w:val="ListBullet"/>
        <w:spacing w:after="20"/>
      </w:pPr>
      <w:r>
        <w:rPr>
          <w:sz w:val="21"/>
        </w:rPr>
        <w:t>Datenvorbereitung</w:t>
      </w:r>
    </w:p>
    <w:p>
      <w:pPr>
        <w:pStyle w:val="ListBullet"/>
        <w:spacing w:after="20"/>
      </w:pPr>
      <w:r>
        <w:rPr>
          <w:sz w:val="21"/>
        </w:rPr>
        <w:t>Ergebnisse der Analyse</w:t>
      </w:r>
    </w:p>
    <w:p>
      <w:pPr>
        <w:pStyle w:val="ListBullet"/>
        <w:spacing w:after="20"/>
      </w:pPr>
      <w:r>
        <w:rPr>
          <w:sz w:val="21"/>
        </w:rPr>
        <w:t>Machine Learning &amp; Dashboard</w:t>
      </w:r>
    </w:p>
    <w:p>
      <w:pPr>
        <w:pStyle w:val="ListBullet"/>
        <w:spacing w:after="20"/>
      </w:pPr>
      <w:r>
        <w:rPr>
          <w:sz w:val="21"/>
        </w:rPr>
        <w:t>Fazit &amp; Grenzen</w:t>
      </w:r>
    </w:p>
    <w:p>
      <w:pPr>
        <w:spacing w:before="60" w:after="120"/>
        <w:ind w:left="283"/>
        <w:shd w:val="clear" w:color="auto" w:fill="FFF8EC"/>
      </w:pPr>
      <w:r>
        <w:rPr>
          <w:i/>
          <w:color w:val="444444"/>
          <w:sz w:val="20"/>
        </w:rPr>
        <w:t>💬  „Wir laufen heute den kompletten Weg einer Datenanalyse ab — von den Rohdaten bis zum interaktiven Dashboard."</w:t>
      </w:r>
    </w:p>
    <w:p>
      <w:pPr>
        <w:spacing w:before="160" w:after="40"/>
        <w:shd w:val="clear" w:color="auto" w:fill="D6E4F0"/>
      </w:pPr>
      <w:r>
        <w:rPr>
          <w:b/>
          <w:color w:val="1F497D"/>
          <w:sz w:val="22"/>
        </w:rPr>
        <w:t xml:space="preserve">  Folie 3</w:t>
      </w:r>
      <w:r>
        <w:rPr>
          <w:color w:val="222222"/>
          <w:sz w:val="22"/>
        </w:rPr>
        <w:t xml:space="preserve">  —  Projektfrage &amp; Datensatz  </w:t>
      </w:r>
    </w:p>
    <w:p>
      <w:pPr>
        <w:spacing w:after="40"/>
        <w:ind w:left="0"/>
      </w:pPr>
      <w:r>
        <w:rPr>
          <w:b/>
          <w:i w:val="0"/>
          <w:color w:val="1F497D"/>
          <w:sz w:val="20"/>
        </w:rPr>
        <w:t>Links (groß zentriert):</w:t>
      </w:r>
    </w:p>
    <w:p>
      <w:pPr>
        <w:spacing w:after="40"/>
        <w:ind w:left="283"/>
      </w:pPr>
      <w:r>
        <w:rPr>
          <w:b w:val="0"/>
          <w:i/>
          <w:sz w:val="22"/>
        </w:rPr>
        <w:t>„Gibt es Zusammenhänge zwischen den Strukturmerkmalen eines Krankenhauses und der Häufigkeit seiner auffälligen Qualitätsindikatoren?"</w:t>
      </w:r>
    </w:p>
    <w:p>
      <w:pPr>
        <w:spacing w:after="40"/>
        <w:ind w:left="0"/>
      </w:pPr>
      <w:r>
        <w:rPr>
          <w:b/>
          <w:i w:val="0"/>
          <w:color w:val="1F497D"/>
          <w:sz w:val="20"/>
        </w:rPr>
        <w:t>Rechts (Kennzahlen):</w:t>
      </w:r>
    </w:p>
    <w:p>
      <w:pPr>
        <w:pStyle w:val="ListBullet"/>
        <w:spacing w:after="20"/>
      </w:pPr>
      <w:r>
        <w:rPr>
          <w:sz w:val="21"/>
        </w:rPr>
        <w:t>1.824 Krankenhäuser mit Bewertung</w:t>
      </w:r>
    </w:p>
    <w:p>
      <w:pPr>
        <w:pStyle w:val="ListBullet"/>
        <w:spacing w:after="20"/>
      </w:pPr>
      <w:r>
        <w:rPr>
          <w:sz w:val="21"/>
        </w:rPr>
        <w:t>86 CSV-Dateien · ca. 1,2 GB</w:t>
      </w:r>
    </w:p>
    <w:p>
      <w:pPr>
        <w:pStyle w:val="ListBullet"/>
        <w:spacing w:after="20"/>
      </w:pPr>
      <w:r>
        <w:rPr>
          <w:sz w:val="21"/>
        </w:rPr>
        <w:t>~150 Qualitätsindikatoren pro Haus</w:t>
      </w:r>
    </w:p>
    <w:p>
      <w:pPr>
        <w:pStyle w:val="ListBullet"/>
        <w:spacing w:after="20"/>
      </w:pPr>
      <w:r>
        <w:rPr>
          <w:sz w:val="21"/>
        </w:rPr>
        <w:t>Berichtsjahr 2023 · Quelle: IQTIG / G-BA</w:t>
      </w:r>
    </w:p>
    <w:p>
      <w:pPr>
        <w:spacing w:before="60" w:after="120"/>
        <w:ind w:left="283"/>
        <w:shd w:val="clear" w:color="auto" w:fill="FFF8EC"/>
      </w:pPr>
      <w:r>
        <w:rPr>
          <w:i/>
          <w:color w:val="444444"/>
          <w:sz w:val="20"/>
        </w:rPr>
        <w:t>💬  Jedes Krankenhaus ist gesetzlich verpflichtet, jährlich einen Qualitätsbericht zu veröffentlichen. Die Frage ist bewusst offen formuliert: Kein Zusammenhang ist genauso ein valides Ergebnis wie ein starker Zusammenhang.</w:t>
      </w:r>
    </w:p>
    <w:p>
      <w:r>
        <w:br w:type="page"/>
      </w:r>
    </w:p>
    <w:p>
      <w:pPr>
        <w:spacing w:before="200" w:after="80"/>
        <w:shd w:val="clear" w:color="auto" w:fill="1F497D"/>
      </w:pPr>
      <w:r>
        <w:rPr>
          <w:b/>
          <w:color w:val="FFFFFF"/>
          <w:sz w:val="24"/>
        </w:rPr>
        <w:t xml:space="preserve">  BLOCK 2 — Datenvorbereitung  ·  Folien 4–6  ·  ca. 6 Min  </w:t>
      </w:r>
    </w:p>
    <w:p>
      <w:pPr>
        <w:spacing w:before="160" w:after="40"/>
        <w:shd w:val="clear" w:color="auto" w:fill="D6E4F0"/>
      </w:pPr>
      <w:r>
        <w:rPr>
          <w:b/>
          <w:color w:val="1F497D"/>
          <w:sz w:val="22"/>
        </w:rPr>
        <w:t xml:space="preserve">  Folie 4</w:t>
      </w:r>
      <w:r>
        <w:rPr>
          <w:color w:val="222222"/>
          <w:sz w:val="22"/>
        </w:rPr>
        <w:t xml:space="preserve">  —  Zwei Datenarten: Merkmale &amp; Ziel-Variable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F497D"/>
          </w:tcPr>
          <w:p>
            <w:r>
              <w:rPr>
                <w:b/>
                <w:color w:val="FFFFFF"/>
                <w:sz w:val="19"/>
              </w:rPr>
              <w:t>Strukturdaten (Merkmale X)</w:t>
            </w:r>
          </w:p>
        </w:tc>
        <w:tc>
          <w:tcPr>
            <w:tcW w:type="dxa" w:w="4844"/>
            <w:shd w:val="clear" w:color="auto" w:fill="1F497D"/>
          </w:tcPr>
          <w:p>
            <w:r>
              <w:rPr>
                <w:b/>
                <w:color w:val="FFFFFF"/>
                <w:sz w:val="19"/>
              </w:rPr>
              <w:t>Qualitätsdaten (Ziel y)</w:t>
            </w:r>
          </w:p>
        </w:tc>
      </w:tr>
      <w:tr>
        <w:tc>
          <w:tcPr>
            <w:tcW w:type="dxa" w:w="4844"/>
            <w:shd w:val="clear" w:color="auto" w:fill="EAF2FB"/>
          </w:tcPr>
          <w:p>
            <w:r>
              <w:rPr>
                <w:sz w:val="19"/>
              </w:rPr>
              <w:t>Wie ist das Haus aufgebaut?</w:t>
            </w:r>
          </w:p>
        </w:tc>
        <w:tc>
          <w:tcPr>
            <w:tcW w:type="dxa" w:w="4844"/>
            <w:shd w:val="clear" w:color="auto" w:fill="EAF2FB"/>
          </w:tcPr>
          <w:p>
            <w:r>
              <w:rPr>
                <w:sz w:val="19"/>
              </w:rPr>
              <w:t>Wie gut ist die Versorgung?</w:t>
            </w:r>
          </w:p>
        </w:tc>
      </w:tr>
      <w:tr>
        <w:tc>
          <w:tcPr>
            <w:tcW w:type="dxa" w:w="4844"/>
            <w:shd w:val="clear" w:color="auto" w:fill="FFFFFF"/>
          </w:tcPr>
          <w:p>
            <w:r>
              <w:rPr>
                <w:sz w:val="19"/>
              </w:rPr>
              <w:t>Betten, Personal, Träger, Region</w:t>
            </w:r>
          </w:p>
        </w:tc>
        <w:tc>
          <w:tcPr>
            <w:tcW w:type="dxa" w:w="4844"/>
            <w:shd w:val="clear" w:color="auto" w:fill="FFFFFF"/>
          </w:tcPr>
          <w:p>
            <w:r>
              <w:rPr>
                <w:sz w:val="19"/>
              </w:rPr>
              <w:t>~150 Qualitätsindikatoren pro Haus</w:t>
            </w:r>
          </w:p>
        </w:tc>
      </w:tr>
      <w:tr>
        <w:tc>
          <w:tcPr>
            <w:tcW w:type="dxa" w:w="4844"/>
            <w:shd w:val="clear" w:color="auto" w:fill="EAF2FB"/>
          </w:tcPr>
          <w:p>
            <w:r>
              <w:rPr>
                <w:sz w:val="19"/>
              </w:rPr>
              <w:t>SO.csv · FA.csv · Konzern.csv</w:t>
            </w:r>
          </w:p>
        </w:tc>
        <w:tc>
          <w:tcPr>
            <w:tcW w:type="dxa" w:w="4844"/>
            <w:shd w:val="clear" w:color="auto" w:fill="EAF2FB"/>
          </w:tcPr>
          <w:p>
            <w:r>
              <w:rPr>
                <w:sz w:val="19"/>
              </w:rPr>
              <w:t>QS.Qualitätsindikator.csv (911 MB!)</w:t>
            </w:r>
          </w:p>
        </w:tc>
      </w:tr>
    </w:tbl>
    <w:p/>
    <w:p>
      <w:pPr>
        <w:pStyle w:val="ListBullet"/>
        <w:spacing w:after="20"/>
      </w:pPr>
      <w:r>
        <w:rPr>
          <w:sz w:val="21"/>
        </w:rPr>
        <w:t>Verbindung: SO.QBID — erscheint in ~60 der 86 Dateien als universeller Schlüssel</w:t>
      </w:r>
    </w:p>
    <w:p>
      <w:pPr>
        <w:spacing w:before="60" w:after="120"/>
        <w:ind w:left="283"/>
        <w:shd w:val="clear" w:color="auto" w:fill="FFF8EC"/>
      </w:pPr>
      <w:r>
        <w:rPr>
          <w:i/>
          <w:color w:val="444444"/>
          <w:sz w:val="20"/>
        </w:rPr>
        <w:t>💬  Diese Unterscheidung ist das Herzstück. A-Teil liefert Eingaben, C-Teil das Ergebnis. SO.QBID ist unser universeller Krankenhaus-Schlüssel, der alles verbindet.</w:t>
      </w:r>
    </w:p>
    <w:p>
      <w:pPr>
        <w:spacing w:before="160" w:after="40"/>
        <w:shd w:val="clear" w:color="auto" w:fill="D6E4F0"/>
      </w:pPr>
      <w:r>
        <w:rPr>
          <w:b/>
          <w:color w:val="1F497D"/>
          <w:sz w:val="22"/>
        </w:rPr>
        <w:t xml:space="preserve">  Folie 5</w:t>
      </w:r>
      <w:r>
        <w:rPr>
          <w:color w:val="222222"/>
          <w:sz w:val="22"/>
        </w:rPr>
        <w:t xml:space="preserve">  —  Wie entsteht die Ziel-Variable?  </w:t>
      </w:r>
    </w:p>
    <w:p>
      <w:pPr>
        <w:spacing w:after="40"/>
        <w:ind w:left="0"/>
      </w:pPr>
      <w:r>
        <w:rPr>
          <w:b/>
          <w:i w:val="0"/>
          <w:color w:val="1F497D"/>
          <w:sz w:val="20"/>
        </w:rPr>
        <w:t>Schritt-für-Schritt aus QS.Qualitätsindikator.csv:</w:t>
      </w:r>
    </w:p>
    <w:p>
      <w:pPr>
        <w:pStyle w:val="ListBullet"/>
        <w:spacing w:after="20"/>
      </w:pPr>
      <w:r>
        <w:rPr>
          <w:sz w:val="21"/>
        </w:rPr>
        <w:t>Filter: nur echte QI (nicht Zählkennzahlen wie EKez/TKez)</w:t>
      </w:r>
    </w:p>
    <w:p>
      <w:pPr>
        <w:pStyle w:val="ListBullet"/>
        <w:spacing w:after="20"/>
      </w:pPr>
      <w:r>
        <w:rPr>
          <w:sz w:val="21"/>
        </w:rPr>
        <w:t>N99 ausschließen — nicht bewertet ≠ unauffällig!</w:t>
      </w:r>
    </w:p>
    <w:p>
      <w:pPr>
        <w:pStyle w:val="ListBullet"/>
        <w:spacing w:after="20"/>
      </w:pPr>
      <w:r>
        <w:rPr>
          <w:sz w:val="21"/>
        </w:rPr>
        <w:t>Deduplizierung: je Krankenhaus + Indikator eine Zeile</w:t>
      </w:r>
    </w:p>
    <w:p>
      <w:pPr>
        <w:pStyle w:val="ListBullet"/>
        <w:spacing w:after="20"/>
      </w:pPr>
      <w:r>
        <w:rPr>
          <w:sz w:val="21"/>
        </w:rPr>
        <w:t>R* = auffällig (1)  |  N* = nicht auffällig (0)</w:t>
      </w:r>
    </w:p>
    <w:p>
      <w:pPr>
        <w:pStyle w:val="ListBullet"/>
        <w:spacing w:after="20"/>
      </w:pPr>
      <w:r>
        <w:rPr>
          <w:sz w:val="21"/>
        </w:rPr>
        <w:t>auffaellig_quote = auffällig_n / total_qi</w:t>
      </w:r>
    </w:p>
    <w:p>
      <w:pPr>
        <w:pStyle w:val="ListBullet"/>
        <w:spacing w:after="20"/>
      </w:pPr>
      <w:r>
        <w:rPr>
          <w:sz w:val="21"/>
        </w:rPr>
        <w:t>Schwelle: Median (~77 %) → hat_viele_Probleme = 0 oder 1</w:t>
      </w:r>
    </w:p>
    <w:p>
      <w:pPr>
        <w:spacing w:before="60" w:after="120"/>
        <w:ind w:left="283"/>
        <w:shd w:val="clear" w:color="auto" w:fill="FFF8EC"/>
      </w:pPr>
      <w:r>
        <w:rPr>
          <w:i/>
          <w:color w:val="444444"/>
          <w:sz w:val="20"/>
        </w:rPr>
        <w:t>💬  Drei Fallstricke: N99 (nicht bewertet ≠ gut), Duplikate (mehrfaches Zählen), falsche Typen. Überraschend: 77 % der Indikatoren liegen typischerweise im roten Bereich — die Anforderungen sind hoch gesetzt.</w:t>
      </w:r>
    </w:p>
    <w:p>
      <w:pPr>
        <w:spacing w:before="160" w:after="40"/>
        <w:shd w:val="clear" w:color="auto" w:fill="D6E4F0"/>
      </w:pPr>
      <w:r>
        <w:rPr>
          <w:b/>
          <w:color w:val="1F497D"/>
          <w:sz w:val="22"/>
        </w:rPr>
        <w:t xml:space="preserve">  Folie 6</w:t>
      </w:r>
      <w:r>
        <w:rPr>
          <w:color w:val="222222"/>
          <w:sz w:val="22"/>
        </w:rPr>
        <w:t xml:space="preserve">  —  Die 8 Merkmale der Analysetabelle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F497D"/>
          </w:tcPr>
          <w:p>
            <w:r>
              <w:rPr>
                <w:b/>
                <w:color w:val="FFFFFF"/>
                <w:sz w:val="19"/>
              </w:rPr>
              <w:t>Merkmal</w:t>
            </w:r>
          </w:p>
        </w:tc>
        <w:tc>
          <w:tcPr>
            <w:tcW w:type="dxa" w:w="3230"/>
            <w:shd w:val="clear" w:color="auto" w:fill="1F497D"/>
          </w:tcPr>
          <w:p>
            <w:r>
              <w:rPr>
                <w:b/>
                <w:color w:val="FFFFFF"/>
                <w:sz w:val="19"/>
              </w:rPr>
              <w:t>Quelle</w:t>
            </w:r>
          </w:p>
        </w:tc>
        <w:tc>
          <w:tcPr>
            <w:tcW w:type="dxa" w:w="3230"/>
            <w:shd w:val="clear" w:color="auto" w:fill="1F497D"/>
          </w:tcPr>
          <w:p>
            <w:r>
              <w:rPr>
                <w:b/>
                <w:color w:val="FFFFFF"/>
                <w:sz w:val="19"/>
              </w:rPr>
              <w:t>Typ</w:t>
            </w:r>
          </w:p>
        </w:tc>
      </w:tr>
      <w:tr>
        <w:tc>
          <w:tcPr>
            <w:tcW w:type="dxa" w:w="3230"/>
            <w:shd w:val="clear" w:color="auto" w:fill="EAF2FB"/>
          </w:tcPr>
          <w:p>
            <w:r>
              <w:rPr>
                <w:sz w:val="19"/>
              </w:rPr>
              <w:t>Bettenzahl</w:t>
            </w:r>
          </w:p>
        </w:tc>
        <w:tc>
          <w:tcPr>
            <w:tcW w:type="dxa" w:w="3230"/>
            <w:shd w:val="clear" w:color="auto" w:fill="EAF2FB"/>
          </w:tcPr>
          <w:p>
            <w:r>
              <w:rPr>
                <w:sz w:val="19"/>
              </w:rPr>
              <w:t>SO.csv</w:t>
            </w:r>
          </w:p>
        </w:tc>
        <w:tc>
          <w:tcPr>
            <w:tcW w:type="dxa" w:w="3230"/>
            <w:shd w:val="clear" w:color="auto" w:fill="EAF2FB"/>
          </w:tcPr>
          <w:p>
            <w:r>
              <w:rPr>
                <w:sz w:val="19"/>
              </w:rPr>
              <w:t>Numerisch</w:t>
            </w:r>
          </w:p>
        </w:tc>
      </w:tr>
      <w:tr>
        <w:tc>
          <w:tcPr>
            <w:tcW w:type="dxa" w:w="3230"/>
            <w:shd w:val="clear" w:color="auto" w:fill="FFFFFF"/>
          </w:tcPr>
          <w:p>
            <w:r>
              <w:rPr>
                <w:sz w:val="19"/>
              </w:rPr>
              <w:t>Trägerschaft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sz w:val="19"/>
              </w:rPr>
              <w:t>SO.csv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sz w:val="19"/>
              </w:rPr>
              <w:t>privat / freigemeinnützig / öffentlich</w:t>
            </w:r>
          </w:p>
        </w:tc>
      </w:tr>
      <w:tr>
        <w:tc>
          <w:tcPr>
            <w:tcW w:type="dxa" w:w="3230"/>
            <w:shd w:val="clear" w:color="auto" w:fill="EAF2FB"/>
          </w:tcPr>
          <w:p>
            <w:r>
              <w:rPr>
                <w:sz w:val="19"/>
              </w:rPr>
              <w:t>Bundesland</w:t>
            </w:r>
          </w:p>
        </w:tc>
        <w:tc>
          <w:tcPr>
            <w:tcW w:type="dxa" w:w="3230"/>
            <w:shd w:val="clear" w:color="auto" w:fill="EAF2FB"/>
          </w:tcPr>
          <w:p>
            <w:r>
              <w:rPr>
                <w:sz w:val="19"/>
              </w:rPr>
              <w:t>SO.csv</w:t>
            </w:r>
          </w:p>
        </w:tc>
        <w:tc>
          <w:tcPr>
            <w:tcW w:type="dxa" w:w="3230"/>
            <w:shd w:val="clear" w:color="auto" w:fill="EAF2FB"/>
          </w:tcPr>
          <w:p>
            <w:r>
              <w:rPr>
                <w:sz w:val="19"/>
              </w:rPr>
              <w:t>16 Bundesländer</w:t>
            </w:r>
          </w:p>
        </w:tc>
      </w:tr>
      <w:tr>
        <w:tc>
          <w:tcPr>
            <w:tcW w:type="dxa" w:w="3230"/>
            <w:shd w:val="clear" w:color="auto" w:fill="FFFFFF"/>
          </w:tcPr>
          <w:p>
            <w:r>
              <w:rPr>
                <w:sz w:val="19"/>
              </w:rPr>
              <w:t>Uni-Klinik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sz w:val="19"/>
              </w:rPr>
              <w:t>SO.csv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sz w:val="19"/>
              </w:rPr>
              <w:t>Ja / Nein</w:t>
            </w:r>
          </w:p>
        </w:tc>
      </w:tr>
      <w:tr>
        <w:tc>
          <w:tcPr>
            <w:tcW w:type="dxa" w:w="3230"/>
            <w:shd w:val="clear" w:color="auto" w:fill="EAF2FB"/>
          </w:tcPr>
          <w:p>
            <w:r>
              <w:rPr>
                <w:sz w:val="19"/>
              </w:rPr>
              <w:t>Fortbildungsquote</w:t>
            </w:r>
          </w:p>
        </w:tc>
        <w:tc>
          <w:tcPr>
            <w:tcW w:type="dxa" w:w="3230"/>
            <w:shd w:val="clear" w:color="auto" w:fill="EAF2FB"/>
          </w:tcPr>
          <w:p>
            <w:r>
              <w:rPr>
                <w:sz w:val="19"/>
              </w:rPr>
              <w:t>QS.Fortbildung.csv</w:t>
            </w:r>
          </w:p>
        </w:tc>
        <w:tc>
          <w:tcPr>
            <w:tcW w:type="dxa" w:w="3230"/>
            <w:shd w:val="clear" w:color="auto" w:fill="EAF2FB"/>
          </w:tcPr>
          <w:p>
            <w:r>
              <w:rPr>
                <w:sz w:val="19"/>
              </w:rPr>
              <w:t>Numerisch 0–1</w:t>
            </w:r>
          </w:p>
        </w:tc>
      </w:tr>
      <w:tr>
        <w:tc>
          <w:tcPr>
            <w:tcW w:type="dxa" w:w="3230"/>
            <w:shd w:val="clear" w:color="auto" w:fill="FFFFFF"/>
          </w:tcPr>
          <w:p>
            <w:r>
              <w:rPr>
                <w:sz w:val="19"/>
              </w:rPr>
              <w:t>Ärzte pro Bett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sz w:val="19"/>
              </w:rPr>
              <w:t>FA.Personalliste.csv + FA.csv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sz w:val="19"/>
              </w:rPr>
              <w:t>Numerisch</w:t>
            </w:r>
          </w:p>
        </w:tc>
      </w:tr>
      <w:tr>
        <w:tc>
          <w:tcPr>
            <w:tcW w:type="dxa" w:w="3230"/>
            <w:shd w:val="clear" w:color="auto" w:fill="EAF2FB"/>
          </w:tcPr>
          <w:p>
            <w:r>
              <w:rPr>
                <w:sz w:val="19"/>
              </w:rPr>
              <w:t>Pflegekräfte pro Bett</w:t>
            </w:r>
          </w:p>
        </w:tc>
        <w:tc>
          <w:tcPr>
            <w:tcW w:type="dxa" w:w="3230"/>
            <w:shd w:val="clear" w:color="auto" w:fill="EAF2FB"/>
          </w:tcPr>
          <w:p>
            <w:r>
              <w:rPr>
                <w:sz w:val="19"/>
              </w:rPr>
              <w:t>SO.Personalliste.csv</w:t>
            </w:r>
          </w:p>
        </w:tc>
        <w:tc>
          <w:tcPr>
            <w:tcW w:type="dxa" w:w="3230"/>
            <w:shd w:val="clear" w:color="auto" w:fill="EAF2FB"/>
          </w:tcPr>
          <w:p>
            <w:r>
              <w:rPr>
                <w:sz w:val="19"/>
              </w:rPr>
              <w:t>Numerisch</w:t>
            </w:r>
          </w:p>
        </w:tc>
      </w:tr>
      <w:tr>
        <w:tc>
          <w:tcPr>
            <w:tcW w:type="dxa" w:w="3230"/>
            <w:shd w:val="clear" w:color="auto" w:fill="FFFFFF"/>
          </w:tcPr>
          <w:p>
            <w:r>
              <w:rPr>
                <w:sz w:val="19"/>
              </w:rPr>
              <w:t>Konzernhaus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sz w:val="19"/>
              </w:rPr>
              <w:t>Konzern.csv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sz w:val="19"/>
              </w:rPr>
              <w:t>Ja / Nein</w:t>
            </w:r>
          </w:p>
        </w:tc>
      </w:tr>
    </w:tbl>
    <w:p/>
    <w:p>
      <w:pPr>
        <w:pStyle w:val="ListBullet"/>
        <w:spacing w:after="20"/>
      </w:pPr>
      <w:r>
        <w:rPr>
          <w:sz w:val="21"/>
        </w:rPr>
        <w:t>Ergebnis: analysetabelle.csv — 1.824 Zeilen · 18 Spalten — eine Zeile pro Krankenhaus</w:t>
      </w:r>
    </w:p>
    <w:p>
      <w:pPr>
        <w:spacing w:before="60" w:after="120"/>
        <w:ind w:left="283"/>
        <w:shd w:val="clear" w:color="auto" w:fill="FFF8EC"/>
      </w:pPr>
      <w:r>
        <w:rPr>
          <w:i/>
          <w:color w:val="444444"/>
          <w:sz w:val="20"/>
        </w:rPr>
        <w:t>💬  Diese Tabelle ist der Startpunkt für alles Weitere. Prinzip: Rohdaten → Analysetabelle → Analyse, Dashboard, Modell.</w:t>
      </w:r>
    </w:p>
    <w:p>
      <w:r>
        <w:br w:type="page"/>
      </w:r>
    </w:p>
    <w:p>
      <w:pPr>
        <w:spacing w:before="200" w:after="80"/>
        <w:shd w:val="clear" w:color="auto" w:fill="375E23"/>
      </w:pPr>
      <w:r>
        <w:rPr>
          <w:b/>
          <w:color w:val="FFFFFF"/>
          <w:sz w:val="24"/>
        </w:rPr>
        <w:t xml:space="preserve">  BLOCK 3 — Ergebnisse der Analyse  ·  Folien 7–11  ·  ca. 10 Min  </w:t>
      </w:r>
    </w:p>
    <w:p>
      <w:pPr>
        <w:spacing w:before="160" w:after="40"/>
        <w:shd w:val="clear" w:color="auto" w:fill="E8F5E9"/>
      </w:pPr>
      <w:r>
        <w:rPr>
          <w:b/>
          <w:color w:val="1F497D"/>
          <w:sz w:val="22"/>
        </w:rPr>
        <w:t xml:space="preserve">  Folie 7</w:t>
      </w:r>
      <w:r>
        <w:rPr>
          <w:color w:val="222222"/>
          <w:sz w:val="22"/>
        </w:rPr>
        <w:t xml:space="preserve">  —  Befund 1: Verteilung der Auffälligkeit  </w:t>
      </w:r>
    </w:p>
    <w:p>
      <w:pPr>
        <w:pStyle w:val="ListBullet"/>
        <w:spacing w:after="20"/>
      </w:pPr>
      <w:r>
        <w:rPr>
          <w:sz w:val="21"/>
        </w:rPr>
        <w:t>Histogramm der auffaellig_quote mit Median-Linie (76,92 %)</w:t>
      </w:r>
    </w:p>
    <w:p>
      <w:pPr>
        <w:pStyle w:val="ListBullet"/>
        <w:spacing w:after="20"/>
      </w:pPr>
      <w:r>
        <w:rPr>
          <w:sz w:val="21"/>
        </w:rPr>
        <w:t>Verteilung: linkssteil — die meisten Häuser zwischen 60–90 %</w:t>
      </w:r>
    </w:p>
    <w:p>
      <w:pPr>
        <w:pStyle w:val="ListBullet"/>
        <w:spacing w:after="20"/>
      </w:pPr>
      <w:r>
        <w:rPr>
          <w:sz w:val="21"/>
        </w:rPr>
        <w:t>~925 Häuser wenige Probleme · ~899 Häuser viele Probleme</w:t>
      </w:r>
    </w:p>
    <w:p>
      <w:pPr>
        <w:spacing w:before="60" w:after="120"/>
        <w:ind w:left="283"/>
        <w:shd w:val="clear" w:color="auto" w:fill="FFF8EC"/>
      </w:pPr>
      <w:r>
        <w:rPr>
          <w:i/>
          <w:color w:val="444444"/>
          <w:sz w:val="20"/>
        </w:rPr>
        <w:t>💬  Wie sieht unsere Ziel-Variable aus? Die Verteilung ist plausibel — kein extremes Ungleichgewicht.</w:t>
      </w:r>
    </w:p>
    <w:p>
      <w:pPr>
        <w:spacing w:before="160" w:after="40"/>
        <w:shd w:val="clear" w:color="auto" w:fill="E8F5E9"/>
      </w:pPr>
      <w:r>
        <w:rPr>
          <w:b/>
          <w:color w:val="1F497D"/>
          <w:sz w:val="22"/>
        </w:rPr>
        <w:t xml:space="preserve">  Folie 8</w:t>
      </w:r>
      <w:r>
        <w:rPr>
          <w:color w:val="222222"/>
          <w:sz w:val="22"/>
        </w:rPr>
        <w:t xml:space="preserve">  —  Befund 2: Trägerschaft  </w:t>
      </w:r>
    </w:p>
    <w:p>
      <w:pPr>
        <w:pStyle w:val="ListBullet"/>
        <w:spacing w:after="20"/>
      </w:pPr>
      <w:r>
        <w:rPr>
          <w:sz w:val="21"/>
        </w:rPr>
        <w:t>Privat: 56,5 % haben viele Probleme</w:t>
      </w:r>
    </w:p>
    <w:p>
      <w:pPr>
        <w:pStyle w:val="ListBullet"/>
        <w:spacing w:after="20"/>
      </w:pPr>
      <w:r>
        <w:rPr>
          <w:sz w:val="21"/>
        </w:rPr>
        <w:t>Freigemeinnützig: 46,4 %  |  Öffentlich: 46,7 %</w:t>
      </w:r>
    </w:p>
    <w:p>
      <w:pPr>
        <w:pStyle w:val="ListBullet"/>
        <w:spacing w:after="20"/>
      </w:pPr>
      <w:r>
        <w:rPr>
          <w:sz w:val="21"/>
        </w:rPr>
        <w:t>Statistisch signifikant: ANOVA p &lt; 0,001</w:t>
      </w:r>
    </w:p>
    <w:p>
      <w:pPr>
        <w:pStyle w:val="ListBullet"/>
        <w:spacing w:after="20"/>
      </w:pPr>
      <w:r>
        <w:rPr>
          <w:sz w:val="21"/>
        </w:rPr>
        <w:t>Aber: Private Häuser sind im Median kleiner (Md ~90 Betten vs. ~260 bei öffentlichen)</w:t>
      </w:r>
    </w:p>
    <w:p>
      <w:pPr>
        <w:spacing w:before="60" w:after="120"/>
        <w:ind w:left="283"/>
        <w:shd w:val="clear" w:color="auto" w:fill="FFF8EC"/>
      </w:pPr>
      <w:r>
        <w:rPr>
          <w:i/>
          <w:color w:val="444444"/>
          <w:sz w:val="20"/>
        </w:rPr>
        <w:t>💬  Das ist unser klarster inhaltlicher Befund. Aber: Private Häuser sind kleiner → weniger Fälle pro Indikator → höhere Schwankungsbreite. Der Trägereffekt könnte ein Größeneffekt sein. Korrelation ≠ Kausalität.</w:t>
      </w:r>
    </w:p>
    <w:p>
      <w:pPr>
        <w:spacing w:before="160" w:after="40"/>
        <w:shd w:val="clear" w:color="auto" w:fill="E8F5E9"/>
      </w:pPr>
      <w:r>
        <w:rPr>
          <w:b/>
          <w:color w:val="1F497D"/>
          <w:sz w:val="22"/>
        </w:rPr>
        <w:t xml:space="preserve">  Folie 9</w:t>
      </w:r>
      <w:r>
        <w:rPr>
          <w:color w:val="222222"/>
          <w:sz w:val="22"/>
        </w:rPr>
        <w:t xml:space="preserve">  —  Befund 3: Personal ist der stärkste Prädiktor  </w:t>
      </w:r>
    </w:p>
    <w:p>
      <w:pPr>
        <w:pStyle w:val="ListBullet"/>
        <w:spacing w:after="20"/>
      </w:pPr>
      <w:r>
        <w:rPr>
          <w:sz w:val="21"/>
        </w:rPr>
        <w:t>Ärzte pro Bett: Wenige Probleme Md = 0,468  vs.  Viele Probleme Md = 0,390</w:t>
      </w:r>
    </w:p>
    <w:p>
      <w:pPr>
        <w:pStyle w:val="ListBullet"/>
        <w:spacing w:after="20"/>
      </w:pPr>
      <w:r>
        <w:rPr>
          <w:sz w:val="21"/>
        </w:rPr>
        <w:t>T-Test: t = 6,002 · p &lt; 0,001 — statistisch signifikant</w:t>
      </w:r>
    </w:p>
    <w:p>
      <w:pPr>
        <w:pStyle w:val="ListBullet"/>
        <w:spacing w:after="20"/>
      </w:pPr>
      <w:r>
        <w:rPr>
          <w:sz w:val="21"/>
        </w:rPr>
        <w:t>Gleiches Muster bei Pflegekräfte pro Bett (ähnliche Stärke)</w:t>
      </w:r>
    </w:p>
    <w:p>
      <w:pPr>
        <w:pStyle w:val="ListBullet"/>
        <w:spacing w:after="20"/>
      </w:pPr>
      <w:r>
        <w:rPr>
          <w:sz w:val="21"/>
        </w:rPr>
        <w:t>Fortbildungsquote: kein Unterschied zwischen den Gruppen (r ≈ 0,01)</w:t>
      </w:r>
    </w:p>
    <w:p>
      <w:pPr>
        <w:spacing w:before="60" w:after="120"/>
        <w:ind w:left="283"/>
        <w:shd w:val="clear" w:color="auto" w:fill="FFF8EC"/>
      </w:pPr>
      <w:r>
        <w:rPr>
          <w:i/>
          <w:color w:val="444444"/>
          <w:sz w:val="20"/>
        </w:rPr>
        <w:t>💬  Mehr Personal pro Bett → weniger Qualitätsprobleme. Das gilt für Ärzte und Pflege gleichermaßen. Fortbildungsquote zeigt keinen Zusammenhang — das ist ein Befund, kein Fehler.</w:t>
      </w:r>
    </w:p>
    <w:p>
      <w:pPr>
        <w:spacing w:before="160" w:after="40"/>
        <w:shd w:val="clear" w:color="auto" w:fill="E8F5E9"/>
      </w:pPr>
      <w:r>
        <w:rPr>
          <w:b/>
          <w:color w:val="1F497D"/>
          <w:sz w:val="22"/>
        </w:rPr>
        <w:t xml:space="preserve">  Folie 10</w:t>
      </w:r>
      <w:r>
        <w:rPr>
          <w:color w:val="222222"/>
          <w:sz w:val="22"/>
        </w:rPr>
        <w:t xml:space="preserve">  —  Befund 4: Bundesland &amp; Uni-Status  </w:t>
      </w:r>
    </w:p>
    <w:p>
      <w:pPr>
        <w:pStyle w:val="ListBullet"/>
        <w:spacing w:after="20"/>
      </w:pPr>
      <w:r>
        <w:rPr>
          <w:sz w:val="21"/>
        </w:rPr>
        <w:t>Bundesland: Saarland höchster Anteil (63 %, n=19), Berlin niedrigster (33 %, n=54)</w:t>
      </w:r>
    </w:p>
    <w:p>
      <w:pPr>
        <w:pStyle w:val="ListBullet"/>
        <w:spacing w:after="20"/>
      </w:pPr>
      <w:r>
        <w:rPr>
          <w:sz w:val="21"/>
        </w:rPr>
        <w:t>Uni-Kliniken vs. normale Häuser: kaum Unterschied (47 % vs. 49 %)</w:t>
      </w:r>
    </w:p>
    <w:p>
      <w:pPr>
        <w:pStyle w:val="ListBullet"/>
        <w:spacing w:after="20"/>
      </w:pPr>
      <w:r>
        <w:rPr>
          <w:sz w:val="21"/>
        </w:rPr>
        <w:t>Konzernzugehörigkeit: Chi²-Test nicht signifikant — kein Zusammenhang</w:t>
      </w:r>
    </w:p>
    <w:p>
      <w:pPr>
        <w:spacing w:before="60" w:after="120"/>
        <w:ind w:left="283"/>
        <w:shd w:val="clear" w:color="auto" w:fill="FFF8EC"/>
      </w:pPr>
      <w:r>
        <w:rPr>
          <w:i/>
          <w:color w:val="444444"/>
          <w:sz w:val="20"/>
        </w:rPr>
        <w:t>💬  Regionale Unterschiede sichtbar, aber bei kleinen Bundesländern begrenzt aussagekräftig. Uni-Kliniken ohne erkennbaren Vorteil — wahrscheinlich wegen komplexerer Fälle.</w:t>
      </w:r>
    </w:p>
    <w:p>
      <w:pPr>
        <w:spacing w:before="160" w:after="40"/>
        <w:shd w:val="clear" w:color="auto" w:fill="E8F5E9"/>
      </w:pPr>
      <w:r>
        <w:rPr>
          <w:b/>
          <w:color w:val="1F497D"/>
          <w:sz w:val="22"/>
        </w:rPr>
        <w:t xml:space="preserve">  Folie 11</w:t>
      </w:r>
      <w:r>
        <w:rPr>
          <w:color w:val="222222"/>
          <w:sz w:val="22"/>
        </w:rPr>
        <w:t xml:space="preserve">  —  Gesamtübersicht: Korrelationsmatrix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375E23"/>
          </w:tcPr>
          <w:p>
            <w:r>
              <w:rPr>
                <w:b/>
                <w:color w:val="FFFFFF"/>
                <w:sz w:val="19"/>
              </w:rPr>
              <w:t>Merkmal</w:t>
            </w:r>
          </w:p>
        </w:tc>
        <w:tc>
          <w:tcPr>
            <w:tcW w:type="dxa" w:w="3230"/>
            <w:shd w:val="clear" w:color="auto" w:fill="375E23"/>
          </w:tcPr>
          <w:p>
            <w:r>
              <w:rPr>
                <w:b/>
                <w:color w:val="FFFFFF"/>
                <w:sz w:val="19"/>
              </w:rPr>
              <w:t>r</w:t>
            </w:r>
          </w:p>
        </w:tc>
        <w:tc>
          <w:tcPr>
            <w:tcW w:type="dxa" w:w="3230"/>
            <w:shd w:val="clear" w:color="auto" w:fill="375E23"/>
          </w:tcPr>
          <w:p>
            <w:r>
              <w:rPr>
                <w:b/>
                <w:color w:val="FFFFFF"/>
                <w:sz w:val="19"/>
              </w:rPr>
              <w:t>Fazit</w:t>
            </w:r>
          </w:p>
        </w:tc>
      </w:tr>
      <w:tr>
        <w:tc>
          <w:tcPr>
            <w:tcW w:type="dxa" w:w="3230"/>
            <w:shd w:val="clear" w:color="auto" w:fill="EAF2FB"/>
          </w:tcPr>
          <w:p>
            <w:r>
              <w:rPr>
                <w:sz w:val="19"/>
              </w:rPr>
              <w:t>Anzahl Indikatoren (total_qi)</w:t>
            </w:r>
          </w:p>
        </w:tc>
        <w:tc>
          <w:tcPr>
            <w:tcW w:type="dxa" w:w="3230"/>
            <w:shd w:val="clear" w:color="auto" w:fill="EAF2FB"/>
          </w:tcPr>
          <w:p>
            <w:r>
              <w:rPr>
                <w:sz w:val="19"/>
              </w:rPr>
              <w:t>−0,28</w:t>
            </w:r>
          </w:p>
        </w:tc>
        <w:tc>
          <w:tcPr>
            <w:tcW w:type="dxa" w:w="3230"/>
            <w:shd w:val="clear" w:color="auto" w:fill="EAF2FB"/>
          </w:tcPr>
          <w:p>
            <w:r>
              <w:rPr>
                <w:sz w:val="19"/>
              </w:rPr>
              <w:t>Moderater Zusammenhang</w:t>
            </w:r>
          </w:p>
        </w:tc>
      </w:tr>
      <w:tr>
        <w:tc>
          <w:tcPr>
            <w:tcW w:type="dxa" w:w="3230"/>
            <w:shd w:val="clear" w:color="auto" w:fill="FFFFFF"/>
          </w:tcPr>
          <w:p>
            <w:r>
              <w:rPr>
                <w:sz w:val="19"/>
              </w:rPr>
              <w:t>Ärzte pro Bett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sz w:val="19"/>
              </w:rPr>
              <w:t>−0,14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sz w:val="19"/>
              </w:rPr>
              <w:t>Schwach — stärkster inhaltlicher Prädiktor</w:t>
            </w:r>
          </w:p>
        </w:tc>
      </w:tr>
      <w:tr>
        <w:tc>
          <w:tcPr>
            <w:tcW w:type="dxa" w:w="3230"/>
            <w:shd w:val="clear" w:color="auto" w:fill="EAF2FB"/>
          </w:tcPr>
          <w:p>
            <w:r>
              <w:rPr>
                <w:sz w:val="19"/>
              </w:rPr>
              <w:t>Pflegekräfte pro Bett</w:t>
            </w:r>
          </w:p>
        </w:tc>
        <w:tc>
          <w:tcPr>
            <w:tcW w:type="dxa" w:w="3230"/>
            <w:shd w:val="clear" w:color="auto" w:fill="EAF2FB"/>
          </w:tcPr>
          <w:p>
            <w:r>
              <w:rPr>
                <w:sz w:val="19"/>
              </w:rPr>
              <w:t>−0,14</w:t>
            </w:r>
          </w:p>
        </w:tc>
        <w:tc>
          <w:tcPr>
            <w:tcW w:type="dxa" w:w="3230"/>
            <w:shd w:val="clear" w:color="auto" w:fill="EAF2FB"/>
          </w:tcPr>
          <w:p>
            <w:r>
              <w:rPr>
                <w:sz w:val="19"/>
              </w:rPr>
              <w:t>Ähnlich stark</w:t>
            </w:r>
          </w:p>
        </w:tc>
      </w:tr>
      <w:tr>
        <w:tc>
          <w:tcPr>
            <w:tcW w:type="dxa" w:w="3230"/>
            <w:shd w:val="clear" w:color="auto" w:fill="FFFFFF"/>
          </w:tcPr>
          <w:p>
            <w:r>
              <w:rPr>
                <w:sz w:val="19"/>
              </w:rPr>
              <w:t>Bettenzahl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sz w:val="19"/>
              </w:rPr>
              <w:t>−0,08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sz w:val="19"/>
              </w:rPr>
              <w:t>Sehr schwach</w:t>
            </w:r>
          </w:p>
        </w:tc>
      </w:tr>
      <w:tr>
        <w:tc>
          <w:tcPr>
            <w:tcW w:type="dxa" w:w="3230"/>
            <w:shd w:val="clear" w:color="auto" w:fill="EAF2FB"/>
          </w:tcPr>
          <w:p>
            <w:r>
              <w:rPr>
                <w:sz w:val="19"/>
              </w:rPr>
              <w:t>Fortbildungsquote</w:t>
            </w:r>
          </w:p>
        </w:tc>
        <w:tc>
          <w:tcPr>
            <w:tcW w:type="dxa" w:w="3230"/>
            <w:shd w:val="clear" w:color="auto" w:fill="EAF2FB"/>
          </w:tcPr>
          <w:p>
            <w:r>
              <w:rPr>
                <w:sz w:val="19"/>
              </w:rPr>
              <w:t>~0,01</w:t>
            </w:r>
          </w:p>
        </w:tc>
        <w:tc>
          <w:tcPr>
            <w:tcW w:type="dxa" w:w="3230"/>
            <w:shd w:val="clear" w:color="auto" w:fill="EAF2FB"/>
          </w:tcPr>
          <w:p>
            <w:r>
              <w:rPr>
                <w:sz w:val="19"/>
              </w:rPr>
              <w:t>Kein Zusammenhang</w:t>
            </w:r>
          </w:p>
        </w:tc>
      </w:tr>
      <w:tr>
        <w:tc>
          <w:tcPr>
            <w:tcW w:type="dxa" w:w="3230"/>
            <w:shd w:val="clear" w:color="auto" w:fill="FFFFFF"/>
          </w:tcPr>
          <w:p>
            <w:r>
              <w:rPr>
                <w:sz w:val="19"/>
              </w:rPr>
              <w:t>Konzernzugehörigkeit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sz w:val="19"/>
              </w:rPr>
              <w:t>~0,00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sz w:val="19"/>
              </w:rPr>
              <w:t>Kein Zusammenhang</w:t>
            </w:r>
          </w:p>
        </w:tc>
      </w:tr>
    </w:tbl>
    <w:p/>
    <w:p>
      <w:pPr>
        <w:spacing w:before="60" w:after="120"/>
        <w:ind w:left="283"/>
        <w:shd w:val="clear" w:color="auto" w:fill="FFF8EC"/>
      </w:pPr>
      <w:r>
        <w:rPr>
          <w:i/>
          <w:color w:val="444444"/>
          <w:sz w:val="20"/>
        </w:rPr>
        <w:t>💬  Alle Zusammenhänge sind schwach. Das zentrale Ergebnis: Strukturmerkmale allein erklären Qualitätsunterschiede nur begrenzt. Patientenstruktur und Dokumentationsverhalten spielen wahrscheinlich eine größere Rolle.</w:t>
      </w:r>
    </w:p>
    <w:p>
      <w:r>
        <w:br w:type="page"/>
      </w:r>
    </w:p>
    <w:p>
      <w:pPr>
        <w:spacing w:before="200" w:after="80"/>
        <w:shd w:val="clear" w:color="auto" w:fill="BF5A00"/>
      </w:pPr>
      <w:r>
        <w:rPr>
          <w:b/>
          <w:color w:val="FFFFFF"/>
          <w:sz w:val="24"/>
        </w:rPr>
        <w:t xml:space="preserve">  BLOCK 4 — Machine Learning &amp; Dashboard  ·  Folien 12–13  ·  ca. 6 Min  </w:t>
      </w:r>
    </w:p>
    <w:p>
      <w:pPr>
        <w:spacing w:before="160" w:after="40"/>
        <w:shd w:val="clear" w:color="auto" w:fill="FFF3E0"/>
      </w:pPr>
      <w:r>
        <w:rPr>
          <w:b/>
          <w:color w:val="1F497D"/>
          <w:sz w:val="22"/>
        </w:rPr>
        <w:t xml:space="preserve">  Folie 12</w:t>
      </w:r>
      <w:r>
        <w:rPr>
          <w:color w:val="222222"/>
          <w:sz w:val="22"/>
        </w:rPr>
        <w:t xml:space="preserve">  —  Decision Tree: Modell &amp; Ergebnis  </w:t>
      </w:r>
    </w:p>
    <w:p>
      <w:pPr>
        <w:pStyle w:val="ListBullet"/>
        <w:spacing w:after="20"/>
      </w:pPr>
      <w:r>
        <w:rPr>
          <w:sz w:val="21"/>
        </w:rPr>
        <w:t>Accuracy: 63,6 %  (Basislinie reines Raten: 50,7 %)</w:t>
      </w:r>
    </w:p>
    <w:p>
      <w:pPr>
        <w:pStyle w:val="ListBullet"/>
        <w:spacing w:after="20"/>
      </w:pPr>
      <w:r>
        <w:rPr>
          <w:sz w:val="21"/>
        </w:rPr>
        <w:t>Feature Importance: Ärzte/Bett 53,6 % · Pflege/Bett 23,8 % · Bettenzahl 22,6 %</w:t>
      </w:r>
    </w:p>
    <w:p>
      <w:pPr>
        <w:pStyle w:val="ListBullet"/>
        <w:spacing w:after="20"/>
      </w:pPr>
      <w:r>
        <w:rPr>
          <w:sz w:val="21"/>
        </w:rPr>
        <w:t>R² = 0,033 — Strukturmerkmale erklären nur 3,3 % der Varianz</w:t>
      </w:r>
    </w:p>
    <w:p>
      <w:pPr>
        <w:pStyle w:val="ListBullet"/>
        <w:spacing w:after="20"/>
      </w:pPr>
      <w:r>
        <w:rPr>
          <w:sz w:val="21"/>
        </w:rPr>
        <w:t>Baumdiagramm zeigen (max_depth=3, direkt lesbar)</w:t>
      </w:r>
    </w:p>
    <w:p>
      <w:pPr>
        <w:spacing w:before="60" w:after="120"/>
        <w:ind w:left="283"/>
        <w:shd w:val="clear" w:color="auto" w:fill="FFF8EC"/>
      </w:pPr>
      <w:r>
        <w:rPr>
          <w:i/>
          <w:color w:val="444444"/>
          <w:sz w:val="20"/>
        </w:rPr>
        <w:t>💬  Das Modell ist bewusst einfach und erklärbar. Der Baum sagt klar: Ärzte pro Bett ist das wichtigste Merkmal. 63,6 % sind besser als reines Raten — aber kein starkes Modell. Das Modell zeigt, was mit den verfügbaren Daten möglich ist.</w:t>
      </w:r>
    </w:p>
    <w:p>
      <w:pPr>
        <w:spacing w:before="160" w:after="40"/>
        <w:shd w:val="clear" w:color="auto" w:fill="FFF3E0"/>
      </w:pPr>
      <w:r>
        <w:rPr>
          <w:b/>
          <w:color w:val="1F497D"/>
          <w:sz w:val="22"/>
        </w:rPr>
        <w:t xml:space="preserve">  Folie 13</w:t>
      </w:r>
      <w:r>
        <w:rPr>
          <w:color w:val="222222"/>
          <w:sz w:val="22"/>
        </w:rPr>
        <w:t xml:space="preserve">  —  Dashboard: Live-Demo  </w:t>
      </w:r>
    </w:p>
    <w:p>
      <w:pPr>
        <w:pStyle w:val="ListBullet"/>
        <w:spacing w:after="20"/>
      </w:pPr>
      <w:r>
        <w:rPr>
          <w:b/>
          <w:color w:val="1F497D"/>
          <w:sz w:val="21"/>
        </w:rPr>
        <w:t xml:space="preserve">Seite 1:  </w:t>
      </w:r>
      <w:r>
        <w:rPr>
          <w:sz w:val="21"/>
        </w:rPr>
        <w:t>Gesamtüberblick</w:t>
      </w:r>
    </w:p>
    <w:p>
      <w:pPr>
        <w:pStyle w:val="ListBullet"/>
        <w:spacing w:after="20"/>
      </w:pPr>
      <w:r>
        <w:rPr>
          <w:b/>
          <w:color w:val="1F497D"/>
          <w:sz w:val="21"/>
        </w:rPr>
        <w:t xml:space="preserve">Seite 2  Einflussfaktoren:  </w:t>
      </w:r>
      <w:r>
        <w:rPr>
          <w:sz w:val="21"/>
        </w:rPr>
        <w:t>4 Tabs — Träger, Personal, Streudiagramm, Pivot-Tabelle</w:t>
      </w:r>
    </w:p>
    <w:p>
      <w:pPr>
        <w:pStyle w:val="ListBullet"/>
        <w:spacing w:after="20"/>
      </w:pPr>
      <w:r>
        <w:rPr>
          <w:b/>
          <w:color w:val="1F497D"/>
          <w:sz w:val="21"/>
        </w:rPr>
        <w:t xml:space="preserve">Seite 3  Häuser vergleichen:  </w:t>
      </w:r>
      <w:r>
        <w:rPr>
          <w:sz w:val="21"/>
        </w:rPr>
        <w:t>Ähnliche Häuser finden + Einzelhaus-Steckbrief</w:t>
      </w:r>
    </w:p>
    <w:p>
      <w:pPr>
        <w:pStyle w:val="ListBullet"/>
        <w:spacing w:after="20"/>
      </w:pPr>
      <w:r>
        <w:rPr>
          <w:b/>
          <w:color w:val="1F497D"/>
          <w:sz w:val="21"/>
        </w:rPr>
        <w:t xml:space="preserve">Seite 4  Qualitäts-Vorhersage:  </w:t>
      </w:r>
      <w:r>
        <w:rPr>
          <w:sz w:val="21"/>
        </w:rPr>
        <w:t>Merkmale eingeben → Modell-Einschätzung</w:t>
      </w:r>
    </w:p>
    <w:p>
      <w:pPr>
        <w:spacing w:after="40"/>
        <w:ind w:left="0"/>
      </w:pPr>
      <w:r>
        <w:rPr>
          <w:b w:val="0"/>
          <w:i/>
          <w:color w:val="BF5A00"/>
          <w:sz w:val="20"/>
        </w:rPr>
        <w:t>→ Live-Demo: ca. 3 Min</w:t>
      </w:r>
    </w:p>
    <w:p>
      <w:pPr>
        <w:spacing w:before="60" w:after="120"/>
        <w:ind w:left="283"/>
        <w:shd w:val="clear" w:color="auto" w:fill="FFF8EC"/>
      </w:pPr>
      <w:r>
        <w:rPr>
          <w:i/>
          <w:color w:val="444444"/>
          <w:sz w:val="20"/>
        </w:rPr>
        <w:t>💬  Wichtigste Seite für unsere Fragestellung: Einflussfaktoren. Und die Qualitäts-Vorhersage zeigt, wie das Modell zu einer Entscheidung kommt.</w:t>
      </w:r>
    </w:p>
    <w:p>
      <w:r>
        <w:br w:type="page"/>
      </w:r>
    </w:p>
    <w:p>
      <w:pPr>
        <w:spacing w:before="200" w:after="80"/>
        <w:shd w:val="clear" w:color="auto" w:fill="1F497D"/>
      </w:pPr>
      <w:r>
        <w:rPr>
          <w:b/>
          <w:color w:val="FFFFFF"/>
          <w:sz w:val="24"/>
        </w:rPr>
        <w:t xml:space="preserve">  BLOCK 5 — Fazit &amp; Grenzen  ·  Folien 14–15  ·  ca. 4 Min  </w:t>
      </w:r>
    </w:p>
    <w:p>
      <w:pPr>
        <w:spacing w:before="160" w:after="40"/>
        <w:shd w:val="clear" w:color="auto" w:fill="D6E4F0"/>
      </w:pPr>
      <w:r>
        <w:rPr>
          <w:b/>
          <w:color w:val="1F497D"/>
          <w:sz w:val="22"/>
        </w:rPr>
        <w:t xml:space="preserve">  Folie 14</w:t>
      </w:r>
      <w:r>
        <w:rPr>
          <w:color w:val="222222"/>
          <w:sz w:val="22"/>
        </w:rPr>
        <w:t xml:space="preserve">  —  Gesamteinschätzung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F497D"/>
          </w:tcPr>
          <w:p>
            <w:r>
              <w:rPr>
                <w:b/>
                <w:color w:val="FFFFFF"/>
                <w:sz w:val="19"/>
              </w:rPr>
              <w:t>Merkmal</w:t>
            </w:r>
          </w:p>
        </w:tc>
        <w:tc>
          <w:tcPr>
            <w:tcW w:type="dxa" w:w="4844"/>
            <w:shd w:val="clear" w:color="auto" w:fill="1F497D"/>
          </w:tcPr>
          <w:p>
            <w:r>
              <w:rPr>
                <w:b/>
                <w:color w:val="FFFFFF"/>
                <w:sz w:val="19"/>
              </w:rPr>
              <w:t>Zusammenhang?</w:t>
            </w:r>
          </w:p>
        </w:tc>
      </w:tr>
      <w:tr>
        <w:tc>
          <w:tcPr>
            <w:tcW w:type="dxa" w:w="4844"/>
            <w:shd w:val="clear" w:color="auto" w:fill="EAF2FB"/>
          </w:tcPr>
          <w:p>
            <w:r>
              <w:rPr>
                <w:sz w:val="19"/>
              </w:rPr>
              <w:t>Ärzte / Pflegekräfte pro Bett</w:t>
            </w:r>
          </w:p>
        </w:tc>
        <w:tc>
          <w:tcPr>
            <w:tcW w:type="dxa" w:w="4844"/>
            <w:shd w:val="clear" w:color="auto" w:fill="EAF2FB"/>
          </w:tcPr>
          <w:p>
            <w:r>
              <w:rPr>
                <w:sz w:val="19"/>
              </w:rPr>
              <w:t>🟢 Schwach — stärkster Prädiktor</w:t>
            </w:r>
          </w:p>
        </w:tc>
      </w:tr>
      <w:tr>
        <w:tc>
          <w:tcPr>
            <w:tcW w:type="dxa" w:w="4844"/>
            <w:shd w:val="clear" w:color="auto" w:fill="FFFFFF"/>
          </w:tcPr>
          <w:p>
            <w:r>
              <w:rPr>
                <w:sz w:val="19"/>
              </w:rPr>
              <w:t>Trägerschaft</w:t>
            </w:r>
          </w:p>
        </w:tc>
        <w:tc>
          <w:tcPr>
            <w:tcW w:type="dxa" w:w="4844"/>
            <w:shd w:val="clear" w:color="auto" w:fill="FFFFFF"/>
          </w:tcPr>
          <w:p>
            <w:r>
              <w:rPr>
                <w:sz w:val="19"/>
              </w:rPr>
              <w:t>🟡 Sichtbar — Störfaktor Größe beachten</w:t>
            </w:r>
          </w:p>
        </w:tc>
      </w:tr>
      <w:tr>
        <w:tc>
          <w:tcPr>
            <w:tcW w:type="dxa" w:w="4844"/>
            <w:shd w:val="clear" w:color="auto" w:fill="EAF2FB"/>
          </w:tcPr>
          <w:p>
            <w:r>
              <w:rPr>
                <w:sz w:val="19"/>
              </w:rPr>
              <w:t>Bundesland</w:t>
            </w:r>
          </w:p>
        </w:tc>
        <w:tc>
          <w:tcPr>
            <w:tcW w:type="dxa" w:w="4844"/>
            <w:shd w:val="clear" w:color="auto" w:fill="EAF2FB"/>
          </w:tcPr>
          <w:p>
            <w:r>
              <w:rPr>
                <w:sz w:val="19"/>
              </w:rPr>
              <w:t>🟡 Sichtbar — kleine Stichproben vorsichtig interpretieren</w:t>
            </w:r>
          </w:p>
        </w:tc>
      </w:tr>
      <w:tr>
        <w:tc>
          <w:tcPr>
            <w:tcW w:type="dxa" w:w="4844"/>
            <w:shd w:val="clear" w:color="auto" w:fill="FFFFFF"/>
          </w:tcPr>
          <w:p>
            <w:r>
              <w:rPr>
                <w:sz w:val="19"/>
              </w:rPr>
              <w:t>Bettenzahl</w:t>
            </w:r>
          </w:p>
        </w:tc>
        <w:tc>
          <w:tcPr>
            <w:tcW w:type="dxa" w:w="4844"/>
            <w:shd w:val="clear" w:color="auto" w:fill="FFFFFF"/>
          </w:tcPr>
          <w:p>
            <w:r>
              <w:rPr>
                <w:sz w:val="19"/>
              </w:rPr>
              <w:t>🟡 Sehr schwach</w:t>
            </w:r>
          </w:p>
        </w:tc>
      </w:tr>
      <w:tr>
        <w:tc>
          <w:tcPr>
            <w:tcW w:type="dxa" w:w="4844"/>
            <w:shd w:val="clear" w:color="auto" w:fill="EAF2FB"/>
          </w:tcPr>
          <w:p>
            <w:r>
              <w:rPr>
                <w:sz w:val="19"/>
              </w:rPr>
              <w:t>Uni-Status / Konzern</w:t>
            </w:r>
          </w:p>
        </w:tc>
        <w:tc>
          <w:tcPr>
            <w:tcW w:type="dxa" w:w="4844"/>
            <w:shd w:val="clear" w:color="auto" w:fill="EAF2FB"/>
          </w:tcPr>
          <w:p>
            <w:r>
              <w:rPr>
                <w:sz w:val="19"/>
              </w:rPr>
              <w:t>🔴 Kein Zusammenhang</w:t>
            </w:r>
          </w:p>
        </w:tc>
      </w:tr>
      <w:tr>
        <w:tc>
          <w:tcPr>
            <w:tcW w:type="dxa" w:w="4844"/>
            <w:shd w:val="clear" w:color="auto" w:fill="FFFFFF"/>
          </w:tcPr>
          <w:p>
            <w:r>
              <w:rPr>
                <w:sz w:val="19"/>
              </w:rPr>
              <w:t>Fortbildungsquote</w:t>
            </w:r>
          </w:p>
        </w:tc>
        <w:tc>
          <w:tcPr>
            <w:tcW w:type="dxa" w:w="4844"/>
            <w:shd w:val="clear" w:color="auto" w:fill="FFFFFF"/>
          </w:tcPr>
          <w:p>
            <w:r>
              <w:rPr>
                <w:sz w:val="19"/>
              </w:rPr>
              <w:t>🔴 Kein Zusammenhang</w:t>
            </w:r>
          </w:p>
        </w:tc>
      </w:tr>
    </w:tbl>
    <w:p/>
    <w:p>
      <w:pPr>
        <w:spacing w:before="60" w:after="120"/>
        <w:ind w:left="283"/>
        <w:shd w:val="clear" w:color="auto" w:fill="FFF8EC"/>
      </w:pPr>
      <w:r>
        <w:rPr>
          <w:i/>
          <w:color w:val="444444"/>
          <w:sz w:val="20"/>
        </w:rPr>
        <w:t>💬  Wir finden keine starken, eindeutigen Zusammenhänge. Strukturmerkmale allein reichen nicht aus. Das ist ein valides Ergebnis.</w:t>
      </w:r>
    </w:p>
    <w:p>
      <w:pPr>
        <w:spacing w:before="160" w:after="40"/>
        <w:shd w:val="clear" w:color="auto" w:fill="D6E4F0"/>
      </w:pPr>
      <w:r>
        <w:rPr>
          <w:b/>
          <w:color w:val="1F497D"/>
          <w:sz w:val="22"/>
        </w:rPr>
        <w:t xml:space="preserve">  Folie 15</w:t>
      </w:r>
      <w:r>
        <w:rPr>
          <w:color w:val="222222"/>
          <w:sz w:val="22"/>
        </w:rPr>
        <w:t xml:space="preserve">  —  Grenzen &amp; Ausblick  </w:t>
      </w:r>
    </w:p>
    <w:p>
      <w:pPr>
        <w:spacing w:after="40"/>
        <w:ind w:left="0"/>
      </w:pPr>
      <w:r>
        <w:rPr>
          <w:b/>
          <w:i w:val="0"/>
          <w:color w:val="1F497D"/>
          <w:sz w:val="20"/>
        </w:rPr>
        <w:t>Grenzen dieser Analyse:</w:t>
      </w:r>
    </w:p>
    <w:p>
      <w:pPr>
        <w:pStyle w:val="ListBullet"/>
        <w:spacing w:after="20"/>
      </w:pPr>
      <w:r>
        <w:rPr>
          <w:sz w:val="21"/>
        </w:rPr>
        <w:t>Patientenmix: Häuser mit schwierigeren Patienten fallen öfter auffällig — kein Qualitätsproblem</w:t>
      </w:r>
    </w:p>
    <w:p>
      <w:pPr>
        <w:pStyle w:val="ListBullet"/>
        <w:spacing w:after="20"/>
      </w:pPr>
      <w:r>
        <w:rPr>
          <w:sz w:val="21"/>
        </w:rPr>
        <w:t>Dokumentationsqualität: Manche Auffälligkeiten sind Dokumentationsfehler</w:t>
      </w:r>
    </w:p>
    <w:p>
      <w:pPr>
        <w:pStyle w:val="ListBullet"/>
        <w:spacing w:after="20"/>
      </w:pPr>
      <w:r>
        <w:rPr>
          <w:sz w:val="21"/>
        </w:rPr>
        <w:t>Kein Kausalitätsnachweis: Korrelation ≠ Kausalität</w:t>
      </w:r>
    </w:p>
    <w:p/>
    <w:p>
      <w:pPr>
        <w:spacing w:after="40"/>
        <w:ind w:left="0"/>
      </w:pPr>
      <w:r>
        <w:rPr>
          <w:b/>
          <w:i w:val="0"/>
          <w:color w:val="375E23"/>
          <w:sz w:val="20"/>
        </w:rPr>
        <w:t>Mögliche nächste Schritte:</w:t>
      </w:r>
    </w:p>
    <w:p>
      <w:pPr>
        <w:pStyle w:val="ListBullet"/>
        <w:spacing w:after="20"/>
      </w:pPr>
      <w:r>
        <w:rPr>
          <w:sz w:val="21"/>
        </w:rPr>
        <w:t>QS.Leistungsbereich.csv (Dokumentationsrate) als weiteres Merkmal einbinden</w:t>
      </w:r>
    </w:p>
    <w:p>
      <w:pPr>
        <w:pStyle w:val="ListBullet"/>
        <w:spacing w:after="20"/>
      </w:pPr>
      <w:r>
        <w:rPr>
          <w:sz w:val="21"/>
        </w:rPr>
        <w:t>Sentiment-Analyse der Freitext-Kommentare der Krankenhäuser</w:t>
      </w:r>
    </w:p>
    <w:p>
      <w:pPr>
        <w:pStyle w:val="ListBullet"/>
        <w:spacing w:after="20"/>
      </w:pPr>
      <w:r>
        <w:rPr>
          <w:sz w:val="21"/>
        </w:rPr>
        <w:t>Mehrstufige Regression mit Patientenstruktur als Kontrollvariable</w:t>
      </w:r>
    </w:p>
    <w:p>
      <w:pPr>
        <w:spacing w:before="60" w:after="120"/>
        <w:ind w:left="283"/>
        <w:shd w:val="clear" w:color="auto" w:fill="FFF8EC"/>
      </w:pPr>
      <w:r>
        <w:rPr>
          <w:i/>
          <w:color w:val="444444"/>
          <w:sz w:val="20"/>
        </w:rPr>
        <w:t>💬  Jede Analyse hat Grenzen. Das Dashboard und alle Notebooks sind reproduzierbar und können direkt erweitert werden. → Fragen?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