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8"/>
        </w:rPr>
        <w:t>Qualitäts-Muster-Finder</w:t>
      </w:r>
    </w:p>
    <w:p/>
    <w:p>
      <w:pPr>
        <w:jc w:val="center"/>
      </w:pPr>
      <w:r>
        <w:rPr>
          <w:sz w:val="28"/>
        </w:rPr>
        <w:t>Projektdokumentation — Stand der Datenaufbereitung</w:t>
      </w:r>
    </w:p>
    <w:p/>
    <w:p>
      <w:pPr>
        <w:jc w:val="center"/>
      </w:pPr>
      <w:r>
        <w:rPr>
          <w:sz w:val="22"/>
        </w:rPr>
        <w:t>Erstellt: 29.07.2026    |    Datenbasis: Qualitätsberichte deutscher Krankenhäuser 2023</w:t>
      </w:r>
    </w:p>
    <w:p>
      <w:r>
        <w:br w:type="page"/>
      </w:r>
    </w:p>
    <w:p>
      <w:pPr>
        <w:pStyle w:val="Heading1"/>
      </w:pPr>
      <w:r>
        <w:t>Inhaltsverzeichnis</w:t>
      </w:r>
    </w:p>
    <w:p>
      <w:pPr>
        <w:ind w:left="0"/>
      </w:pPr>
      <w:r>
        <w:rPr>
          <w:b/>
          <w:sz w:val="22"/>
        </w:rPr>
        <w:t>1  Projektübersicht</w:t>
      </w:r>
    </w:p>
    <w:p>
      <w:pPr>
        <w:ind w:left="0"/>
      </w:pPr>
      <w:r>
        <w:rPr>
          <w:sz w:val="22"/>
        </w:rPr>
        <w:t>1.1  Fragestellung</w:t>
      </w:r>
    </w:p>
    <w:p>
      <w:pPr>
        <w:ind w:left="0"/>
      </w:pPr>
      <w:r>
        <w:rPr>
          <w:sz w:val="22"/>
        </w:rPr>
        <w:t>1.2  Projektziel &amp; Bausteine</w:t>
      </w:r>
    </w:p>
    <w:p>
      <w:pPr>
        <w:ind w:left="0"/>
      </w:pPr>
      <w:r>
        <w:rPr>
          <w:b/>
          <w:sz w:val="22"/>
        </w:rPr>
        <w:t>2  Datensatz</w:t>
      </w:r>
    </w:p>
    <w:p>
      <w:pPr>
        <w:ind w:left="0"/>
      </w:pPr>
      <w:r>
        <w:rPr>
          <w:sz w:val="22"/>
        </w:rPr>
        <w:t>2.1  Überblick</w:t>
      </w:r>
    </w:p>
    <w:p>
      <w:pPr>
        <w:ind w:left="283"/>
      </w:pPr>
      <w:r>
        <w:rPr>
          <w:sz w:val="22"/>
        </w:rPr>
        <w:t>2.2  Schlüssel-ID: SO.QBID</w:t>
      </w:r>
    </w:p>
    <w:p>
      <w:pPr>
        <w:ind w:left="0"/>
      </w:pPr>
      <w:r>
        <w:rPr>
          <w:sz w:val="22"/>
        </w:rPr>
        <w:t>2.3  Relevante Tabellen</w:t>
      </w:r>
    </w:p>
    <w:p>
      <w:pPr>
        <w:ind w:left="0"/>
      </w:pPr>
      <w:r>
        <w:rPr>
          <w:sz w:val="22"/>
        </w:rPr>
        <w:t>2.4  Nicht relevante Tabellen</w:t>
      </w:r>
    </w:p>
    <w:p>
      <w:pPr>
        <w:ind w:left="0"/>
      </w:pPr>
      <w:r>
        <w:rPr>
          <w:b/>
          <w:sz w:val="22"/>
        </w:rPr>
        <w:t>3  Datenaufbereitung</w:t>
      </w:r>
    </w:p>
    <w:p>
      <w:pPr>
        <w:ind w:left="0"/>
      </w:pPr>
      <w:r>
        <w:rPr>
          <w:sz w:val="22"/>
        </w:rPr>
        <w:t>3.1  Vorgehen &amp; Kriterien</w:t>
      </w:r>
    </w:p>
    <w:p>
      <w:pPr>
        <w:ind w:left="0"/>
      </w:pPr>
      <w:r>
        <w:rPr>
          <w:sz w:val="22"/>
        </w:rPr>
        <w:t>3.2  Ziel-Variable</w:t>
      </w:r>
    </w:p>
    <w:p>
      <w:pPr>
        <w:ind w:left="0"/>
      </w:pPr>
      <w:r>
        <w:rPr>
          <w:sz w:val="22"/>
        </w:rPr>
        <w:t>3.3  Merkmale (Features)</w:t>
      </w:r>
    </w:p>
    <w:p>
      <w:pPr>
        <w:ind w:left="0"/>
      </w:pPr>
      <w:r>
        <w:rPr>
          <w:b/>
          <w:sz w:val="22"/>
        </w:rPr>
        <w:t>4  Ergebnisse</w:t>
      </w:r>
    </w:p>
    <w:p>
      <w:pPr>
        <w:ind w:left="0"/>
      </w:pPr>
      <w:r>
        <w:rPr>
          <w:sz w:val="22"/>
        </w:rPr>
        <w:t>4.1  Ziel-Variable — Statistiken</w:t>
      </w:r>
    </w:p>
    <w:p>
      <w:pPr>
        <w:ind w:left="0"/>
      </w:pPr>
      <w:r>
        <w:rPr>
          <w:sz w:val="22"/>
        </w:rPr>
        <w:t>4.2  Analysetabelle</w:t>
      </w:r>
    </w:p>
    <w:p>
      <w:pPr>
        <w:ind w:left="0"/>
      </w:pPr>
      <w:r>
        <w:rPr>
          <w:sz w:val="22"/>
        </w:rPr>
        <w:t>4.3  Wozu wird die Analysetabelle genutzt?</w:t>
      </w:r>
    </w:p>
    <w:p>
      <w:pPr>
        <w:ind w:left="0"/>
      </w:pPr>
      <w:r>
        <w:rPr>
          <w:sz w:val="22"/>
        </w:rPr>
        <w:t>4.4  Fehlende Werte</w:t>
      </w:r>
    </w:p>
    <w:p>
      <w:pPr>
        <w:ind w:left="0"/>
      </w:pPr>
      <w:r>
        <w:rPr>
          <w:b/>
          <w:sz w:val="22"/>
        </w:rPr>
        <w:t>5  Deskriptive Analyse — Befunde</w:t>
      </w:r>
    </w:p>
    <w:p>
      <w:pPr>
        <w:ind w:left="0"/>
      </w:pPr>
      <w:r>
        <w:rPr>
          <w:sz w:val="22"/>
        </w:rPr>
        <w:t>5.1  Übersicht der Befunde</w:t>
      </w:r>
    </w:p>
    <w:p>
      <w:pPr>
        <w:ind w:left="0"/>
      </w:pPr>
      <w:r>
        <w:rPr>
          <w:sz w:val="22"/>
        </w:rPr>
        <w:t>5.2  Gesamteinschätzung</w:t>
      </w:r>
    </w:p>
    <w:p>
      <w:pPr>
        <w:ind w:left="0"/>
      </w:pPr>
      <w:r>
        <w:rPr>
          <w:b/>
          <w:sz w:val="22"/>
        </w:rPr>
        <w:t>6  Offene Punkte &amp; Nächste Schritte</w:t>
      </w:r>
    </w:p>
    <w:p>
      <w:r>
        <w:br w:type="page"/>
      </w:r>
    </w:p>
    <w:p>
      <w:pPr>
        <w:pStyle w:val="Heading1"/>
      </w:pPr>
      <w:r>
        <w:t>1  Projektübersicht</w:t>
      </w:r>
    </w:p>
    <w:p>
      <w:pPr>
        <w:pStyle w:val="Heading2"/>
      </w:pPr>
      <w:r>
        <w:t>1.1  Fragestellung</w:t>
      </w:r>
    </w:p>
    <w:p>
      <w:r>
        <w:t>Welche Krankenhausmerkmale hängen damit zusammen, dass ein Haus überdurchschnittlich viele Qualitätsprobleme aufweist?</w:t>
      </w:r>
    </w:p>
    <w:p>
      <w:r>
        <w:t>Grundlage sind die jährlichen Qualitätsberichte aller deutschen Krankenhäuser. Jedes Haus berichtet über ~150 Qualitätsindikatoren. Bei manchen Indikatoren werden Häuser als 'rechnerisch auffällig' bewertet. Ziel ist es, strukturelle Merkmale (Größe, Personal, Träger, Region) zu identifizieren, die mit einer erhöhten Auffälligkeitsquote zusammenhängen.</w:t>
      </w:r>
    </w:p>
    <w:p>
      <w:r>
        <w:t>Wichtiger Hinweis: Kein Zusammenhang ist ein valides Ergebnis.</w:t>
      </w:r>
    </w:p>
    <w:p>
      <w:r>
        <w:t>Hintergrund: Die Qualitätsindikatoren markieren Häuser als 'rechnerisch auffällig', wenn ihr Wert außerhalb eines Referenzbereichs liegt. Das ist aber nur ein statistisches Signal — kein Qualitätsurteil. Ob wirklich ein Problem dahintersteckt, klärt ein separates Prüfverfahren (Strukturierter Dialog). Außerdem gibt es viele Einflussfaktoren (Patientenmix, Größe, Spezialisierung), die wir nicht alle kontrollieren können. Wenn die Analyse also keinen klaren Zusammenhang zwischen Strukturmerkmalen und Auffälligkeit zeigt, ist das ein ehrliches und wissenschaftlich korrektes Ergebnis — kein Scheitern. Quelle: Aufgabenstellung/Text_Presentation.docx, Folie 7.</w:t>
      </w:r>
    </w:p>
    <w:p>
      <w:pPr>
        <w:pStyle w:val="Heading2"/>
      </w:pPr>
      <w:r>
        <w:t>1.2  Projektziel &amp; Bausteine</w:t>
      </w:r>
    </w:p>
    <w:p>
      <w:r>
        <w:t>Das Projekt ist in fünf Bausteine gegliedert:</w:t>
      </w:r>
    </w:p>
    <w:tbl>
      <w:tblPr>
        <w:tblStyle w:val="TableGrid"/>
        <w:tblW w:type="auto" w:w="0"/>
        <w:tblLook w:firstColumn="1" w:firstRow="1" w:lastColumn="0" w:lastRow="0" w:noHBand="0" w:noVBand="1" w:val="04A0"/>
      </w:tblPr>
      <w:tblGrid>
        <w:gridCol w:w="3041"/>
        <w:gridCol w:w="3041"/>
        <w:gridCol w:w="3041"/>
      </w:tblGrid>
      <w:tr>
        <w:tc>
          <w:tcPr>
            <w:tcW w:type="dxa" w:w="1984"/>
            <w:shd w:fill="4472C4" w:color="FFFFFF" w:val="clear"/>
          </w:tcPr>
          <w:p>
            <w:r>
              <w:rPr>
                <w:b/>
                <w:color w:val="FFFFFF"/>
                <w:sz w:val="20"/>
              </w:rPr>
              <w:t>Baustein</w:t>
            </w:r>
          </w:p>
        </w:tc>
        <w:tc>
          <w:tcPr>
            <w:tcW w:type="dxa" w:w="4819"/>
            <w:shd w:fill="4472C4" w:color="FFFFFF" w:val="clear"/>
          </w:tcPr>
          <w:p>
            <w:r>
              <w:rPr>
                <w:b/>
                <w:color w:val="FFFFFF"/>
                <w:sz w:val="20"/>
              </w:rPr>
              <w:t>Beschreibung</w:t>
            </w:r>
          </w:p>
        </w:tc>
        <w:tc>
          <w:tcPr>
            <w:tcW w:type="dxa" w:w="1701"/>
            <w:shd w:fill="4472C4" w:color="FFFFFF" w:val="clear"/>
          </w:tcPr>
          <w:p>
            <w:r>
              <w:rPr>
                <w:b/>
                <w:color w:val="FFFFFF"/>
                <w:sz w:val="20"/>
              </w:rPr>
              <w:t>Status</w:t>
            </w:r>
          </w:p>
        </w:tc>
      </w:tr>
      <w:tr>
        <w:tc>
          <w:tcPr>
            <w:tcW w:type="dxa" w:w="1984"/>
          </w:tcPr>
          <w:p>
            <w:r>
              <w:rPr>
                <w:sz w:val="20"/>
              </w:rPr>
              <w:t>Baustein 1</w:t>
            </w:r>
          </w:p>
        </w:tc>
        <w:tc>
          <w:tcPr>
            <w:tcW w:type="dxa" w:w="4819"/>
          </w:tcPr>
          <w:p>
            <w:r>
              <w:rPr>
                <w:sz w:val="20"/>
              </w:rPr>
              <w:t>Daten vorbereiten</w:t>
            </w:r>
          </w:p>
        </w:tc>
        <w:tc>
          <w:tcPr>
            <w:tcW w:type="dxa" w:w="1701"/>
          </w:tcPr>
          <w:p>
            <w:r>
              <w:rPr>
                <w:sz w:val="20"/>
              </w:rPr>
              <w:t>✅ Abgeschlossen</w:t>
            </w:r>
          </w:p>
        </w:tc>
      </w:tr>
      <w:tr>
        <w:tc>
          <w:tcPr>
            <w:tcW w:type="dxa" w:w="1984"/>
          </w:tcPr>
          <w:p>
            <w:r>
              <w:rPr>
                <w:sz w:val="20"/>
              </w:rPr>
              <w:t>Baustein 2</w:t>
            </w:r>
          </w:p>
        </w:tc>
        <w:tc>
          <w:tcPr>
            <w:tcW w:type="dxa" w:w="4819"/>
          </w:tcPr>
          <w:p>
            <w:r>
              <w:rPr>
                <w:sz w:val="20"/>
              </w:rPr>
              <w:t>Deskriptive Analyse</w:t>
            </w:r>
          </w:p>
        </w:tc>
        <w:tc>
          <w:tcPr>
            <w:tcW w:type="dxa" w:w="1701"/>
          </w:tcPr>
          <w:p>
            <w:r>
              <w:rPr>
                <w:sz w:val="20"/>
              </w:rPr>
              <w:t>✅ Abgeschlossen</w:t>
            </w:r>
          </w:p>
        </w:tc>
      </w:tr>
      <w:tr>
        <w:tc>
          <w:tcPr>
            <w:tcW w:type="dxa" w:w="1984"/>
          </w:tcPr>
          <w:p>
            <w:r>
              <w:rPr>
                <w:sz w:val="20"/>
              </w:rPr>
              <w:t>Baustein 3</w:t>
            </w:r>
          </w:p>
        </w:tc>
        <w:tc>
          <w:tcPr>
            <w:tcW w:type="dxa" w:w="4819"/>
          </w:tcPr>
          <w:p>
            <w:r>
              <w:rPr>
                <w:sz w:val="20"/>
              </w:rPr>
              <w:t>Streamlit-Dashboard (3 Seiten)</w:t>
            </w:r>
          </w:p>
        </w:tc>
        <w:tc>
          <w:tcPr>
            <w:tcW w:type="dxa" w:w="1701"/>
          </w:tcPr>
          <w:p>
            <w:r>
              <w:rPr>
                <w:sz w:val="20"/>
              </w:rPr>
              <w:t>⬜ Offen</w:t>
            </w:r>
          </w:p>
        </w:tc>
      </w:tr>
      <w:tr>
        <w:tc>
          <w:tcPr>
            <w:tcW w:type="dxa" w:w="1984"/>
          </w:tcPr>
          <w:p>
            <w:r>
              <w:rPr>
                <w:sz w:val="20"/>
              </w:rPr>
              <w:t>Baustein 4</w:t>
            </w:r>
          </w:p>
        </w:tc>
        <w:tc>
          <w:tcPr>
            <w:tcW w:type="dxa" w:w="4819"/>
          </w:tcPr>
          <w:p>
            <w:r>
              <w:rPr>
                <w:sz w:val="20"/>
              </w:rPr>
              <w:t>Entscheidungsbaum (Bonus)</w:t>
            </w:r>
          </w:p>
        </w:tc>
        <w:tc>
          <w:tcPr>
            <w:tcW w:type="dxa" w:w="1701"/>
          </w:tcPr>
          <w:p>
            <w:r>
              <w:rPr>
                <w:sz w:val="20"/>
              </w:rPr>
              <w:t>⬜ Offen</w:t>
            </w:r>
          </w:p>
        </w:tc>
      </w:tr>
      <w:tr>
        <w:tc>
          <w:tcPr>
            <w:tcW w:type="dxa" w:w="1984"/>
          </w:tcPr>
          <w:p>
            <w:r>
              <w:rPr>
                <w:sz w:val="20"/>
              </w:rPr>
              <w:t>Baustein 5</w:t>
            </w:r>
          </w:p>
        </w:tc>
        <w:tc>
          <w:tcPr>
            <w:tcW w:type="dxa" w:w="4819"/>
          </w:tcPr>
          <w:p>
            <w:r>
              <w:rPr>
                <w:sz w:val="20"/>
              </w:rPr>
              <w:t>Abschluss &amp; Präsentation</w:t>
            </w:r>
          </w:p>
        </w:tc>
        <w:tc>
          <w:tcPr>
            <w:tcW w:type="dxa" w:w="1701"/>
          </w:tcPr>
          <w:p>
            <w:r>
              <w:rPr>
                <w:sz w:val="20"/>
              </w:rPr>
              <w:t>⬜ Offen</w:t>
            </w:r>
          </w:p>
        </w:tc>
      </w:tr>
    </w:tbl>
    <w:p/>
    <w:p>
      <w:r>
        <w:br w:type="page"/>
      </w:r>
    </w:p>
    <w:p>
      <w:pPr>
        <w:pStyle w:val="Heading1"/>
      </w:pPr>
      <w:r>
        <w:t>2  Datensatz</w:t>
      </w:r>
    </w:p>
    <w:p>
      <w:pPr>
        <w:pStyle w:val="Heading2"/>
      </w:pPr>
      <w:r>
        <w:t>2.1  Überblick</w:t>
      </w:r>
    </w:p>
    <w:p>
      <w:r>
        <w:t>Der Datensatz besteht aus 86 CSV-Dateien im Data/-Ordner. Alle Daten stammen aus den offiziellen Qualitätsberichten deutscher Krankenhäuser (Berichtsjahr 2023) und werden vom IQTIG veröffentlicht.</w:t>
      </w:r>
    </w:p>
    <w:p>
      <w:pPr>
        <w:pStyle w:val="ListBullet"/>
      </w:pPr>
      <w:r>
        <w:t>~1.900 Krankenhäuser (Standorte)</w:t>
      </w:r>
    </w:p>
    <w:p>
      <w:pPr>
        <w:pStyle w:val="ListBullet"/>
      </w:pPr>
      <w:r>
        <w:t>~150 Qualitätsindikatoren pro Haus</w:t>
      </w:r>
    </w:p>
    <w:p>
      <w:pPr>
        <w:pStyle w:val="ListBullet"/>
      </w:pPr>
      <w:r>
        <w:t>Strukturdaten: Betten, Personal, Träger, Standort, Geo-Koordinaten</w:t>
      </w:r>
    </w:p>
    <w:p>
      <w:pPr>
        <w:pStyle w:val="Heading2"/>
      </w:pPr>
      <w:r>
        <w:t>2.2  Schlüssel-ID: SO.QBID</w:t>
      </w:r>
    </w:p>
    <w:p>
      <w:r>
        <w:t>Fast alle Tabellen sind über die Spalte SO.QBID miteinander verknüpft. SO.QBID ist die eindeutige ID eines Krankenhaus-Standorts und dient als primärer Join-Key für alle Merge-Operationen.</w:t>
      </w:r>
    </w:p>
    <w:p>
      <w:pPr>
        <w:pStyle w:val="Heading2"/>
      </w:pPr>
      <w:r>
        <w:t>2.3  Relevante Tabellen</w:t>
      </w:r>
    </w:p>
    <w:tbl>
      <w:tblPr>
        <w:tblStyle w:val="TableGrid"/>
        <w:tblW w:type="auto" w:w="0"/>
        <w:tblLook w:firstColumn="1" w:firstRow="1" w:lastColumn="0" w:lastRow="0" w:noHBand="0" w:noVBand="1" w:val="04A0"/>
      </w:tblPr>
      <w:tblGrid>
        <w:gridCol w:w="2280"/>
        <w:gridCol w:w="2280"/>
        <w:gridCol w:w="2280"/>
        <w:gridCol w:w="2280"/>
      </w:tblGrid>
      <w:tr>
        <w:tc>
          <w:tcPr>
            <w:tcW w:type="dxa" w:w="2551"/>
            <w:shd w:fill="4472C4" w:color="FFFFFF" w:val="clear"/>
          </w:tcPr>
          <w:p>
            <w:r>
              <w:rPr>
                <w:b/>
                <w:color w:val="FFFFFF"/>
                <w:sz w:val="20"/>
              </w:rPr>
              <w:t>Datei</w:t>
            </w:r>
          </w:p>
        </w:tc>
        <w:tc>
          <w:tcPr>
            <w:tcW w:type="dxa" w:w="2551"/>
            <w:shd w:fill="4472C4" w:color="FFFFFF" w:val="clear"/>
          </w:tcPr>
          <w:p>
            <w:r>
              <w:rPr>
                <w:b/>
                <w:color w:val="FFFFFF"/>
                <w:sz w:val="20"/>
              </w:rPr>
              <w:t>Inhalt</w:t>
            </w:r>
          </w:p>
        </w:tc>
        <w:tc>
          <w:tcPr>
            <w:tcW w:type="dxa" w:w="3118"/>
            <w:shd w:fill="4472C4" w:color="FFFFFF" w:val="clear"/>
          </w:tcPr>
          <w:p>
            <w:r>
              <w:rPr>
                <w:b/>
                <w:color w:val="FFFFFF"/>
                <w:sz w:val="20"/>
              </w:rPr>
              <w:t>Wichtige Spalten</w:t>
            </w:r>
          </w:p>
        </w:tc>
        <w:tc>
          <w:tcPr>
            <w:tcW w:type="dxa" w:w="1984"/>
            <w:shd w:fill="4472C4" w:color="FFFFFF" w:val="clear"/>
          </w:tcPr>
          <w:p>
            <w:r>
              <w:rPr>
                <w:b/>
                <w:color w:val="FFFFFF"/>
                <w:sz w:val="20"/>
              </w:rPr>
              <w:t>Rolle</w:t>
            </w:r>
          </w:p>
        </w:tc>
      </w:tr>
      <w:tr>
        <w:tc>
          <w:tcPr>
            <w:tcW w:type="dxa" w:w="2551"/>
          </w:tcPr>
          <w:p>
            <w:r>
              <w:rPr>
                <w:sz w:val="20"/>
              </w:rPr>
              <w:t>SO.csv</w:t>
            </w:r>
          </w:p>
        </w:tc>
        <w:tc>
          <w:tcPr>
            <w:tcW w:type="dxa" w:w="2551"/>
          </w:tcPr>
          <w:p>
            <w:r>
              <w:rPr>
                <w:sz w:val="20"/>
              </w:rPr>
              <w:t>Stammdaten aller Krankenhäuser (Haupttabelle)</w:t>
            </w:r>
          </w:p>
        </w:tc>
        <w:tc>
          <w:tcPr>
            <w:tcW w:type="dxa" w:w="3118"/>
          </w:tcPr>
          <w:p>
            <w:r>
              <w:rPr>
                <w:sz w:val="20"/>
              </w:rPr>
              <w:t>SO.QBID, SO.Betten, SO.Bundesland, SO.Uni, KH.Träger.Art, Koordinaten</w:t>
            </w:r>
          </w:p>
        </w:tc>
        <w:tc>
          <w:tcPr>
            <w:tcW w:type="dxa" w:w="1984"/>
          </w:tcPr>
          <w:p>
            <w:r>
              <w:rPr>
                <w:sz w:val="20"/>
              </w:rPr>
              <w:t>Kern-Merkmale</w:t>
            </w:r>
          </w:p>
        </w:tc>
      </w:tr>
      <w:tr>
        <w:tc>
          <w:tcPr>
            <w:tcW w:type="dxa" w:w="2551"/>
          </w:tcPr>
          <w:p>
            <w:r>
              <w:rPr>
                <w:sz w:val="20"/>
              </w:rPr>
              <w:t>QS.Qualitätsindikator.csv</w:t>
            </w:r>
          </w:p>
        </w:tc>
        <w:tc>
          <w:tcPr>
            <w:tcW w:type="dxa" w:w="2551"/>
          </w:tcPr>
          <w:p>
            <w:r>
              <w:rPr>
                <w:sz w:val="20"/>
              </w:rPr>
              <w:t>Qualitätsindikatoren mit Bewertungen (&gt;50 MB)</w:t>
            </w:r>
          </w:p>
        </w:tc>
        <w:tc>
          <w:tcPr>
            <w:tcW w:type="dxa" w:w="3118"/>
          </w:tcPr>
          <w:p>
            <w:r>
              <w:rPr>
                <w:sz w:val="20"/>
              </w:rPr>
              <w:t>SO.QBID, QSErgBewStrukDialog, QSQI.Indikator, QSQI.ArtDesWertes</w:t>
            </w:r>
          </w:p>
        </w:tc>
        <w:tc>
          <w:tcPr>
            <w:tcW w:type="dxa" w:w="1984"/>
          </w:tcPr>
          <w:p>
            <w:r>
              <w:rPr>
                <w:sz w:val="20"/>
              </w:rPr>
              <w:t>Ziel-Variable</w:t>
            </w:r>
          </w:p>
        </w:tc>
      </w:tr>
      <w:tr>
        <w:tc>
          <w:tcPr>
            <w:tcW w:type="dxa" w:w="2551"/>
          </w:tcPr>
          <w:p>
            <w:r>
              <w:rPr>
                <w:sz w:val="20"/>
              </w:rPr>
              <w:t>QS.Fortbildung.csv</w:t>
            </w:r>
          </w:p>
        </w:tc>
        <w:tc>
          <w:tcPr>
            <w:tcW w:type="dxa" w:w="2551"/>
          </w:tcPr>
          <w:p>
            <w:r>
              <w:rPr>
                <w:sz w:val="20"/>
              </w:rPr>
              <w:t>Fortbildungsnachweise der Ärzte</w:t>
            </w:r>
          </w:p>
        </w:tc>
        <w:tc>
          <w:tcPr>
            <w:tcW w:type="dxa" w:w="3118"/>
          </w:tcPr>
          <w:p>
            <w:r>
              <w:rPr>
                <w:sz w:val="20"/>
              </w:rPr>
              <w:t>SO.QBID, QS.Fortbildungspflichtige, QS.Fortbildungsnachweis_Erbracht_Habende</w:t>
            </w:r>
          </w:p>
        </w:tc>
        <w:tc>
          <w:tcPr>
            <w:tcW w:type="dxa" w:w="1984"/>
          </w:tcPr>
          <w:p>
            <w:r>
              <w:rPr>
                <w:sz w:val="20"/>
              </w:rPr>
              <w:t>Merkmal: Fortbildungsquote</w:t>
            </w:r>
          </w:p>
        </w:tc>
      </w:tr>
      <w:tr>
        <w:tc>
          <w:tcPr>
            <w:tcW w:type="dxa" w:w="2551"/>
          </w:tcPr>
          <w:p>
            <w:r>
              <w:rPr>
                <w:sz w:val="20"/>
              </w:rPr>
              <w:t>FA.csv</w:t>
            </w:r>
          </w:p>
        </w:tc>
        <w:tc>
          <w:tcPr>
            <w:tcW w:type="dxa" w:w="2551"/>
          </w:tcPr>
          <w:p>
            <w:r>
              <w:rPr>
                <w:sz w:val="20"/>
              </w:rPr>
              <w:t>Fachabteilungen der Krankenhäuser</w:t>
            </w:r>
          </w:p>
        </w:tc>
        <w:tc>
          <w:tcPr>
            <w:tcW w:type="dxa" w:w="3118"/>
          </w:tcPr>
          <w:p>
            <w:r>
              <w:rPr>
                <w:sz w:val="20"/>
              </w:rPr>
              <w:t>FA.QBID, FA.FZ.Voll, FA.FZ.Teil, FA.Key301</w:t>
            </w:r>
          </w:p>
        </w:tc>
        <w:tc>
          <w:tcPr>
            <w:tcW w:type="dxa" w:w="1984"/>
          </w:tcPr>
          <w:p>
            <w:r>
              <w:rPr>
                <w:sz w:val="20"/>
              </w:rPr>
              <w:t>Merkmal: Ärzte pro Bett</w:t>
            </w:r>
          </w:p>
        </w:tc>
      </w:tr>
      <w:tr>
        <w:tc>
          <w:tcPr>
            <w:tcW w:type="dxa" w:w="2551"/>
          </w:tcPr>
          <w:p>
            <w:r>
              <w:rPr>
                <w:sz w:val="20"/>
              </w:rPr>
              <w:t>QS.csv</w:t>
            </w:r>
          </w:p>
        </w:tc>
        <w:tc>
          <w:tcPr>
            <w:tcW w:type="dxa" w:w="2551"/>
          </w:tcPr>
          <w:p>
            <w:r>
              <w:rPr>
                <w:sz w:val="20"/>
              </w:rPr>
              <w:t>QS-Berichtsbasis pro Standort</w:t>
            </w:r>
          </w:p>
        </w:tc>
        <w:tc>
          <w:tcPr>
            <w:tcW w:type="dxa" w:w="3118"/>
          </w:tcPr>
          <w:p>
            <w:r>
              <w:rPr>
                <w:sz w:val="20"/>
              </w:rPr>
              <w:t>QS.ID, SO.QBID, QS.Typ</w:t>
            </w:r>
          </w:p>
        </w:tc>
        <w:tc>
          <w:tcPr>
            <w:tcW w:type="dxa" w:w="1984"/>
          </w:tcPr>
          <w:p>
            <w:r>
              <w:rPr>
                <w:sz w:val="20"/>
              </w:rPr>
              <w:t>Verknüpfungstabelle</w:t>
            </w:r>
          </w:p>
        </w:tc>
      </w:tr>
      <w:tr>
        <w:tc>
          <w:tcPr>
            <w:tcW w:type="dxa" w:w="2551"/>
          </w:tcPr>
          <w:p>
            <w:r>
              <w:rPr>
                <w:sz w:val="20"/>
              </w:rPr>
              <w:t>QS.Leistungsbereich.csv</w:t>
            </w:r>
          </w:p>
        </w:tc>
        <w:tc>
          <w:tcPr>
            <w:tcW w:type="dxa" w:w="2551"/>
          </w:tcPr>
          <w:p>
            <w:r>
              <w:rPr>
                <w:sz w:val="20"/>
              </w:rPr>
              <w:t>Leistungsbereiche mit Dokumentationsraten</w:t>
            </w:r>
          </w:p>
        </w:tc>
        <w:tc>
          <w:tcPr>
            <w:tcW w:type="dxa" w:w="3118"/>
          </w:tcPr>
          <w:p>
            <w:r>
              <w:rPr>
                <w:sz w:val="20"/>
              </w:rPr>
              <w:t>SO.QBID, QSLB.Dokumentationsrate, QSLB.Fallzahl</w:t>
            </w:r>
          </w:p>
        </w:tc>
        <w:tc>
          <w:tcPr>
            <w:tcW w:type="dxa" w:w="1984"/>
          </w:tcPr>
          <w:p>
            <w:r>
              <w:rPr>
                <w:sz w:val="20"/>
              </w:rPr>
              <w:t>Ergänzung</w:t>
            </w:r>
          </w:p>
        </w:tc>
      </w:tr>
    </w:tbl>
    <w:p/>
    <w:p>
      <w:pPr>
        <w:pStyle w:val="Heading2"/>
      </w:pPr>
      <w:r>
        <w:t>2.4  Nicht relevante Tabellen</w:t>
      </w:r>
    </w:p>
    <w:p>
      <w:r>
        <w:t>Folgende Tabellen wurden bewusst ausgeschlossen:</w:t>
      </w:r>
    </w:p>
    <w:p>
      <w:pPr>
        <w:pStyle w:val="ListBullet"/>
      </w:pPr>
      <w:r>
        <w:t>NM.csv — Nicht-medizinische Angebote (Parkplatz, Telefon)</w:t>
      </w:r>
    </w:p>
    <w:p>
      <w:pPr>
        <w:pStyle w:val="ListBullet"/>
      </w:pPr>
      <w:r>
        <w:t>ICD.Code.csv — ICD-Diagnoseschlüssel (reine Lookup-Tabelle)</w:t>
      </w:r>
    </w:p>
    <w:p>
      <w:pPr>
        <w:pStyle w:val="ListBullet"/>
      </w:pPr>
      <w:r>
        <w:t>OPS.csv — Operationsschlüssel (reine Lookup-Tabelle)</w:t>
      </w:r>
    </w:p>
    <w:p>
      <w:pPr>
        <w:pStyle w:val="ListBullet"/>
      </w:pPr>
      <w:r>
        <w:t>Link.csv — URL-Links ohne Analysewert</w:t>
      </w:r>
    </w:p>
    <w:p>
      <w:pPr>
        <w:pStyle w:val="ListBullet"/>
      </w:pPr>
      <w:r>
        <w:t>QS.Nachweis.csv — Technische Meta-Daten (Nachweiszeiträume)</w:t>
      </w:r>
    </w:p>
    <w:p>
      <w:r>
        <w:br w:type="page"/>
      </w:r>
    </w:p>
    <w:p>
      <w:pPr>
        <w:pStyle w:val="Heading1"/>
      </w:pPr>
      <w:r>
        <w:t>3  Datenaufbereitung</w:t>
      </w:r>
    </w:p>
    <w:p>
      <w:pPr>
        <w:pStyle w:val="Heading2"/>
      </w:pPr>
      <w:r>
        <w:t>3.1  Vorgehen &amp; Kriterien</w:t>
      </w:r>
    </w:p>
    <w:p>
      <w:r>
        <w:t>Die Datenaufbereitung erfolgte vollständig reproduzierbar per Python-Skript (01_Exploration.ipynb). Kein manuelles Zusammenklicken — alle Schritte können durch erneutes Ausführen des Notebooks repliziert werden.</w:t>
      </w:r>
    </w:p>
    <w:p>
      <w:r>
        <w:t>Sichtung der CSV-Dateien: Erste 3–5 Zeilen jeder Datei wurden gelesen (kein Python nötig, da CSV = Textdatei). Kriterium für Relevanz:</w:t>
      </w:r>
    </w:p>
    <w:p>
      <w:pPr>
        <w:pStyle w:val="ListBullet"/>
      </w:pPr>
      <w:r>
        <w:t>✅ Relevant: Enthält Strukturmerkmal aus der Aufgabenstellung ODER Qualitätsindikator-Bewertungen</w:t>
      </w:r>
    </w:p>
    <w:p>
      <w:pPr>
        <w:pStyle w:val="ListBullet"/>
      </w:pPr>
      <w:r>
        <w:t>⚠️ Möglicherweise: QS-relevante Infos, aber Bedeutung noch unklar</w:t>
      </w:r>
    </w:p>
    <w:p>
      <w:pPr>
        <w:pStyle w:val="ListBullet"/>
      </w:pPr>
      <w:r>
        <w:t>❌ Nicht relevant: Lookup-Tabellen, nicht-medizinische Angebote, reine Link-/Verwaltungsdaten</w:t>
      </w:r>
    </w:p>
    <w:p>
      <w:pPr>
        <w:pStyle w:val="Heading2"/>
      </w:pPr>
      <w:r>
        <w:t>3.2  Ziel-Variable</w:t>
      </w:r>
    </w:p>
    <w:p>
      <w:r>
        <w:t>Die Ziel-Variable wurde aus QS.Qualitätsindikator.csv berechnet. Die Bewertungsspalte QSErgBewStrukDialog enthält den Bewertungscode des Strukturierten Dialogs:</w:t>
      </w:r>
    </w:p>
    <w:p>
      <w:pPr>
        <w:pStyle w:val="ListBullet"/>
      </w:pPr>
      <w:r>
        <w:t>R* (R10, R20, ...) = rechnerisch auffällig</w:t>
      </w:r>
    </w:p>
    <w:p>
      <w:pPr>
        <w:pStyle w:val="ListBullet"/>
      </w:pPr>
      <w:r>
        <w:t>N01, N02 = nicht auffällig</w:t>
      </w:r>
    </w:p>
    <w:p>
      <w:pPr>
        <w:pStyle w:val="ListBullet"/>
      </w:pPr>
      <w:r>
        <w:t>N99 = nicht bewertet → wird ausgeschlossen (nicht bewertet ≠ unauffällig!)</w:t>
      </w:r>
    </w:p>
    <w:p>
      <w:r>
        <w:t>Berechnungsschritte:</w:t>
      </w:r>
    </w:p>
    <w:tbl>
      <w:tblPr>
        <w:tblStyle w:val="TableGrid"/>
        <w:tblW w:type="auto" w:w="0"/>
        <w:tblLook w:firstColumn="1" w:firstRow="1" w:lastColumn="0" w:lastRow="0" w:noHBand="0" w:noVBand="1" w:val="04A0"/>
      </w:tblPr>
      <w:tblGrid>
        <w:gridCol w:w="3041"/>
        <w:gridCol w:w="3041"/>
        <w:gridCol w:w="3041"/>
      </w:tblGrid>
      <w:tr>
        <w:tc>
          <w:tcPr>
            <w:tcW w:type="dxa" w:w="850"/>
            <w:shd w:fill="4472C4" w:color="FFFFFF" w:val="clear"/>
          </w:tcPr>
          <w:p>
            <w:r>
              <w:rPr>
                <w:b/>
                <w:color w:val="FFFFFF"/>
                <w:sz w:val="20"/>
              </w:rPr>
              <w:t>Schritt</w:t>
            </w:r>
          </w:p>
        </w:tc>
        <w:tc>
          <w:tcPr>
            <w:tcW w:type="dxa" w:w="3685"/>
            <w:shd w:fill="4472C4" w:color="FFFFFF" w:val="clear"/>
          </w:tcPr>
          <w:p>
            <w:r>
              <w:rPr>
                <w:b/>
                <w:color w:val="FFFFFF"/>
                <w:sz w:val="20"/>
              </w:rPr>
              <w:t>Code</w:t>
            </w:r>
          </w:p>
        </w:tc>
        <w:tc>
          <w:tcPr>
            <w:tcW w:type="dxa" w:w="3402"/>
            <w:shd w:fill="4472C4" w:color="FFFFFF" w:val="clear"/>
          </w:tcPr>
          <w:p>
            <w:r>
              <w:rPr>
                <w:b/>
                <w:color w:val="FFFFFF"/>
                <w:sz w:val="20"/>
              </w:rPr>
              <w:t>Erklärung</w:t>
            </w:r>
          </w:p>
        </w:tc>
      </w:tr>
      <w:tr>
        <w:tc>
          <w:tcPr>
            <w:tcW w:type="dxa" w:w="850"/>
          </w:tcPr>
          <w:p>
            <w:r>
              <w:rPr>
                <w:sz w:val="20"/>
              </w:rPr>
              <w:t>1</w:t>
            </w:r>
          </w:p>
        </w:tc>
        <w:tc>
          <w:tcPr>
            <w:tcW w:type="dxa" w:w="3685"/>
          </w:tcPr>
          <w:p>
            <w:r>
              <w:rPr>
                <w:sz w:val="20"/>
              </w:rPr>
              <w:t>Filter: QSQI.ArtDesWertes == 'QI'</w:t>
            </w:r>
          </w:p>
        </w:tc>
        <w:tc>
          <w:tcPr>
            <w:tcW w:type="dxa" w:w="3402"/>
          </w:tcPr>
          <w:p>
            <w:r>
              <w:rPr>
                <w:sz w:val="20"/>
              </w:rPr>
              <w:t>Nur echte Qualitätsindikatoren, keine Zählkennzahlen (EKez, TKez, ...)</w:t>
            </w:r>
          </w:p>
        </w:tc>
      </w:tr>
      <w:tr>
        <w:tc>
          <w:tcPr>
            <w:tcW w:type="dxa" w:w="850"/>
          </w:tcPr>
          <w:p>
            <w:r>
              <w:rPr>
                <w:sz w:val="20"/>
              </w:rPr>
              <w:t>2</w:t>
            </w:r>
          </w:p>
        </w:tc>
        <w:tc>
          <w:tcPr>
            <w:tcW w:type="dxa" w:w="3685"/>
          </w:tcPr>
          <w:p>
            <w:r>
              <w:rPr>
                <w:sz w:val="20"/>
              </w:rPr>
              <w:t>Filter: QSErgBewStrukDialog != 'N99'</w:t>
            </w:r>
          </w:p>
        </w:tc>
        <w:tc>
          <w:tcPr>
            <w:tcW w:type="dxa" w:w="3402"/>
          </w:tcPr>
          <w:p>
            <w:r>
              <w:rPr>
                <w:sz w:val="20"/>
              </w:rPr>
              <w:t>Nur bewertete Indikatoren berücksichtigen</w:t>
            </w:r>
          </w:p>
        </w:tc>
      </w:tr>
      <w:tr>
        <w:tc>
          <w:tcPr>
            <w:tcW w:type="dxa" w:w="850"/>
          </w:tcPr>
          <w:p>
            <w:r>
              <w:rPr>
                <w:sz w:val="20"/>
              </w:rPr>
              <w:t>3</w:t>
            </w:r>
          </w:p>
        </w:tc>
        <w:tc>
          <w:tcPr>
            <w:tcW w:type="dxa" w:w="3685"/>
          </w:tcPr>
          <w:p>
            <w:r>
              <w:rPr>
                <w:sz w:val="20"/>
              </w:rPr>
              <w:t>Deduplizierung: drop_duplicates(['SO.QBID', 'QSQI.Indikator'])</w:t>
            </w:r>
          </w:p>
        </w:tc>
        <w:tc>
          <w:tcPr>
            <w:tcW w:type="dxa" w:w="3402"/>
          </w:tcPr>
          <w:p>
            <w:r>
              <w:rPr>
                <w:sz w:val="20"/>
              </w:rPr>
              <w:t>Je Haus+Indikator nur eine Zeile behalten</w:t>
            </w:r>
          </w:p>
        </w:tc>
      </w:tr>
      <w:tr>
        <w:tc>
          <w:tcPr>
            <w:tcW w:type="dxa" w:w="850"/>
          </w:tcPr>
          <w:p>
            <w:r>
              <w:rPr>
                <w:sz w:val="20"/>
              </w:rPr>
              <w:t>4</w:t>
            </w:r>
          </w:p>
        </w:tc>
        <w:tc>
          <w:tcPr>
            <w:tcW w:type="dxa" w:w="3685"/>
          </w:tcPr>
          <w:p>
            <w:r>
              <w:rPr>
                <w:sz w:val="20"/>
              </w:rPr>
              <w:t>Flag: ist_auffaellig = QSErgBewStrukDialog.str.startswith('R')</w:t>
            </w:r>
          </w:p>
        </w:tc>
        <w:tc>
          <w:tcPr>
            <w:tcW w:type="dxa" w:w="3402"/>
          </w:tcPr>
          <w:p>
            <w:r>
              <w:rPr>
                <w:sz w:val="20"/>
              </w:rPr>
              <w:t>Binäre Markierung pro Indikator</w:t>
            </w:r>
          </w:p>
        </w:tc>
      </w:tr>
      <w:tr>
        <w:tc>
          <w:tcPr>
            <w:tcW w:type="dxa" w:w="850"/>
          </w:tcPr>
          <w:p>
            <w:r>
              <w:rPr>
                <w:sz w:val="20"/>
              </w:rPr>
              <w:t>5</w:t>
            </w:r>
          </w:p>
        </w:tc>
        <w:tc>
          <w:tcPr>
            <w:tcW w:type="dxa" w:w="3685"/>
          </w:tcPr>
          <w:p>
            <w:r>
              <w:rPr>
                <w:sz w:val="20"/>
              </w:rPr>
              <w:t>Aggregation: groupby('SO.QBID').agg(count, sum)</w:t>
            </w:r>
          </w:p>
        </w:tc>
        <w:tc>
          <w:tcPr>
            <w:tcW w:type="dxa" w:w="3402"/>
          </w:tcPr>
          <w:p>
            <w:r>
              <w:rPr>
                <w:sz w:val="20"/>
              </w:rPr>
              <w:t>Anzahl bewerteter QI und auffälliger QI pro Haus</w:t>
            </w:r>
          </w:p>
        </w:tc>
      </w:tr>
      <w:tr>
        <w:tc>
          <w:tcPr>
            <w:tcW w:type="dxa" w:w="850"/>
          </w:tcPr>
          <w:p>
            <w:r>
              <w:rPr>
                <w:sz w:val="20"/>
              </w:rPr>
              <w:t>6</w:t>
            </w:r>
          </w:p>
        </w:tc>
        <w:tc>
          <w:tcPr>
            <w:tcW w:type="dxa" w:w="3685"/>
          </w:tcPr>
          <w:p>
            <w:r>
              <w:rPr>
                <w:sz w:val="20"/>
              </w:rPr>
              <w:t>Quote: auffaellig_n / total_qi</w:t>
            </w:r>
          </w:p>
        </w:tc>
        <w:tc>
          <w:tcPr>
            <w:tcW w:type="dxa" w:w="3402"/>
          </w:tcPr>
          <w:p>
            <w:r>
              <w:rPr>
                <w:sz w:val="20"/>
              </w:rPr>
              <w:t>Anteil auffälliger Indikatoren pro Haus</w:t>
            </w:r>
          </w:p>
        </w:tc>
      </w:tr>
      <w:tr>
        <w:tc>
          <w:tcPr>
            <w:tcW w:type="dxa" w:w="850"/>
          </w:tcPr>
          <w:p>
            <w:r>
              <w:rPr>
                <w:sz w:val="20"/>
              </w:rPr>
              <w:t>7</w:t>
            </w:r>
          </w:p>
        </w:tc>
        <w:tc>
          <w:tcPr>
            <w:tcW w:type="dxa" w:w="3685"/>
          </w:tcPr>
          <w:p>
            <w:r>
              <w:rPr>
                <w:sz w:val="20"/>
              </w:rPr>
              <w:t>Target: quote &gt; Median → hat_viele_Probleme = 1</w:t>
            </w:r>
          </w:p>
        </w:tc>
        <w:tc>
          <w:tcPr>
            <w:tcW w:type="dxa" w:w="3402"/>
          </w:tcPr>
          <w:p>
            <w:r>
              <w:rPr>
                <w:sz w:val="20"/>
              </w:rPr>
              <w:t>Binäre Ziel-Variable (0/1)</w:t>
            </w:r>
          </w:p>
        </w:tc>
      </w:tr>
    </w:tbl>
    <w:p/>
    <w:p>
      <w:pPr>
        <w:pStyle w:val="Heading2"/>
      </w:pPr>
      <w:r>
        <w:t>3.3  Merkmale (Features)</w:t>
      </w:r>
    </w:p>
    <w:p>
      <w:r>
        <w:t>Folgende Merkmale wurden für die Analysetabelle ausgewählt:</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fill="4472C4" w:color="FFFFFF" w:val="clear"/>
          </w:tcPr>
          <w:p>
            <w:r>
              <w:rPr>
                <w:b/>
                <w:color w:val="FFFFFF"/>
                <w:sz w:val="20"/>
              </w:rPr>
              <w:t>Merkmal</w:t>
            </w:r>
          </w:p>
        </w:tc>
        <w:tc>
          <w:tcPr>
            <w:tcW w:type="dxa" w:w="1984"/>
            <w:shd w:fill="4472C4" w:color="FFFFFF" w:val="clear"/>
          </w:tcPr>
          <w:p>
            <w:r>
              <w:rPr>
                <w:b/>
                <w:color w:val="FFFFFF"/>
                <w:sz w:val="20"/>
              </w:rPr>
              <w:t>Quelle</w:t>
            </w:r>
          </w:p>
        </w:tc>
        <w:tc>
          <w:tcPr>
            <w:tcW w:type="dxa" w:w="2835"/>
            <w:shd w:fill="4472C4" w:color="FFFFFF" w:val="clear"/>
          </w:tcPr>
          <w:p>
            <w:r>
              <w:rPr>
                <w:b/>
                <w:color w:val="FFFFFF"/>
                <w:sz w:val="20"/>
              </w:rPr>
              <w:t>Berechnung</w:t>
            </w:r>
          </w:p>
        </w:tc>
        <w:tc>
          <w:tcPr>
            <w:tcW w:type="dxa" w:w="2268"/>
            <w:shd w:fill="4472C4" w:color="FFFFFF" w:val="clear"/>
          </w:tcPr>
          <w:p>
            <w:r>
              <w:rPr>
                <w:b/>
                <w:color w:val="FFFFFF"/>
                <w:sz w:val="20"/>
              </w:rPr>
              <w:t>Typ</w:t>
            </w:r>
          </w:p>
        </w:tc>
      </w:tr>
      <w:tr>
        <w:tc>
          <w:tcPr>
            <w:tcW w:type="dxa" w:w="1984"/>
          </w:tcPr>
          <w:p>
            <w:r>
              <w:rPr>
                <w:sz w:val="20"/>
              </w:rPr>
              <w:t>SO.Betten</w:t>
            </w:r>
          </w:p>
        </w:tc>
        <w:tc>
          <w:tcPr>
            <w:tcW w:type="dxa" w:w="1984"/>
          </w:tcPr>
          <w:p>
            <w:r>
              <w:rPr>
                <w:sz w:val="20"/>
              </w:rPr>
              <w:t>SO.csv</w:t>
            </w:r>
          </w:p>
        </w:tc>
        <w:tc>
          <w:tcPr>
            <w:tcW w:type="dxa" w:w="2835"/>
          </w:tcPr>
          <w:p>
            <w:r>
              <w:rPr>
                <w:sz w:val="20"/>
              </w:rPr>
              <w:t>Direkt verfügbar</w:t>
            </w:r>
          </w:p>
        </w:tc>
        <w:tc>
          <w:tcPr>
            <w:tcW w:type="dxa" w:w="2268"/>
          </w:tcPr>
          <w:p>
            <w:r>
              <w:rPr>
                <w:sz w:val="20"/>
              </w:rPr>
              <w:t>Numerisch</w:t>
            </w:r>
          </w:p>
        </w:tc>
      </w:tr>
      <w:tr>
        <w:tc>
          <w:tcPr>
            <w:tcW w:type="dxa" w:w="1984"/>
          </w:tcPr>
          <w:p>
            <w:r>
              <w:rPr>
                <w:sz w:val="20"/>
              </w:rPr>
              <w:t>KH.Träger.Art</w:t>
            </w:r>
          </w:p>
        </w:tc>
        <w:tc>
          <w:tcPr>
            <w:tcW w:type="dxa" w:w="1984"/>
          </w:tcPr>
          <w:p>
            <w:r>
              <w:rPr>
                <w:sz w:val="20"/>
              </w:rPr>
              <w:t>SO.csv</w:t>
            </w:r>
          </w:p>
        </w:tc>
        <w:tc>
          <w:tcPr>
            <w:tcW w:type="dxa" w:w="2835"/>
          </w:tcPr>
          <w:p>
            <w:r>
              <w:rPr>
                <w:sz w:val="20"/>
              </w:rPr>
              <w:t>Direkt verfügbar</w:t>
            </w:r>
          </w:p>
        </w:tc>
        <w:tc>
          <w:tcPr>
            <w:tcW w:type="dxa" w:w="2268"/>
          </w:tcPr>
          <w:p>
            <w:r>
              <w:rPr>
                <w:sz w:val="20"/>
              </w:rPr>
              <w:t>Kategorial: privat / freigemeinnützig / öffentlich</w:t>
            </w:r>
          </w:p>
        </w:tc>
      </w:tr>
      <w:tr>
        <w:tc>
          <w:tcPr>
            <w:tcW w:type="dxa" w:w="1984"/>
          </w:tcPr>
          <w:p>
            <w:r>
              <w:rPr>
                <w:sz w:val="20"/>
              </w:rPr>
              <w:t>SO.Bundesland</w:t>
            </w:r>
          </w:p>
        </w:tc>
        <w:tc>
          <w:tcPr>
            <w:tcW w:type="dxa" w:w="1984"/>
          </w:tcPr>
          <w:p>
            <w:r>
              <w:rPr>
                <w:sz w:val="20"/>
              </w:rPr>
              <w:t>SO.csv</w:t>
            </w:r>
          </w:p>
        </w:tc>
        <w:tc>
          <w:tcPr>
            <w:tcW w:type="dxa" w:w="2835"/>
          </w:tcPr>
          <w:p>
            <w:r>
              <w:rPr>
                <w:sz w:val="20"/>
              </w:rPr>
              <w:t>Direkt verfügbar</w:t>
            </w:r>
          </w:p>
        </w:tc>
        <w:tc>
          <w:tcPr>
            <w:tcW w:type="dxa" w:w="2268"/>
          </w:tcPr>
          <w:p>
            <w:r>
              <w:rPr>
                <w:sz w:val="20"/>
              </w:rPr>
              <w:t>Kategorial: 16 Bundesländer</w:t>
            </w:r>
          </w:p>
        </w:tc>
      </w:tr>
      <w:tr>
        <w:tc>
          <w:tcPr>
            <w:tcW w:type="dxa" w:w="1984"/>
          </w:tcPr>
          <w:p>
            <w:r>
              <w:rPr>
                <w:sz w:val="20"/>
              </w:rPr>
              <w:t>SO.Uni</w:t>
            </w:r>
          </w:p>
        </w:tc>
        <w:tc>
          <w:tcPr>
            <w:tcW w:type="dxa" w:w="1984"/>
          </w:tcPr>
          <w:p>
            <w:r>
              <w:rPr>
                <w:sz w:val="20"/>
              </w:rPr>
              <w:t>SO.csv</w:t>
            </w:r>
          </w:p>
        </w:tc>
        <w:tc>
          <w:tcPr>
            <w:tcW w:type="dxa" w:w="2835"/>
          </w:tcPr>
          <w:p>
            <w:r>
              <w:rPr>
                <w:sz w:val="20"/>
              </w:rPr>
              <w:t>Direkt verfügbar</w:t>
            </w:r>
          </w:p>
        </w:tc>
        <w:tc>
          <w:tcPr>
            <w:tcW w:type="dxa" w:w="2268"/>
          </w:tcPr>
          <w:p>
            <w:r>
              <w:rPr>
                <w:sz w:val="20"/>
              </w:rPr>
              <w:t>Binär: 0/1</w:t>
            </w:r>
          </w:p>
        </w:tc>
      </w:tr>
      <w:tr>
        <w:tc>
          <w:tcPr>
            <w:tcW w:type="dxa" w:w="1984"/>
          </w:tcPr>
          <w:p>
            <w:r>
              <w:rPr>
                <w:sz w:val="20"/>
              </w:rPr>
              <w:t>SO.Latitude/Long.</w:t>
            </w:r>
          </w:p>
        </w:tc>
        <w:tc>
          <w:tcPr>
            <w:tcW w:type="dxa" w:w="1984"/>
          </w:tcPr>
          <w:p>
            <w:r>
              <w:rPr>
                <w:sz w:val="20"/>
              </w:rPr>
              <w:t>SO.csv</w:t>
            </w:r>
          </w:p>
        </w:tc>
        <w:tc>
          <w:tcPr>
            <w:tcW w:type="dxa" w:w="2835"/>
          </w:tcPr>
          <w:p>
            <w:r>
              <w:rPr>
                <w:sz w:val="20"/>
              </w:rPr>
              <w:t>Direkt verfügbar</w:t>
            </w:r>
          </w:p>
        </w:tc>
        <w:tc>
          <w:tcPr>
            <w:tcW w:type="dxa" w:w="2268"/>
          </w:tcPr>
          <w:p>
            <w:r>
              <w:rPr>
                <w:sz w:val="20"/>
              </w:rPr>
              <w:t>Numerisch (für Karte)</w:t>
            </w:r>
          </w:p>
        </w:tc>
      </w:tr>
      <w:tr>
        <w:tc>
          <w:tcPr>
            <w:tcW w:type="dxa" w:w="1984"/>
          </w:tcPr>
          <w:p>
            <w:r>
              <w:rPr>
                <w:sz w:val="20"/>
              </w:rPr>
              <w:t>fortbildungsquote</w:t>
            </w:r>
          </w:p>
        </w:tc>
        <w:tc>
          <w:tcPr>
            <w:tcW w:type="dxa" w:w="1984"/>
          </w:tcPr>
          <w:p>
            <w:r>
              <w:rPr>
                <w:sz w:val="20"/>
              </w:rPr>
              <w:t>QS.Fortbildung.csv</w:t>
            </w:r>
          </w:p>
        </w:tc>
        <w:tc>
          <w:tcPr>
            <w:tcW w:type="dxa" w:w="2835"/>
          </w:tcPr>
          <w:p>
            <w:r>
              <w:rPr>
                <w:sz w:val="20"/>
              </w:rPr>
              <w:t>Berechnet: Erbracht / Pflichtige</w:t>
            </w:r>
          </w:p>
        </w:tc>
        <w:tc>
          <w:tcPr>
            <w:tcW w:type="dxa" w:w="2268"/>
          </w:tcPr>
          <w:p>
            <w:r>
              <w:rPr>
                <w:sz w:val="20"/>
              </w:rPr>
              <w:t>Numerisch 0–1</w:t>
            </w:r>
          </w:p>
        </w:tc>
      </w:tr>
      <w:tr>
        <w:tc>
          <w:tcPr>
            <w:tcW w:type="dxa" w:w="1984"/>
          </w:tcPr>
          <w:p>
            <w:r>
              <w:rPr>
                <w:sz w:val="20"/>
              </w:rPr>
              <w:t>Ärzte pro Bett</w:t>
            </w:r>
          </w:p>
        </w:tc>
        <w:tc>
          <w:tcPr>
            <w:tcW w:type="dxa" w:w="1984"/>
          </w:tcPr>
          <w:p>
            <w:r>
              <w:rPr>
                <w:sz w:val="20"/>
              </w:rPr>
              <w:t>FA.csv</w:t>
            </w:r>
          </w:p>
        </w:tc>
        <w:tc>
          <w:tcPr>
            <w:tcW w:type="dxa" w:w="2835"/>
          </w:tcPr>
          <w:p>
            <w:r>
              <w:rPr>
                <w:sz w:val="20"/>
              </w:rPr>
              <w:t>Noch zu berechnen</w:t>
            </w:r>
          </w:p>
        </w:tc>
        <w:tc>
          <w:tcPr>
            <w:tcW w:type="dxa" w:w="2268"/>
          </w:tcPr>
          <w:p>
            <w:r>
              <w:rPr>
                <w:sz w:val="20"/>
              </w:rPr>
              <w:t>Numerisch</w:t>
            </w:r>
          </w:p>
        </w:tc>
      </w:tr>
    </w:tbl>
    <w:p/>
    <w:p>
      <w:r>
        <w:br w:type="page"/>
      </w:r>
    </w:p>
    <w:p>
      <w:pPr>
        <w:pStyle w:val="Heading1"/>
      </w:pPr>
      <w:r>
        <w:t>4  Ergebnisse</w:t>
      </w:r>
    </w:p>
    <w:p>
      <w:pPr>
        <w:pStyle w:val="Heading2"/>
      </w:pPr>
      <w:r>
        <w:t>4.1  Ziel-Variable — Statistiken</w:t>
      </w:r>
    </w:p>
    <w:p>
      <w:r>
        <w:t>Datenbasis nach Aufbereitung: 1,824 Krankenhäuser</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Kennzahl</w:t>
            </w:r>
          </w:p>
        </w:tc>
        <w:tc>
          <w:tcPr>
            <w:tcW w:type="dxa" w:w="2268"/>
            <w:shd w:fill="4472C4" w:color="FFFFFF" w:val="clear"/>
          </w:tcPr>
          <w:p>
            <w:r>
              <w:rPr>
                <w:b/>
                <w:color w:val="FFFFFF"/>
                <w:sz w:val="20"/>
              </w:rPr>
              <w:t>Wert</w:t>
            </w:r>
          </w:p>
        </w:tc>
      </w:tr>
      <w:tr>
        <w:tc>
          <w:tcPr>
            <w:tcW w:type="dxa" w:w="4535"/>
          </w:tcPr>
          <w:p>
            <w:r>
              <w:rPr>
                <w:sz w:val="20"/>
              </w:rPr>
              <w:t>Anzahl Krankenhäuser</w:t>
            </w:r>
          </w:p>
        </w:tc>
        <w:tc>
          <w:tcPr>
            <w:tcW w:type="dxa" w:w="2268"/>
          </w:tcPr>
          <w:p>
            <w:r>
              <w:rPr>
                <w:sz w:val="20"/>
              </w:rPr>
              <w:t>1,824</w:t>
            </w:r>
          </w:p>
        </w:tc>
      </w:tr>
      <w:tr>
        <w:tc>
          <w:tcPr>
            <w:tcW w:type="dxa" w:w="4535"/>
          </w:tcPr>
          <w:p>
            <w:r>
              <w:rPr>
                <w:sz w:val="20"/>
              </w:rPr>
              <w:t>Ø Indikatoren pro Haus</w:t>
            </w:r>
          </w:p>
        </w:tc>
        <w:tc>
          <w:tcPr>
            <w:tcW w:type="dxa" w:w="2268"/>
          </w:tcPr>
          <w:p>
            <w:r>
              <w:rPr>
                <w:sz w:val="20"/>
              </w:rPr>
              <w:t>54.7</w:t>
            </w:r>
          </w:p>
        </w:tc>
      </w:tr>
      <w:tr>
        <w:tc>
          <w:tcPr>
            <w:tcW w:type="dxa" w:w="4535"/>
          </w:tcPr>
          <w:p>
            <w:r>
              <w:rPr>
                <w:sz w:val="20"/>
              </w:rPr>
              <w:t>Median auffällig-Quote</w:t>
            </w:r>
          </w:p>
        </w:tc>
        <w:tc>
          <w:tcPr>
            <w:tcW w:type="dxa" w:w="2268"/>
          </w:tcPr>
          <w:p>
            <w:r>
              <w:rPr>
                <w:sz w:val="20"/>
              </w:rPr>
              <w:t>76.92%</w:t>
            </w:r>
          </w:p>
        </w:tc>
      </w:tr>
      <w:tr>
        <w:tc>
          <w:tcPr>
            <w:tcW w:type="dxa" w:w="4535"/>
          </w:tcPr>
          <w:p>
            <w:r>
              <w:rPr>
                <w:sz w:val="20"/>
              </w:rPr>
              <w:t>Mittelwert auffällig-Quote</w:t>
            </w:r>
          </w:p>
        </w:tc>
        <w:tc>
          <w:tcPr>
            <w:tcW w:type="dxa" w:w="2268"/>
          </w:tcPr>
          <w:p>
            <w:r>
              <w:rPr>
                <w:sz w:val="20"/>
              </w:rPr>
              <w:t>76.02%</w:t>
            </w:r>
          </w:p>
        </w:tc>
      </w:tr>
      <w:tr>
        <w:tc>
          <w:tcPr>
            <w:tcW w:type="dxa" w:w="4535"/>
          </w:tcPr>
          <w:p>
            <w:r>
              <w:rPr>
                <w:sz w:val="20"/>
              </w:rPr>
              <w:t>Min. auffällig-Quote</w:t>
            </w:r>
          </w:p>
        </w:tc>
        <w:tc>
          <w:tcPr>
            <w:tcW w:type="dxa" w:w="2268"/>
          </w:tcPr>
          <w:p>
            <w:r>
              <w:rPr>
                <w:sz w:val="20"/>
              </w:rPr>
              <w:t>0.00%</w:t>
            </w:r>
          </w:p>
        </w:tc>
      </w:tr>
      <w:tr>
        <w:tc>
          <w:tcPr>
            <w:tcW w:type="dxa" w:w="4535"/>
          </w:tcPr>
          <w:p>
            <w:r>
              <w:rPr>
                <w:sz w:val="20"/>
              </w:rPr>
              <w:t>Max. auffällig-Quote</w:t>
            </w:r>
          </w:p>
        </w:tc>
        <w:tc>
          <w:tcPr>
            <w:tcW w:type="dxa" w:w="2268"/>
          </w:tcPr>
          <w:p>
            <w:r>
              <w:rPr>
                <w:sz w:val="20"/>
              </w:rPr>
              <w:t>100.00%</w:t>
            </w:r>
          </w:p>
        </w:tc>
      </w:tr>
      <w:tr>
        <w:tc>
          <w:tcPr>
            <w:tcW w:type="dxa" w:w="4535"/>
          </w:tcPr>
          <w:p>
            <w:r>
              <w:rPr>
                <w:sz w:val="20"/>
              </w:rPr>
              <w:t>Häuser mit vielen Problemen (=1)</w:t>
            </w:r>
          </w:p>
        </w:tc>
        <w:tc>
          <w:tcPr>
            <w:tcW w:type="dxa" w:w="2268"/>
          </w:tcPr>
          <w:p>
            <w:r>
              <w:rPr>
                <w:sz w:val="20"/>
              </w:rPr>
              <w:t>899 (49.3%)</w:t>
            </w:r>
          </w:p>
        </w:tc>
      </w:tr>
      <w:tr>
        <w:tc>
          <w:tcPr>
            <w:tcW w:type="dxa" w:w="4535"/>
          </w:tcPr>
          <w:p>
            <w:r>
              <w:rPr>
                <w:sz w:val="20"/>
              </w:rPr>
              <w:t>Häuser ohne viele Probleme (=0)</w:t>
            </w:r>
          </w:p>
        </w:tc>
        <w:tc>
          <w:tcPr>
            <w:tcW w:type="dxa" w:w="2268"/>
          </w:tcPr>
          <w:p>
            <w:r>
              <w:rPr>
                <w:sz w:val="20"/>
              </w:rPr>
              <w:t>925 (50.7%)</w:t>
            </w:r>
          </w:p>
        </w:tc>
      </w:tr>
    </w:tbl>
    <w:p/>
    <w:p>
      <w:r>
        <w:t>Die Ziel-Variable ist nahezu ausgewogen verteilt (ca. 49% vs. 51%), was für Machine-Learning-Modelle optimal ist.</w:t>
      </w:r>
    </w:p>
    <w:p>
      <w:pPr>
        <w:pStyle w:val="Heading2"/>
      </w:pPr>
      <w:r>
        <w:t>4.2  Analysetabelle</w:t>
      </w:r>
    </w:p>
    <w:p>
      <w:r>
        <w:t>Die finale Analysetabelle (analysetabelle.csv) enthält 1,824 Zeilen und 17 Spalten. Jede Zeile repräsentiert genau ein Krankenhaus.</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Spalte</w:t>
            </w:r>
          </w:p>
        </w:tc>
        <w:tc>
          <w:tcPr>
            <w:tcW w:type="dxa" w:w="2268"/>
            <w:shd w:fill="4472C4" w:color="FFFFFF" w:val="clear"/>
          </w:tcPr>
          <w:p>
            <w:r>
              <w:rPr>
                <w:b/>
                <w:color w:val="FFFFFF"/>
                <w:sz w:val="20"/>
              </w:rPr>
              <w:t>Datentyp</w:t>
            </w:r>
          </w:p>
        </w:tc>
      </w:tr>
      <w:tr>
        <w:tc>
          <w:tcPr>
            <w:tcW w:type="dxa" w:w="4535"/>
          </w:tcPr>
          <w:p>
            <w:r>
              <w:rPr>
                <w:sz w:val="20"/>
              </w:rPr>
              <w:t>SO.QBID</w:t>
            </w:r>
          </w:p>
        </w:tc>
        <w:tc>
          <w:tcPr>
            <w:tcW w:type="dxa" w:w="2268"/>
          </w:tcPr>
          <w:p>
            <w:r>
              <w:rPr>
                <w:sz w:val="20"/>
              </w:rPr>
              <w:t>int64</w:t>
            </w:r>
          </w:p>
        </w:tc>
      </w:tr>
      <w:tr>
        <w:tc>
          <w:tcPr>
            <w:tcW w:type="dxa" w:w="4535"/>
          </w:tcPr>
          <w:p>
            <w:r>
              <w:rPr>
                <w:sz w:val="20"/>
              </w:rPr>
              <w:t>total_qi</w:t>
            </w:r>
          </w:p>
        </w:tc>
        <w:tc>
          <w:tcPr>
            <w:tcW w:type="dxa" w:w="2268"/>
          </w:tcPr>
          <w:p>
            <w:r>
              <w:rPr>
                <w:sz w:val="20"/>
              </w:rPr>
              <w:t>int64</w:t>
            </w:r>
          </w:p>
        </w:tc>
      </w:tr>
      <w:tr>
        <w:tc>
          <w:tcPr>
            <w:tcW w:type="dxa" w:w="4535"/>
          </w:tcPr>
          <w:p>
            <w:r>
              <w:rPr>
                <w:sz w:val="20"/>
              </w:rPr>
              <w:t>auffaellig_n</w:t>
            </w:r>
          </w:p>
        </w:tc>
        <w:tc>
          <w:tcPr>
            <w:tcW w:type="dxa" w:w="2268"/>
          </w:tcPr>
          <w:p>
            <w:r>
              <w:rPr>
                <w:sz w:val="20"/>
              </w:rPr>
              <w:t>int64</w:t>
            </w:r>
          </w:p>
        </w:tc>
      </w:tr>
      <w:tr>
        <w:tc>
          <w:tcPr>
            <w:tcW w:type="dxa" w:w="4535"/>
          </w:tcPr>
          <w:p>
            <w:r>
              <w:rPr>
                <w:sz w:val="20"/>
              </w:rPr>
              <w:t>auffaellig_quote</w:t>
            </w:r>
          </w:p>
        </w:tc>
        <w:tc>
          <w:tcPr>
            <w:tcW w:type="dxa" w:w="2268"/>
          </w:tcPr>
          <w:p>
            <w:r>
              <w:rPr>
                <w:sz w:val="20"/>
              </w:rPr>
              <w:t>float64</w:t>
            </w:r>
          </w:p>
        </w:tc>
      </w:tr>
      <w:tr>
        <w:tc>
          <w:tcPr>
            <w:tcW w:type="dxa" w:w="4535"/>
          </w:tcPr>
          <w:p>
            <w:r>
              <w:rPr>
                <w:sz w:val="20"/>
              </w:rPr>
              <w:t>hat_viele_Probleme</w:t>
            </w:r>
          </w:p>
        </w:tc>
        <w:tc>
          <w:tcPr>
            <w:tcW w:type="dxa" w:w="2268"/>
          </w:tcPr>
          <w:p>
            <w:r>
              <w:rPr>
                <w:sz w:val="20"/>
              </w:rPr>
              <w:t>int64</w:t>
            </w:r>
          </w:p>
        </w:tc>
      </w:tr>
      <w:tr>
        <w:tc>
          <w:tcPr>
            <w:tcW w:type="dxa" w:w="4535"/>
          </w:tcPr>
          <w:p>
            <w:r>
              <w:rPr>
                <w:sz w:val="20"/>
              </w:rPr>
              <w:t>SO.Name</w:t>
            </w:r>
          </w:p>
        </w:tc>
        <w:tc>
          <w:tcPr>
            <w:tcW w:type="dxa" w:w="2268"/>
          </w:tcPr>
          <w:p>
            <w:r>
              <w:rPr>
                <w:sz w:val="20"/>
              </w:rPr>
              <w:t>object</w:t>
            </w:r>
          </w:p>
        </w:tc>
      </w:tr>
      <w:tr>
        <w:tc>
          <w:tcPr>
            <w:tcW w:type="dxa" w:w="4535"/>
          </w:tcPr>
          <w:p>
            <w:r>
              <w:rPr>
                <w:sz w:val="20"/>
              </w:rPr>
              <w:t>SO.Betten</w:t>
            </w:r>
          </w:p>
        </w:tc>
        <w:tc>
          <w:tcPr>
            <w:tcW w:type="dxa" w:w="2268"/>
          </w:tcPr>
          <w:p>
            <w:r>
              <w:rPr>
                <w:sz w:val="20"/>
              </w:rPr>
              <w:t>int64</w:t>
            </w:r>
          </w:p>
        </w:tc>
      </w:tr>
      <w:tr>
        <w:tc>
          <w:tcPr>
            <w:tcW w:type="dxa" w:w="4535"/>
          </w:tcPr>
          <w:p>
            <w:r>
              <w:rPr>
                <w:sz w:val="20"/>
              </w:rPr>
              <w:t>SO.Bundesland</w:t>
            </w:r>
          </w:p>
        </w:tc>
        <w:tc>
          <w:tcPr>
            <w:tcW w:type="dxa" w:w="2268"/>
          </w:tcPr>
          <w:p>
            <w:r>
              <w:rPr>
                <w:sz w:val="20"/>
              </w:rPr>
              <w:t>object</w:t>
            </w:r>
          </w:p>
        </w:tc>
      </w:tr>
      <w:tr>
        <w:tc>
          <w:tcPr>
            <w:tcW w:type="dxa" w:w="4535"/>
          </w:tcPr>
          <w:p>
            <w:r>
              <w:rPr>
                <w:sz w:val="20"/>
              </w:rPr>
              <w:t>SO.Uni</w:t>
            </w:r>
          </w:p>
        </w:tc>
        <w:tc>
          <w:tcPr>
            <w:tcW w:type="dxa" w:w="2268"/>
          </w:tcPr>
          <w:p>
            <w:r>
              <w:rPr>
                <w:sz w:val="20"/>
              </w:rPr>
              <w:t>int64</w:t>
            </w:r>
          </w:p>
        </w:tc>
      </w:tr>
      <w:tr>
        <w:tc>
          <w:tcPr>
            <w:tcW w:type="dxa" w:w="4535"/>
          </w:tcPr>
          <w:p>
            <w:r>
              <w:rPr>
                <w:sz w:val="20"/>
              </w:rPr>
              <w:t>KH.Träger</w:t>
            </w:r>
          </w:p>
        </w:tc>
        <w:tc>
          <w:tcPr>
            <w:tcW w:type="dxa" w:w="2268"/>
          </w:tcPr>
          <w:p>
            <w:r>
              <w:rPr>
                <w:sz w:val="20"/>
              </w:rPr>
              <w:t>object</w:t>
            </w:r>
          </w:p>
        </w:tc>
      </w:tr>
      <w:tr>
        <w:tc>
          <w:tcPr>
            <w:tcW w:type="dxa" w:w="4535"/>
          </w:tcPr>
          <w:p>
            <w:r>
              <w:rPr>
                <w:sz w:val="20"/>
              </w:rPr>
              <w:t>KH.Träger.Art</w:t>
            </w:r>
          </w:p>
        </w:tc>
        <w:tc>
          <w:tcPr>
            <w:tcW w:type="dxa" w:w="2268"/>
          </w:tcPr>
          <w:p>
            <w:r>
              <w:rPr>
                <w:sz w:val="20"/>
              </w:rPr>
              <w:t>object</w:t>
            </w:r>
          </w:p>
        </w:tc>
      </w:tr>
      <w:tr>
        <w:tc>
          <w:tcPr>
            <w:tcW w:type="dxa" w:w="4535"/>
          </w:tcPr>
          <w:p>
            <w:r>
              <w:rPr>
                <w:sz w:val="20"/>
              </w:rPr>
              <w:t>SO.Latitude</w:t>
            </w:r>
          </w:p>
        </w:tc>
        <w:tc>
          <w:tcPr>
            <w:tcW w:type="dxa" w:w="2268"/>
          </w:tcPr>
          <w:p>
            <w:r>
              <w:rPr>
                <w:sz w:val="20"/>
              </w:rPr>
              <w:t>object</w:t>
            </w:r>
          </w:p>
        </w:tc>
      </w:tr>
      <w:tr>
        <w:tc>
          <w:tcPr>
            <w:tcW w:type="dxa" w:w="4535"/>
          </w:tcPr>
          <w:p>
            <w:r>
              <w:rPr>
                <w:sz w:val="20"/>
              </w:rPr>
              <w:t>SO.Longitude</w:t>
            </w:r>
          </w:p>
        </w:tc>
        <w:tc>
          <w:tcPr>
            <w:tcW w:type="dxa" w:w="2268"/>
          </w:tcPr>
          <w:p>
            <w:r>
              <w:rPr>
                <w:sz w:val="20"/>
              </w:rPr>
              <w:t>object</w:t>
            </w:r>
          </w:p>
        </w:tc>
      </w:tr>
      <w:tr>
        <w:tc>
          <w:tcPr>
            <w:tcW w:type="dxa" w:w="4535"/>
          </w:tcPr>
          <w:p>
            <w:r>
              <w:rPr>
                <w:sz w:val="20"/>
              </w:rPr>
              <w:t>fortbildungsquote</w:t>
            </w:r>
          </w:p>
        </w:tc>
        <w:tc>
          <w:tcPr>
            <w:tcW w:type="dxa" w:w="2268"/>
          </w:tcPr>
          <w:p>
            <w:r>
              <w:rPr>
                <w:sz w:val="20"/>
              </w:rPr>
              <w:t>float64</w:t>
            </w:r>
          </w:p>
        </w:tc>
      </w:tr>
      <w:tr>
        <w:tc>
          <w:tcPr>
            <w:tcW w:type="dxa" w:w="4535"/>
          </w:tcPr>
          <w:p>
            <w:r>
              <w:rPr>
                <w:sz w:val="20"/>
              </w:rPr>
              <w:t>aerzte_pro_bett</w:t>
            </w:r>
          </w:p>
        </w:tc>
        <w:tc>
          <w:tcPr>
            <w:tcW w:type="dxa" w:w="2268"/>
          </w:tcPr>
          <w:p>
            <w:r>
              <w:rPr>
                <w:sz w:val="20"/>
              </w:rPr>
              <w:t>float64</w:t>
            </w:r>
          </w:p>
        </w:tc>
      </w:tr>
      <w:tr>
        <w:tc>
          <w:tcPr>
            <w:tcW w:type="dxa" w:w="4535"/>
          </w:tcPr>
          <w:p>
            <w:r>
              <w:rPr>
                <w:sz w:val="20"/>
              </w:rPr>
              <w:t>pflege_pro_bett</w:t>
            </w:r>
          </w:p>
        </w:tc>
        <w:tc>
          <w:tcPr>
            <w:tcW w:type="dxa" w:w="2268"/>
          </w:tcPr>
          <w:p>
            <w:r>
              <w:rPr>
                <w:sz w:val="20"/>
              </w:rPr>
              <w:t>float64</w:t>
            </w:r>
          </w:p>
        </w:tc>
      </w:tr>
      <w:tr>
        <w:tc>
          <w:tcPr>
            <w:tcW w:type="dxa" w:w="4535"/>
          </w:tcPr>
          <w:p>
            <w:r>
              <w:rPr>
                <w:sz w:val="20"/>
              </w:rPr>
              <w:t>ist_konzern</w:t>
            </w:r>
          </w:p>
        </w:tc>
        <w:tc>
          <w:tcPr>
            <w:tcW w:type="dxa" w:w="2268"/>
          </w:tcPr>
          <w:p>
            <w:r>
              <w:rPr>
                <w:sz w:val="20"/>
              </w:rPr>
              <w:t>int64</w:t>
            </w:r>
          </w:p>
        </w:tc>
      </w:tr>
    </w:tbl>
    <w:p/>
    <w:p>
      <w:pPr>
        <w:pStyle w:val="Heading2"/>
      </w:pPr>
      <w:r>
        <w:t>4.3  Wozu wird die Analysetabelle genutzt?</w:t>
      </w:r>
    </w:p>
    <w:p>
      <w:r>
        <w:t>Die Analysetabelle ist die einzige Datengrundlage für alle weiteren Projektschritte. Das Prinzip: Rohdaten → Analysetabelle → alles andere.</w:t>
      </w:r>
    </w:p>
    <w:tbl>
      <w:tblPr>
        <w:tblStyle w:val="TableGrid"/>
        <w:tblW w:type="auto" w:w="0"/>
        <w:tblLook w:firstColumn="1" w:firstRow="1" w:lastColumn="0" w:lastRow="0" w:noHBand="0" w:noVBand="1" w:val="04A0"/>
      </w:tblPr>
      <w:tblGrid>
        <w:gridCol w:w="4561"/>
        <w:gridCol w:w="4561"/>
      </w:tblGrid>
      <w:tr>
        <w:tc>
          <w:tcPr>
            <w:tcW w:type="dxa" w:w="2268"/>
            <w:shd w:fill="4472C4" w:color="FFFFFF" w:val="clear"/>
          </w:tcPr>
          <w:p>
            <w:r>
              <w:rPr>
                <w:b/>
                <w:color w:val="FFFFFF"/>
                <w:sz w:val="20"/>
              </w:rPr>
              <w:t>Baustein</w:t>
            </w:r>
          </w:p>
        </w:tc>
        <w:tc>
          <w:tcPr>
            <w:tcW w:type="dxa" w:w="6803"/>
            <w:shd w:fill="4472C4" w:color="FFFFFF" w:val="clear"/>
          </w:tcPr>
          <w:p>
            <w:r>
              <w:rPr>
                <w:b/>
                <w:color w:val="FFFFFF"/>
                <w:sz w:val="20"/>
              </w:rPr>
              <w:t>Nutzung der Analysetabelle</w:t>
            </w:r>
          </w:p>
        </w:tc>
      </w:tr>
      <w:tr>
        <w:tc>
          <w:tcPr>
            <w:tcW w:type="dxa" w:w="2268"/>
          </w:tcPr>
          <w:p>
            <w:r>
              <w:rPr>
                <w:sz w:val="20"/>
              </w:rPr>
              <w:t>Baustein 2</w:t>
              <w:br/>
              <w:t>Deskriptive Analyse</w:t>
            </w:r>
          </w:p>
        </w:tc>
        <w:tc>
          <w:tcPr>
            <w:tcW w:type="dxa" w:w="6803"/>
          </w:tcPr>
          <w:p>
            <w:r>
              <w:rPr>
                <w:sz w:val="20"/>
              </w:rPr>
              <w:t>Grafiken (Box-Plots, Scatter-Plots, Balkendiagramme) werden direkt aus der Tabelle erzeugt. Beispiel: "Unterscheiden sich Bettenzahl zwischen Häusern mit/ohne viele Probleme?"</w:t>
            </w:r>
          </w:p>
        </w:tc>
      </w:tr>
      <w:tr>
        <w:tc>
          <w:tcPr>
            <w:tcW w:type="dxa" w:w="2268"/>
          </w:tcPr>
          <w:p>
            <w:r>
              <w:rPr>
                <w:sz w:val="20"/>
              </w:rPr>
              <w:t>Baustein 3</w:t>
              <w:br/>
              <w:t>Dashboard Seite 1</w:t>
            </w:r>
          </w:p>
        </w:tc>
        <w:tc>
          <w:tcPr>
            <w:tcW w:type="dxa" w:w="6803"/>
          </w:tcPr>
          <w:p>
            <w:r>
              <w:rPr>
                <w:sz w:val="20"/>
              </w:rPr>
              <w:t>hat_viele_Probleme + Koordinaten → Deutschland-Karte mit regionaler Verteilung</w:t>
            </w:r>
          </w:p>
        </w:tc>
      </w:tr>
      <w:tr>
        <w:tc>
          <w:tcPr>
            <w:tcW w:type="dxa" w:w="2268"/>
          </w:tcPr>
          <w:p>
            <w:r>
              <w:rPr>
                <w:sz w:val="20"/>
              </w:rPr>
              <w:t>Baustein 3</w:t>
              <w:br/>
              <w:t>Dashboard Seite 2</w:t>
            </w:r>
          </w:p>
        </w:tc>
        <w:tc>
          <w:tcPr>
            <w:tcW w:type="dxa" w:w="6803"/>
          </w:tcPr>
          <w:p>
            <w:r>
              <w:rPr>
                <w:sz w:val="20"/>
              </w:rPr>
              <w:t>Merkmale gruppiert nach hat_viele_Probleme → Vergleichsdiagramme mit Dropdown</w:t>
            </w:r>
          </w:p>
        </w:tc>
      </w:tr>
      <w:tr>
        <w:tc>
          <w:tcPr>
            <w:tcW w:type="dxa" w:w="2268"/>
          </w:tcPr>
          <w:p>
            <w:r>
              <w:rPr>
                <w:sz w:val="20"/>
              </w:rPr>
              <w:t>Baustein 3</w:t>
              <w:br/>
              <w:t>Dashboard Seite 3</w:t>
            </w:r>
          </w:p>
        </w:tc>
        <w:tc>
          <w:tcPr>
            <w:tcW w:type="dxa" w:w="6803"/>
          </w:tcPr>
          <w:p>
            <w:r>
              <w:rPr>
                <w:sz w:val="20"/>
              </w:rPr>
              <w:t>Filter nach Betten / Region / Träger → ähnliche Häuser finden und deren Qualität zeigen</w:t>
            </w:r>
          </w:p>
        </w:tc>
      </w:tr>
      <w:tr>
        <w:tc>
          <w:tcPr>
            <w:tcW w:type="dxa" w:w="2268"/>
          </w:tcPr>
          <w:p>
            <w:r>
              <w:rPr>
                <w:sz w:val="20"/>
              </w:rPr>
              <w:t>Baustein 4</w:t>
              <w:br/>
              <w:t>Decision Tree</w:t>
            </w:r>
          </w:p>
        </w:tc>
        <w:tc>
          <w:tcPr>
            <w:tcW w:type="dxa" w:w="6803"/>
          </w:tcPr>
          <w:p>
            <w:r>
              <w:rPr>
                <w:sz w:val="20"/>
              </w:rPr>
              <w:t>Feature Matrix X = Betten, Träger, Bundesland, Uni, Fortbildungsquote; Zielvariable y = hat_viele_Probleme; direkt für train_test_split und DecisionTreeClassifier nutzbar</w:t>
            </w:r>
          </w:p>
        </w:tc>
      </w:tr>
    </w:tbl>
    <w:p/>
    <w:p>
      <w:pPr>
        <w:pStyle w:val="Heading2"/>
      </w:pPr>
      <w:r>
        <w:t>4.4  Fehlende Werte</w:t>
      </w:r>
    </w:p>
    <w:tbl>
      <w:tblPr>
        <w:tblStyle w:val="TableGrid"/>
        <w:tblW w:type="auto" w:w="0"/>
        <w:tblLook w:firstColumn="1" w:firstRow="1" w:lastColumn="0" w:lastRow="0" w:noHBand="0" w:noVBand="1" w:val="04A0"/>
      </w:tblPr>
      <w:tblGrid>
        <w:gridCol w:w="3041"/>
        <w:gridCol w:w="3041"/>
        <w:gridCol w:w="3041"/>
      </w:tblGrid>
      <w:tr>
        <w:tc>
          <w:tcPr>
            <w:tcW w:type="dxa" w:w="3402"/>
            <w:shd w:fill="4472C4" w:color="FFFFFF" w:val="clear"/>
          </w:tcPr>
          <w:p>
            <w:r>
              <w:rPr>
                <w:b/>
                <w:color w:val="FFFFFF"/>
                <w:sz w:val="20"/>
              </w:rPr>
              <w:t>Spalte</w:t>
            </w:r>
          </w:p>
        </w:tc>
        <w:tc>
          <w:tcPr>
            <w:tcW w:type="dxa" w:w="2268"/>
            <w:shd w:fill="4472C4" w:color="FFFFFF" w:val="clear"/>
          </w:tcPr>
          <w:p>
            <w:r>
              <w:rPr>
                <w:b/>
                <w:color w:val="FFFFFF"/>
                <w:sz w:val="20"/>
              </w:rPr>
              <w:t>Fehlende Werte (n)</w:t>
            </w:r>
          </w:p>
        </w:tc>
        <w:tc>
          <w:tcPr>
            <w:tcW w:type="dxa" w:w="2268"/>
            <w:shd w:fill="4472C4" w:color="FFFFFF" w:val="clear"/>
          </w:tcPr>
          <w:p>
            <w:r>
              <w:rPr>
                <w:b/>
                <w:color w:val="FFFFFF"/>
                <w:sz w:val="20"/>
              </w:rPr>
              <w:t>Anteil</w:t>
            </w:r>
          </w:p>
        </w:tc>
      </w:tr>
      <w:tr>
        <w:tc>
          <w:tcPr>
            <w:tcW w:type="dxa" w:w="3402"/>
          </w:tcPr>
          <w:p>
            <w:r>
              <w:rPr>
                <w:sz w:val="20"/>
              </w:rPr>
              <w:t>KH.Träger.Art</w:t>
            </w:r>
          </w:p>
        </w:tc>
        <w:tc>
          <w:tcPr>
            <w:tcW w:type="dxa" w:w="2268"/>
          </w:tcPr>
          <w:p>
            <w:r>
              <w:rPr>
                <w:sz w:val="20"/>
              </w:rPr>
              <w:t>28</w:t>
            </w:r>
          </w:p>
        </w:tc>
        <w:tc>
          <w:tcPr>
            <w:tcW w:type="dxa" w:w="2268"/>
          </w:tcPr>
          <w:p>
            <w:r>
              <w:rPr>
                <w:sz w:val="20"/>
              </w:rPr>
              <w:t>1.5%</w:t>
            </w:r>
          </w:p>
        </w:tc>
      </w:tr>
      <w:tr>
        <w:tc>
          <w:tcPr>
            <w:tcW w:type="dxa" w:w="3402"/>
          </w:tcPr>
          <w:p>
            <w:r>
              <w:rPr>
                <w:sz w:val="20"/>
              </w:rPr>
              <w:t>fortbildungsquote</w:t>
            </w:r>
          </w:p>
        </w:tc>
        <w:tc>
          <w:tcPr>
            <w:tcW w:type="dxa" w:w="2268"/>
          </w:tcPr>
          <w:p>
            <w:r>
              <w:rPr>
                <w:sz w:val="20"/>
              </w:rPr>
              <w:t>33</w:t>
            </w:r>
          </w:p>
        </w:tc>
        <w:tc>
          <w:tcPr>
            <w:tcW w:type="dxa" w:w="2268"/>
          </w:tcPr>
          <w:p>
            <w:r>
              <w:rPr>
                <w:sz w:val="20"/>
              </w:rPr>
              <w:t>1.8%</w:t>
            </w:r>
          </w:p>
        </w:tc>
      </w:tr>
      <w:tr>
        <w:tc>
          <w:tcPr>
            <w:tcW w:type="dxa" w:w="3402"/>
          </w:tcPr>
          <w:p>
            <w:r>
              <w:rPr>
                <w:sz w:val="20"/>
              </w:rPr>
              <w:t>aerzte_pro_bett</w:t>
            </w:r>
          </w:p>
        </w:tc>
        <w:tc>
          <w:tcPr>
            <w:tcW w:type="dxa" w:w="2268"/>
          </w:tcPr>
          <w:p>
            <w:r>
              <w:rPr>
                <w:sz w:val="20"/>
              </w:rPr>
              <w:t>5</w:t>
            </w:r>
          </w:p>
        </w:tc>
        <w:tc>
          <w:tcPr>
            <w:tcW w:type="dxa" w:w="2268"/>
          </w:tcPr>
          <w:p>
            <w:r>
              <w:rPr>
                <w:sz w:val="20"/>
              </w:rPr>
              <w:t>0.3%</w:t>
            </w:r>
          </w:p>
        </w:tc>
      </w:tr>
      <w:tr>
        <w:tc>
          <w:tcPr>
            <w:tcW w:type="dxa" w:w="3402"/>
          </w:tcPr>
          <w:p>
            <w:r>
              <w:rPr>
                <w:sz w:val="20"/>
              </w:rPr>
              <w:t>pflege_pro_bett</w:t>
            </w:r>
          </w:p>
        </w:tc>
        <w:tc>
          <w:tcPr>
            <w:tcW w:type="dxa" w:w="2268"/>
          </w:tcPr>
          <w:p>
            <w:r>
              <w:rPr>
                <w:sz w:val="20"/>
              </w:rPr>
              <w:t>4</w:t>
            </w:r>
          </w:p>
        </w:tc>
        <w:tc>
          <w:tcPr>
            <w:tcW w:type="dxa" w:w="2268"/>
          </w:tcPr>
          <w:p>
            <w:r>
              <w:rPr>
                <w:sz w:val="20"/>
              </w:rPr>
              <w:t>0.2%</w:t>
            </w:r>
          </w:p>
        </w:tc>
      </w:tr>
    </w:tbl>
    <w:p/>
    <w:p>
      <w:r>
        <w:t>KH.Träger.Art (28 fehlend) und fortbildungsquote (33 fehlend) haben sehr geringe Fehlquoten (&lt;2%) und können für die Analyse entweder mit dem Modus imputiert oder als eigene Kategorie 'unbekannt' behandelt werden.</w:t>
      </w:r>
    </w:p>
    <w:p>
      <w:r>
        <w:br w:type="page"/>
      </w:r>
    </w:p>
    <w:p>
      <w:pPr>
        <w:pStyle w:val="Heading1"/>
      </w:pPr>
      <w:r>
        <w:t>5  Deskriptive Analyse — Befunde</w:t>
      </w:r>
    </w:p>
    <w:p>
      <w:r>
        <w:t>Die Analyse wurde in 02_Analyse.ipynb durchgeführt. Grundlage: analysetabelle.csv. 10 Grafiken wurden erstellt, jede mit automatisch berechnetem Befundsatz. Farbschema einheitlich: grün = wenige Probleme, rot = viele Probleme.</w:t>
      </w:r>
    </w:p>
    <w:p>
      <w:pPr>
        <w:pStyle w:val="Heading2"/>
      </w:pPr>
      <w:r>
        <w:t>5.1  Übersicht der Befunde</w:t>
      </w:r>
    </w:p>
    <w:tbl>
      <w:tblPr>
        <w:tblStyle w:val="TableGrid"/>
        <w:tblW w:type="auto" w:w="0"/>
        <w:tblLook w:firstColumn="1" w:firstRow="1" w:lastColumn="0" w:lastRow="0" w:noHBand="0" w:noVBand="1" w:val="04A0"/>
      </w:tblPr>
      <w:tblGrid>
        <w:gridCol w:w="4561"/>
        <w:gridCol w:w="4561"/>
      </w:tblGrid>
      <w:tr>
        <w:tc>
          <w:tcPr>
            <w:tcW w:type="dxa" w:w="1984"/>
            <w:shd w:fill="4472C4" w:color="FFFFFF" w:val="clear"/>
          </w:tcPr>
          <w:p>
            <w:r>
              <w:rPr>
                <w:b/>
                <w:color w:val="FFFFFF"/>
                <w:sz w:val="20"/>
              </w:rPr>
              <w:t>Grafik</w:t>
            </w:r>
          </w:p>
        </w:tc>
        <w:tc>
          <w:tcPr>
            <w:tcW w:type="dxa" w:w="7087"/>
            <w:shd w:fill="4472C4" w:color="FFFFFF" w:val="clear"/>
          </w:tcPr>
          <w:p>
            <w:r>
              <w:rPr>
                <w:b/>
                <w:color w:val="FFFFFF"/>
                <w:sz w:val="20"/>
              </w:rPr>
              <w:t>Befund</w:t>
            </w:r>
          </w:p>
        </w:tc>
      </w:tr>
      <w:tr>
        <w:tc>
          <w:tcPr>
            <w:tcW w:type="dxa" w:w="1984"/>
          </w:tcPr>
          <w:p>
            <w:r>
              <w:rPr>
                <w:sz w:val="20"/>
              </w:rPr>
              <w:t>Grafik 1</w:t>
              <w:br/>
              <w:t>auffällig-Quote</w:t>
            </w:r>
          </w:p>
        </w:tc>
        <w:tc>
          <w:tcPr>
            <w:tcW w:type="dxa" w:w="7087"/>
          </w:tcPr>
          <w:p>
            <w:r>
              <w:rPr>
                <w:sz w:val="20"/>
              </w:rPr>
              <w:t>Median 77%, linkssteil verteilt — die meisten Häuser liegen zwischen 60–90%.</w:t>
            </w:r>
          </w:p>
        </w:tc>
      </w:tr>
      <w:tr>
        <w:tc>
          <w:tcPr>
            <w:tcW w:type="dxa" w:w="1984"/>
          </w:tcPr>
          <w:p>
            <w:r>
              <w:rPr>
                <w:sz w:val="20"/>
              </w:rPr>
              <w:t>Grafik 2</w:t>
              <w:br/>
              <w:t>Bettenzahl</w:t>
            </w:r>
          </w:p>
        </w:tc>
        <w:tc>
          <w:tcPr>
            <w:tcW w:type="dxa" w:w="7087"/>
          </w:tcPr>
          <w:p>
            <w:r>
              <w:rPr>
                <w:sz w:val="20"/>
              </w:rPr>
              <w:t>Median: Wenige Probleme = 214 Betten, Viele Probleme = 170 Betten. Kein klarer Größenunterschied.</w:t>
            </w:r>
          </w:p>
        </w:tc>
      </w:tr>
      <w:tr>
        <w:tc>
          <w:tcPr>
            <w:tcW w:type="dxa" w:w="1984"/>
          </w:tcPr>
          <w:p>
            <w:r>
              <w:rPr>
                <w:sz w:val="20"/>
              </w:rPr>
              <w:t>Grafik 3</w:t>
              <w:br/>
              <w:t>Trägerschaft</w:t>
            </w:r>
          </w:p>
        </w:tc>
        <w:tc>
          <w:tcPr>
            <w:tcW w:type="dxa" w:w="7087"/>
          </w:tcPr>
          <w:p>
            <w:r>
              <w:rPr>
                <w:sz w:val="20"/>
              </w:rPr>
              <w:t>Privat: 56.5% | Freigemeinnützig: 46.4% | Öffentlich: 46.7% haben viele Probleme. Private Häuser auffällig höher.</w:t>
            </w:r>
          </w:p>
        </w:tc>
      </w:tr>
      <w:tr>
        <w:tc>
          <w:tcPr>
            <w:tcW w:type="dxa" w:w="1984"/>
          </w:tcPr>
          <w:p>
            <w:r>
              <w:rPr>
                <w:sz w:val="20"/>
              </w:rPr>
              <w:t>Grafik 4</w:t>
              <w:br/>
              <w:t>Uni-Kliniken</w:t>
            </w:r>
          </w:p>
        </w:tc>
        <w:tc>
          <w:tcPr>
            <w:tcW w:type="dxa" w:w="7087"/>
          </w:tcPr>
          <w:p>
            <w:r>
              <w:rPr>
                <w:sz w:val="20"/>
              </w:rPr>
              <w:t>Uni-Kliniken: 47.3% vs. normale Häuser: 49.4% — kaum Unterschied.</w:t>
            </w:r>
          </w:p>
        </w:tc>
      </w:tr>
      <w:tr>
        <w:tc>
          <w:tcPr>
            <w:tcW w:type="dxa" w:w="1984"/>
          </w:tcPr>
          <w:p>
            <w:r>
              <w:rPr>
                <w:sz w:val="20"/>
              </w:rPr>
              <w:t>Grafik 5+6</w:t>
              <w:br/>
              <w:t>Fortbildung &amp; Ärzte/Bett</w:t>
            </w:r>
          </w:p>
        </w:tc>
        <w:tc>
          <w:tcPr>
            <w:tcW w:type="dxa" w:w="7087"/>
          </w:tcPr>
          <w:p>
            <w:r>
              <w:rPr>
                <w:sz w:val="20"/>
              </w:rPr>
              <w:t>Fortbildungsquote: kein Unterschied (Md=0.667 vs. 0.667). Ärzte/Bett: Wenige=0.468, Viele=0.390 — leichter Unterschied sichtbar.</w:t>
            </w:r>
          </w:p>
        </w:tc>
      </w:tr>
      <w:tr>
        <w:tc>
          <w:tcPr>
            <w:tcW w:type="dxa" w:w="1984"/>
          </w:tcPr>
          <w:p>
            <w:r>
              <w:rPr>
                <w:sz w:val="20"/>
              </w:rPr>
              <w:t>Grafik 7</w:t>
              <w:br/>
              <w:t>Bundesland</w:t>
            </w:r>
          </w:p>
        </w:tc>
        <w:tc>
          <w:tcPr>
            <w:tcW w:type="dxa" w:w="7087"/>
          </w:tcPr>
          <w:p>
            <w:r>
              <w:rPr>
                <w:sz w:val="20"/>
              </w:rPr>
              <w:t>Saarland höchster Anteil (63,2%), Berlin niedrigster (33,3%). Regionale Unterschiede sichtbar — kleine n beachten.</w:t>
            </w:r>
          </w:p>
        </w:tc>
      </w:tr>
      <w:tr>
        <w:tc>
          <w:tcPr>
            <w:tcW w:type="dxa" w:w="1984"/>
          </w:tcPr>
          <w:p>
            <w:r>
              <w:rPr>
                <w:sz w:val="20"/>
              </w:rPr>
              <w:t>Grafik 8</w:t>
              <w:br/>
              <w:t>Korrelationsmatrix</w:t>
            </w:r>
          </w:p>
        </w:tc>
        <w:tc>
          <w:tcPr>
            <w:tcW w:type="dxa" w:w="7087"/>
          </w:tcPr>
          <w:p>
            <w:r>
              <w:rPr>
                <w:sz w:val="20"/>
              </w:rPr>
              <w:t>Stärkste Korrelation mit Ziel-Variable: total_qi (r=−0,28), dann aerzte_pro_bett (r=−0,14). Fortbildungsquote praktisch keine Korrelation.</w:t>
            </w:r>
          </w:p>
        </w:tc>
      </w:tr>
      <w:tr>
        <w:tc>
          <w:tcPr>
            <w:tcW w:type="dxa" w:w="1984"/>
          </w:tcPr>
          <w:p>
            <w:r>
              <w:rPr>
                <w:sz w:val="20"/>
              </w:rPr>
              <w:t>Grafik 9</w:t>
              <w:br/>
              <w:t>Scatter Betten/Ärzte</w:t>
            </w:r>
          </w:p>
        </w:tc>
        <w:tc>
          <w:tcPr>
            <w:tcW w:type="dxa" w:w="7087"/>
          </w:tcPr>
          <w:p>
            <w:r>
              <w:rPr>
                <w:sz w:val="20"/>
              </w:rPr>
              <w:t>Kein klares Trennmuster zwischen den Gruppen — Überlappung stark.</w:t>
            </w:r>
          </w:p>
        </w:tc>
      </w:tr>
      <w:tr>
        <w:tc>
          <w:tcPr>
            <w:tcW w:type="dxa" w:w="1984"/>
          </w:tcPr>
          <w:p>
            <w:r>
              <w:rPr>
                <w:sz w:val="20"/>
              </w:rPr>
              <w:t>Grafik 10</w:t>
              <w:br/>
              <w:t>Störfaktor Träger×Betten</w:t>
            </w:r>
          </w:p>
        </w:tc>
        <w:tc>
          <w:tcPr>
            <w:tcW w:type="dxa" w:w="7087"/>
          </w:tcPr>
          <w:p>
            <w:r>
              <w:rPr>
                <w:sz w:val="20"/>
              </w:rPr>
              <w:t>Private Häuser sind kleiner (Md=125 Betten). Der Trägereffekt muss daher mit Vorsicht interpretiert werden.</w:t>
            </w:r>
          </w:p>
        </w:tc>
      </w:tr>
    </w:tbl>
    <w:p/>
    <w:p>
      <w:pPr>
        <w:pStyle w:val="Heading2"/>
      </w:pPr>
      <w:r>
        <w:t>5.2  Grafiken</w:t>
      </w:r>
    </w:p>
    <w:p>
      <w:r>
        <w:rPr>
          <w:b/>
          <w:sz w:val="22"/>
        </w:rPr>
        <w:t>Grafik 1: Verteilung der auffällig-Quote</w:t>
      </w:r>
    </w:p>
    <w:p>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400000" cy="2700000"/>
                    </a:xfrm>
                    <a:prstGeom prst="rect"/>
                  </pic:spPr>
                </pic:pic>
              </a:graphicData>
            </a:graphic>
          </wp:inline>
        </w:drawing>
      </w:r>
    </w:p>
    <w:p/>
    <w:p>
      <w:r>
        <w:rPr>
          <w:b/>
          <w:sz w:val="22"/>
        </w:rPr>
        <w:t>Grafik 2: Bettenzahl</w:t>
      </w:r>
    </w:p>
    <w:p>
      <w:r>
        <w:drawing>
          <wp:inline xmlns:a="http://schemas.openxmlformats.org/drawingml/2006/main" xmlns:pic="http://schemas.openxmlformats.org/drawingml/2006/picture">
            <wp:extent cx="5400000" cy="1800000"/>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400000" cy="1800000"/>
                    </a:xfrm>
                    <a:prstGeom prst="rect"/>
                  </pic:spPr>
                </pic:pic>
              </a:graphicData>
            </a:graphic>
          </wp:inline>
        </w:drawing>
      </w:r>
    </w:p>
    <w:p/>
    <w:p>
      <w:r>
        <w:rPr>
          <w:b/>
          <w:sz w:val="22"/>
        </w:rPr>
        <w:t>Grafik 3: Trägerschaft</w:t>
      </w:r>
    </w:p>
    <w:p>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400000" cy="3375000"/>
                    </a:xfrm>
                    <a:prstGeom prst="rect"/>
                  </pic:spPr>
                </pic:pic>
              </a:graphicData>
            </a:graphic>
          </wp:inline>
        </w:drawing>
      </w:r>
    </w:p>
    <w:p/>
    <w:p>
      <w:r>
        <w:rPr>
          <w:b/>
          <w:sz w:val="22"/>
        </w:rPr>
        <w:t>Grafik 4: Uni-Kliniken vs. normale Häuser</w:t>
      </w:r>
    </w:p>
    <w:p>
      <w:r>
        <w:drawing>
          <wp:inline xmlns:a="http://schemas.openxmlformats.org/drawingml/2006/main" xmlns:pic="http://schemas.openxmlformats.org/drawingml/2006/picture">
            <wp:extent cx="5400000" cy="3600000"/>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400000" cy="3600000"/>
                    </a:xfrm>
                    <a:prstGeom prst="rect"/>
                  </pic:spPr>
                </pic:pic>
              </a:graphicData>
            </a:graphic>
          </wp:inline>
        </w:drawing>
      </w:r>
    </w:p>
    <w:p/>
    <w:p>
      <w:r>
        <w:rPr>
          <w:b/>
          <w:sz w:val="22"/>
        </w:rPr>
        <w:t>Grafik 5+6: Fortbildungsquote &amp; Ärzte pro Bett</w:t>
      </w:r>
    </w:p>
    <w:p>
      <w:r>
        <w:drawing>
          <wp:inline xmlns:a="http://schemas.openxmlformats.org/drawingml/2006/main" xmlns:pic="http://schemas.openxmlformats.org/drawingml/2006/picture">
            <wp:extent cx="5400000" cy="2250000"/>
            <wp:docPr id="5" name="Picture 5"/>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5400000" cy="2250000"/>
                    </a:xfrm>
                    <a:prstGeom prst="rect"/>
                  </pic:spPr>
                </pic:pic>
              </a:graphicData>
            </a:graphic>
          </wp:inline>
        </w:drawing>
      </w:r>
    </w:p>
    <w:p/>
    <w:p>
      <w:r>
        <w:rPr>
          <w:b/>
          <w:sz w:val="22"/>
        </w:rPr>
        <w:t>Grafik 7: Anteil Häuser mit vielen Problemen je Bundesland</w:t>
      </w:r>
    </w:p>
    <w:p>
      <w:r>
        <w:drawing>
          <wp:inline xmlns:a="http://schemas.openxmlformats.org/drawingml/2006/main" xmlns:pic="http://schemas.openxmlformats.org/drawingml/2006/picture">
            <wp:extent cx="5400000" cy="3240000"/>
            <wp:docPr id="6" name="Picture 6"/>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5400000" cy="3240000"/>
                    </a:xfrm>
                    <a:prstGeom prst="rect"/>
                  </pic:spPr>
                </pic:pic>
              </a:graphicData>
            </a:graphic>
          </wp:inline>
        </w:drawing>
      </w:r>
    </w:p>
    <w:p/>
    <w:p>
      <w:r>
        <w:rPr>
          <w:b/>
          <w:sz w:val="22"/>
        </w:rPr>
        <w:t>Grafik 8: Korrelationsmatrix</w:t>
      </w:r>
    </w:p>
    <w:p>
      <w:r>
        <w:drawing>
          <wp:inline xmlns:a="http://schemas.openxmlformats.org/drawingml/2006/main" xmlns:pic="http://schemas.openxmlformats.org/drawingml/2006/picture">
            <wp:extent cx="5400000" cy="4050000"/>
            <wp:docPr id="7" name="Picture 7"/>
            <wp:cNvGraphicFramePr>
              <a:graphicFrameLocks noChangeAspect="1"/>
            </wp:cNvGraphicFramePr>
            <a:graphic>
              <a:graphicData uri="http://schemas.openxmlformats.org/drawingml/2006/picture">
                <pic:pic>
                  <pic:nvPicPr>
                    <pic:cNvPr id="0" name="g8_korrelation.png"/>
                    <pic:cNvPicPr/>
                  </pic:nvPicPr>
                  <pic:blipFill>
                    <a:blip r:embed="rId15"/>
                    <a:stretch>
                      <a:fillRect/>
                    </a:stretch>
                  </pic:blipFill>
                  <pic:spPr>
                    <a:xfrm>
                      <a:off x="0" y="0"/>
                      <a:ext cx="5400000" cy="4050000"/>
                    </a:xfrm>
                    <a:prstGeom prst="rect"/>
                  </pic:spPr>
                </pic:pic>
              </a:graphicData>
            </a:graphic>
          </wp:inline>
        </w:drawing>
      </w:r>
    </w:p>
    <w:p/>
    <w:p>
      <w:r>
        <w:rPr>
          <w:b/>
          <w:sz w:val="22"/>
        </w:rPr>
        <w:t>Grafik 9: Scatter — Bettenzahl vs. Ärzte pro Bett</w:t>
      </w:r>
    </w:p>
    <w:p>
      <w:r>
        <w:drawing>
          <wp:inline xmlns:a="http://schemas.openxmlformats.org/drawingml/2006/main" xmlns:pic="http://schemas.openxmlformats.org/drawingml/2006/picture">
            <wp:extent cx="5400000" cy="3375000"/>
            <wp:docPr id="8" name="Picture 8"/>
            <wp:cNvGraphicFramePr>
              <a:graphicFrameLocks noChangeAspect="1"/>
            </wp:cNvGraphicFramePr>
            <a:graphic>
              <a:graphicData uri="http://schemas.openxmlformats.org/drawingml/2006/picture">
                <pic:pic>
                  <pic:nvPicPr>
                    <pic:cNvPr id="0" name="g9_scatter_betten_aerzte.png"/>
                    <pic:cNvPicPr/>
                  </pic:nvPicPr>
                  <pic:blipFill>
                    <a:blip r:embed="rId16"/>
                    <a:stretch>
                      <a:fillRect/>
                    </a:stretch>
                  </pic:blipFill>
                  <pic:spPr>
                    <a:xfrm>
                      <a:off x="0" y="0"/>
                      <a:ext cx="5400000" cy="3375000"/>
                    </a:xfrm>
                    <a:prstGeom prst="rect"/>
                  </pic:spPr>
                </pic:pic>
              </a:graphicData>
            </a:graphic>
          </wp:inline>
        </w:drawing>
      </w:r>
    </w:p>
    <w:p/>
    <w:p>
      <w:r>
        <w:rPr>
          <w:b/>
          <w:sz w:val="22"/>
        </w:rPr>
        <w:t>Grafik 10: Störfaktor — Bettengröße je Trägerschaft</w:t>
      </w:r>
    </w:p>
    <w:p>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g10_stoerfaktor_traeger.png"/>
                    <pic:cNvPicPr/>
                  </pic:nvPicPr>
                  <pic:blipFill>
                    <a:blip r:embed="rId17"/>
                    <a:stretch>
                      <a:fillRect/>
                    </a:stretch>
                  </pic:blipFill>
                  <pic:spPr>
                    <a:xfrm>
                      <a:off x="0" y="0"/>
                      <a:ext cx="5400000" cy="3375000"/>
                    </a:xfrm>
                    <a:prstGeom prst="rect"/>
                  </pic:spPr>
                </pic:pic>
              </a:graphicData>
            </a:graphic>
          </wp:inline>
        </w:drawing>
      </w:r>
    </w:p>
    <w:p/>
    <w:p>
      <w:pPr>
        <w:pStyle w:val="Heading2"/>
      </w:pPr>
      <w:r>
        <w:t>5.2  Gesamteinschätzung</w:t>
      </w:r>
    </w:p>
    <w:p>
      <w:r>
        <w:t>Die Analyse zeigt keine starken, eindeutigen Zusammenhänge zwischen den untersuchten Strukturmerkmalen und der Ziel-Variable. Der stärkste Prädiktor ist total_qi (Anzahl bewerteter Indikatoren) — ein strukturelles Merkmal des Hauses, kein Qualitätsmerkmal: Häuser mit mehr bewerteten Indikatoren haben tendenziell niedrigere Auffälligkeitsquoten.</w:t>
      </w:r>
    </w:p>
    <w:p>
      <w:r>
        <w:t>Einziger klarer inhaltlicher Befund: Private Häuser haben mit 56,5% einen höheren Anteil als freigemeinnützige (46,4%) und öffentliche (46,7%) Träger. Allerdings sind private Häuser im Median deutlich kleiner — der Trägereffekt könnte durch Größenunterschiede mitverursacht sein (Störfaktor).</w:t>
      </w:r>
    </w:p>
    <w:p>
      <w:r>
        <w:t>Wichtig: Das ist ein valides Ergebnis. Schwache Zusammenhänge sind in echten Gesundheitsdaten normal, da viele weitere Faktoren (Patientenmix, Spezialisierung, Dokumentationsqualität) eine Rolle spielen, die nicht im Datensatz enthalten sind.</w:t>
      </w:r>
    </w:p>
    <w:p>
      <w:r>
        <w:br w:type="page"/>
      </w:r>
    </w:p>
    <w:p>
      <w:pPr>
        <w:pStyle w:val="Heading1"/>
      </w:pPr>
      <w:r>
        <w:t>6  Offene Punkte &amp; Nächste Schritte</w:t>
      </w:r>
    </w:p>
    <w:tbl>
      <w:tblPr>
        <w:tblStyle w:val="TableGrid"/>
        <w:tblW w:type="auto" w:w="0"/>
        <w:tblLook w:firstColumn="1" w:firstRow="1" w:lastColumn="0" w:lastRow="0" w:noHBand="0" w:noVBand="1" w:val="04A0"/>
      </w:tblPr>
      <w:tblGrid>
        <w:gridCol w:w="4561"/>
        <w:gridCol w:w="4561"/>
      </w:tblGrid>
      <w:tr>
        <w:tc>
          <w:tcPr>
            <w:tcW w:type="dxa" w:w="3118"/>
            <w:shd w:fill="4472C4" w:color="FFFFFF" w:val="clear"/>
          </w:tcPr>
          <w:p>
            <w:r>
              <w:rPr>
                <w:b/>
                <w:color w:val="FFFFFF"/>
                <w:sz w:val="20"/>
              </w:rPr>
              <w:t>Aufgabe</w:t>
            </w:r>
          </w:p>
        </w:tc>
        <w:tc>
          <w:tcPr>
            <w:tcW w:type="dxa" w:w="5953"/>
            <w:shd w:fill="4472C4" w:color="FFFFFF" w:val="clear"/>
          </w:tcPr>
          <w:p>
            <w:r>
              <w:rPr>
                <w:b/>
                <w:color w:val="FFFFFF"/>
                <w:sz w:val="20"/>
              </w:rPr>
              <w:t>Details</w:t>
            </w:r>
          </w:p>
        </w:tc>
      </w:tr>
      <w:tr>
        <w:tc>
          <w:tcPr>
            <w:tcW w:type="dxa" w:w="3118"/>
          </w:tcPr>
          <w:p>
            <w:r>
              <w:rPr>
                <w:sz w:val="20"/>
              </w:rPr>
              <w:t>Baustein 3: Streamlit-Dashboard</w:t>
            </w:r>
          </w:p>
        </w:tc>
        <w:tc>
          <w:tcPr>
            <w:tcW w:type="dxa" w:w="5953"/>
          </w:tcPr>
          <w:p>
            <w:r>
              <w:rPr>
                <w:sz w:val="20"/>
              </w:rPr>
              <w:t>Seite 1: Übersicht + Karte | Seite 2: Vergleiche | Seite 3: Ähnliche Häuser</w:t>
            </w:r>
          </w:p>
        </w:tc>
      </w:tr>
      <w:tr>
        <w:tc>
          <w:tcPr>
            <w:tcW w:type="dxa" w:w="3118"/>
          </w:tcPr>
          <w:p>
            <w:r>
              <w:rPr>
                <w:sz w:val="20"/>
              </w:rPr>
              <w:t>Baustein 4: Decision Tree (Bonus)</w:t>
            </w:r>
          </w:p>
        </w:tc>
        <w:tc>
          <w:tcPr>
            <w:tcW w:type="dxa" w:w="5953"/>
          </w:tcPr>
          <w:p>
            <w:r>
              <w:rPr>
                <w:sz w:val="20"/>
              </w:rPr>
              <w:t>max_depth=3, Train-Test-Split, Modell speichern (joblib)</w:t>
            </w:r>
          </w:p>
        </w:tc>
      </w:tr>
      <w:tr>
        <w:tc>
          <w:tcPr>
            <w:tcW w:type="dxa" w:w="3118"/>
          </w:tcPr>
          <w:p>
            <w:r>
              <w:rPr>
                <w:sz w:val="20"/>
              </w:rPr>
              <w:t>Baustein 5: Präsentation &amp; Dokumentation</w:t>
            </w:r>
          </w:p>
        </w:tc>
        <w:tc>
          <w:tcPr>
            <w:tcW w:type="dxa" w:w="5953"/>
          </w:tcPr>
          <w:p>
            <w:r>
              <w:rPr>
                <w:sz w:val="20"/>
              </w:rPr>
              <w:t>Startanleitung, Entscheidungsbegründungen, Live-Demo</w:t>
            </w:r>
          </w:p>
        </w:tc>
      </w:tr>
      <w:tr>
        <w:tc>
          <w:tcPr>
            <w:tcW w:type="dxa" w:w="3118"/>
          </w:tcPr>
          <w:p>
            <w:r>
              <w:rPr>
                <w:sz w:val="20"/>
              </w:rPr>
              <w:t>Pflegekräfte pro Bett</w:t>
            </w:r>
          </w:p>
        </w:tc>
        <w:tc>
          <w:tcPr>
            <w:tcW w:type="dxa" w:w="5953"/>
          </w:tcPr>
          <w:p>
            <w:r>
              <w:rPr>
                <w:sz w:val="20"/>
              </w:rPr>
              <w:t>Noch nicht berechnet — aus FA.Personalliste.csv extrahieren</w:t>
            </w:r>
          </w:p>
        </w:tc>
      </w:tr>
    </w:tbl>
    <w:p/>
    <w:p>
      <w:r>
        <w:t>Hinweis: Ein Entscheidungsbaum auf Basis der bereits vorliegenden Analysetabelle kann jederzeit trainiert werden. Die Datengrundlage ist vollständig.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