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56"/>
        </w:rPr>
        <w:t>Projektbegleitende Dokumentation</w:t>
      </w:r>
    </w:p>
    <w:p>
      <w:pPr>
        <w:jc w:val="center"/>
      </w:pPr>
      <w:r>
        <w:rPr>
          <w:color w:val="BF5A00"/>
          <w:sz w:val="36"/>
        </w:rPr>
        <w:t>Qualitäts-Muster-Finder</w:t>
      </w:r>
    </w:p>
    <w:p/>
    <w:p>
      <w:pPr>
        <w:jc w:val="center"/>
      </w:pPr>
      <w:r>
        <w:rPr>
          <w:i/>
          <w:color w:val="555555"/>
          <w:sz w:val="26"/>
        </w:rPr>
        <w:t>„Welche Krankenhausmerkmale hängen damit zusammen, dass ein Haus überdurchschnittlich viele Qualitätsprobleme aufweist?</w:t>
      </w:r>
    </w:p>
    <w:p/>
    <w:p/>
    <w:p/>
    <w:p>
      <w:pPr>
        <w:jc w:val="center"/>
      </w:pPr>
      <w:r>
        <w:rPr>
          <w:color w:val="555555"/>
          <w:sz w:val="21"/>
        </w:rPr>
        <w:t>Stand: 30.08.2026</w:t>
      </w:r>
    </w:p>
    <w:p>
      <w:pPr>
        <w:jc w:val="center"/>
      </w:pPr>
      <w:r>
        <w:rPr>
          <w:i/>
          <w:color w:val="555555"/>
          <w:sz w:val="20"/>
        </w:rPr>
        <w:t>Dieses Dokument deckt alle sechs geplanten Kapitel ab.</w:t>
      </w:r>
    </w:p>
    <w:p>
      <w:r>
        <w:br w:type="page"/>
      </w:r>
    </w:p>
    <w:p>
      <w:pPr>
        <w:pStyle w:val="Heading1"/>
        <w:spacing w:before="360" w:after="200"/>
      </w:pPr>
      <w:r>
        <w:rPr>
          <w:color w:val="1F497D"/>
          <w:sz w:val="40"/>
        </w:rPr>
        <w:t>Kapitelübersicht</w:t>
      </w:r>
    </w:p>
    <w:p>
      <w:pPr>
        <w:spacing w:after="160" w:line="276" w:lineRule="auto"/>
      </w:pPr>
      <w:r>
        <w:rPr>
          <w:b w:val="0"/>
          <w:i w:val="0"/>
          <w:sz w:val="22"/>
        </w:rPr>
        <w:t>Diese projektbegleitende Dokumentation entsteht schrittweise über den Verlauf des Projekts und wird um weitere Kapitel ergänzt, sobald die entsprechenden Bausteine abgeschlossen sind. Die folgende Tabelle zeigt die geplante Gliederung und den aktuellen Stand.</w:t>
      </w:r>
    </w:p>
    <w:tbl>
      <w:tblPr>
        <w:tblStyle w:val="TableGrid"/>
        <w:tblW w:type="auto" w:w="0"/>
        <w:jc w:val="center"/>
        <w:tblLook w:firstColumn="1" w:firstRow="1" w:lastColumn="0" w:lastRow="0" w:noHBand="0" w:noVBand="1" w:val="04A0"/>
      </w:tblPr>
      <w:tblGrid>
        <w:gridCol w:w="3230"/>
        <w:gridCol w:w="3230"/>
        <w:gridCol w:w="3230"/>
      </w:tblGrid>
      <w:tr>
        <w:tc>
          <w:tcPr>
            <w:tcW w:type="dxa" w:w="850"/>
            <w:shd w:fill="1F497D" w:val="clear"/>
          </w:tcPr>
          <w:p>
            <w:r/>
            <w:r>
              <w:rPr>
                <w:b/>
                <w:color w:val="FFFFFF"/>
                <w:sz w:val="19"/>
              </w:rPr>
              <w:t>Kapitel</w:t>
            </w:r>
          </w:p>
        </w:tc>
        <w:tc>
          <w:tcPr>
            <w:tcW w:type="dxa" w:w="6520"/>
            <w:shd w:fill="1F497D" w:val="clear"/>
          </w:tcPr>
          <w:p>
            <w:r/>
            <w:r>
              <w:rPr>
                <w:b/>
                <w:color w:val="FFFFFF"/>
                <w:sz w:val="19"/>
              </w:rPr>
              <w:t>Inhalt</w:t>
            </w:r>
          </w:p>
        </w:tc>
        <w:tc>
          <w:tcPr>
            <w:tcW w:type="dxa" w:w="1984"/>
            <w:shd w:fill="1F497D" w:val="clear"/>
          </w:tcPr>
          <w:p>
            <w:r/>
            <w:r>
              <w:rPr>
                <w:b/>
                <w:color w:val="FFFFFF"/>
                <w:sz w:val="19"/>
              </w:rPr>
              <w:t>Status</w:t>
            </w:r>
          </w:p>
        </w:tc>
      </w:tr>
      <w:tr>
        <w:tc>
          <w:tcPr>
            <w:tcW w:type="dxa" w:w="850"/>
          </w:tcPr>
          <w:p>
            <w:r/>
            <w:r>
              <w:rPr>
                <w:sz w:val="19"/>
              </w:rPr>
              <w:t>1</w:t>
            </w:r>
          </w:p>
        </w:tc>
        <w:tc>
          <w:tcPr>
            <w:tcW w:type="dxa" w:w="6520"/>
          </w:tcPr>
          <w:p>
            <w:r/>
            <w:r>
              <w:rPr>
                <w:sz w:val="19"/>
              </w:rPr>
              <w:t>Aufgabenstellung und Ausgangsdaten</w:t>
            </w:r>
          </w:p>
        </w:tc>
        <w:tc>
          <w:tcPr>
            <w:tcW w:type="dxa" w:w="1984"/>
          </w:tcPr>
          <w:p>
            <w:r/>
            <w:r>
              <w:rPr>
                <w:sz w:val="19"/>
              </w:rPr>
              <w:t>✅ in diesem Dokument</w:t>
            </w:r>
          </w:p>
        </w:tc>
      </w:tr>
      <w:tr>
        <w:tc>
          <w:tcPr>
            <w:tcW w:type="dxa" w:w="850"/>
            <w:shd w:fill="F2F2F2" w:val="clear"/>
          </w:tcPr>
          <w:p>
            <w:r/>
            <w:r>
              <w:rPr>
                <w:sz w:val="19"/>
              </w:rPr>
              <w:t>2</w:t>
            </w:r>
          </w:p>
        </w:tc>
        <w:tc>
          <w:tcPr>
            <w:tcW w:type="dxa" w:w="6520"/>
            <w:shd w:fill="F2F2F2" w:val="clear"/>
          </w:tcPr>
          <w:p>
            <w:r/>
            <w:r>
              <w:rPr>
                <w:sz w:val="19"/>
              </w:rPr>
              <w:t>Datenaufbereitung (Baustein 1) — Ziel-Variable, Merkmale, Analysetabelle</w:t>
            </w:r>
          </w:p>
        </w:tc>
        <w:tc>
          <w:tcPr>
            <w:tcW w:type="dxa" w:w="1984"/>
            <w:shd w:fill="F2F2F2" w:val="clear"/>
          </w:tcPr>
          <w:p>
            <w:r/>
            <w:r>
              <w:rPr>
                <w:sz w:val="19"/>
              </w:rPr>
              <w:t>✅ in diesem Dokument</w:t>
            </w:r>
          </w:p>
        </w:tc>
      </w:tr>
      <w:tr>
        <w:tc>
          <w:tcPr>
            <w:tcW w:type="dxa" w:w="850"/>
          </w:tcPr>
          <w:p>
            <w:r/>
            <w:r>
              <w:rPr>
                <w:sz w:val="19"/>
              </w:rPr>
              <w:t>3</w:t>
            </w:r>
          </w:p>
        </w:tc>
        <w:tc>
          <w:tcPr>
            <w:tcW w:type="dxa" w:w="6520"/>
          </w:tcPr>
          <w:p>
            <w:r/>
            <w:r>
              <w:rPr>
                <w:sz w:val="19"/>
              </w:rPr>
              <w:t>Deskriptive Analyse (Baustein 2) — Grafiken, Gruppenvergleiche, Inferenzstatistik</w:t>
            </w:r>
          </w:p>
        </w:tc>
        <w:tc>
          <w:tcPr>
            <w:tcW w:type="dxa" w:w="1984"/>
          </w:tcPr>
          <w:p>
            <w:r/>
            <w:r>
              <w:rPr>
                <w:sz w:val="19"/>
              </w:rPr>
              <w:t>✅ in diesem Dokument</w:t>
            </w:r>
          </w:p>
        </w:tc>
      </w:tr>
      <w:tr>
        <w:tc>
          <w:tcPr>
            <w:tcW w:type="dxa" w:w="850"/>
            <w:shd w:fill="F2F2F2" w:val="clear"/>
          </w:tcPr>
          <w:p>
            <w:r/>
            <w:r>
              <w:rPr>
                <w:sz w:val="19"/>
              </w:rPr>
              <w:t>4</w:t>
            </w:r>
          </w:p>
        </w:tc>
        <w:tc>
          <w:tcPr>
            <w:tcW w:type="dxa" w:w="6520"/>
            <w:shd w:fill="F2F2F2" w:val="clear"/>
          </w:tcPr>
          <w:p>
            <w:r/>
            <w:r>
              <w:rPr>
                <w:sz w:val="19"/>
              </w:rPr>
              <w:t>Machine-Learning-Modell (Baustein 4) — Decision Tree, Metriken, Feature Importance</w:t>
            </w:r>
          </w:p>
        </w:tc>
        <w:tc>
          <w:tcPr>
            <w:tcW w:type="dxa" w:w="1984"/>
            <w:shd w:fill="F2F2F2" w:val="clear"/>
          </w:tcPr>
          <w:p>
            <w:r/>
            <w:r>
              <w:rPr>
                <w:sz w:val="19"/>
              </w:rPr>
              <w:t>✅ in diesem Dokument</w:t>
            </w:r>
          </w:p>
        </w:tc>
      </w:tr>
      <w:tr>
        <w:tc>
          <w:tcPr>
            <w:tcW w:type="dxa" w:w="850"/>
          </w:tcPr>
          <w:p>
            <w:r/>
            <w:r>
              <w:rPr>
                <w:sz w:val="19"/>
              </w:rPr>
              <w:t>5</w:t>
            </w:r>
          </w:p>
        </w:tc>
        <w:tc>
          <w:tcPr>
            <w:tcW w:type="dxa" w:w="6520"/>
          </w:tcPr>
          <w:p>
            <w:r/>
            <w:r>
              <w:rPr>
                <w:sz w:val="19"/>
              </w:rPr>
              <w:t>Dashboard (Baustein 3) — Aufbau, Kennzahlen, alle vier Seiten</w:t>
            </w:r>
          </w:p>
        </w:tc>
        <w:tc>
          <w:tcPr>
            <w:tcW w:type="dxa" w:w="1984"/>
          </w:tcPr>
          <w:p>
            <w:r/>
            <w:r>
              <w:rPr>
                <w:sz w:val="19"/>
              </w:rPr>
              <w:t>✅ in diesem Dokument</w:t>
            </w:r>
          </w:p>
        </w:tc>
      </w:tr>
      <w:tr>
        <w:tc>
          <w:tcPr>
            <w:tcW w:type="dxa" w:w="850"/>
            <w:shd w:fill="F2F2F2" w:val="clear"/>
          </w:tcPr>
          <w:p>
            <w:r/>
            <w:r>
              <w:rPr>
                <w:sz w:val="19"/>
              </w:rPr>
              <w:t>6</w:t>
            </w:r>
          </w:p>
        </w:tc>
        <w:tc>
          <w:tcPr>
            <w:tcW w:type="dxa" w:w="6520"/>
            <w:shd w:fill="F2F2F2" w:val="clear"/>
          </w:tcPr>
          <w:p>
            <w:r/>
            <w:r>
              <w:rPr>
                <w:sz w:val="19"/>
              </w:rPr>
              <w:t>Fazit, Grenzen und Ausblick (Baustein 5)</w:t>
            </w:r>
          </w:p>
        </w:tc>
        <w:tc>
          <w:tcPr>
            <w:tcW w:type="dxa" w:w="1984"/>
            <w:shd w:fill="F2F2F2" w:val="clear"/>
          </w:tcPr>
          <w:p>
            <w:r/>
            <w:r>
              <w:rPr>
                <w:sz w:val="19"/>
              </w:rPr>
              <w:t>✅ in diesem Dokument</w:t>
            </w:r>
          </w:p>
        </w:tc>
      </w:tr>
    </w:tbl>
    <w:p>
      <w:r>
        <w:br w:type="page"/>
      </w:r>
    </w:p>
    <w:p>
      <w:pPr>
        <w:pStyle w:val="Heading1"/>
        <w:spacing w:before="360" w:after="200"/>
      </w:pPr>
      <w:r>
        <w:rPr>
          <w:color w:val="1F497D"/>
          <w:sz w:val="40"/>
        </w:rPr>
        <w:t>1  Aufgabenstellung und Ausgangsdaten</w:t>
      </w:r>
    </w:p>
    <w:p>
      <w:pPr>
        <w:spacing w:after="160" w:line="276" w:lineRule="auto"/>
      </w:pPr>
      <w:r>
        <w:rPr>
          <w:b w:val="0"/>
          <w:i w:val="0"/>
          <w:sz w:val="22"/>
        </w:rPr>
        <w:t>Dieses Kapitel beschreibt den Rahmen, in dem das Projekt entstanden ist: welche Aufgabe gestellt wurde, mit welchen Leitprinzipien gearbeitet werden sollte, und aus welchen Rohdaten das gesamte Projekt aufbaut. Es bildet die Grundlage für alle folgenden Kapitel.</w:t>
      </w:r>
    </w:p>
    <w:p>
      <w:pPr>
        <w:pStyle w:val="Heading2"/>
        <w:spacing w:before="280" w:after="120"/>
      </w:pPr>
      <w:r>
        <w:rPr>
          <w:color w:val="1F497D"/>
          <w:sz w:val="30"/>
        </w:rPr>
        <w:t>1.1  Projektrahmen und Leitprinzipien</w:t>
      </w:r>
    </w:p>
    <w:p>
      <w:pPr>
        <w:spacing w:after="160" w:line="276" w:lineRule="auto"/>
      </w:pPr>
      <w:r>
        <w:rPr>
          <w:b w:val="0"/>
          <w:i w:val="0"/>
          <w:sz w:val="22"/>
        </w:rPr>
        <w:t>Das Projekt wurde als fünfwöchiges Teamprojekt zu dritt bearbeitet, mit echten Daten aus dem deutschen Gesundheitswesen — nicht mit aufbereiteten Übungsdaten. Der komplette Weg einer Datenanalyse wurde durchlaufen: von unbekannten Rohdaten über eine saubere Datengrundlage, die Mustersuche, bis hin zu einem vorzeigbaren Ergebnis in Form eines interaktiven Dashboards.</w:t>
      </w:r>
    </w:p>
    <w:p>
      <w:pPr>
        <w:spacing w:after="160" w:line="276" w:lineRule="auto"/>
      </w:pPr>
      <w:r>
        <w:rPr>
          <w:b w:val="0"/>
          <w:i w:val="0"/>
          <w:sz w:val="22"/>
        </w:rPr>
        <w:t>Im Kick-off wurden mehrere Leitprinzipien vorgegeben, die die gesamte Arbeitsweise im Projekt geprägt haben:</w:t>
      </w:r>
    </w:p>
    <w:p>
      <w:pPr>
        <w:pStyle w:val="ListBullet"/>
        <w:spacing w:after="80"/>
      </w:pPr>
      <w:r>
        <w:rPr>
          <w:sz w:val="22"/>
        </w:rPr>
        <w:t>„Kein Zusammenhang ist ein valides Ergebnis.“ — Ziel ist keine erzwungene Korrelation, sondern eine ehrlich begründete Aussage, auch wenn diese lautet, dass kein klares Muster erkennbar ist.</w:t>
      </w:r>
    </w:p>
    <w:p>
      <w:pPr>
        <w:pStyle w:val="ListBullet"/>
        <w:spacing w:after="80"/>
      </w:pPr>
      <w:r>
        <w:rPr>
          <w:sz w:val="22"/>
        </w:rPr>
        <w:t>„Auffällig heißt nicht gleich schlecht.“ — Eine rechnerische Auffälligkeit ist zunächst nur ein Signal, kein Urteil. Ob tatsächlich ein Qualitätsproblem vorliegt, klärt ein nachgelagertes Prüfverfahren, der Strukturierte Dialog.</w:t>
      </w:r>
    </w:p>
    <w:p>
      <w:pPr>
        <w:pStyle w:val="ListBullet"/>
        <w:spacing w:after="80"/>
      </w:pPr>
      <w:r>
        <w:rPr>
          <w:sz w:val="22"/>
        </w:rPr>
        <w:t>„Echte Daten sind unordentlich.“ — Das Bereinigen und Verstehen der Rohdaten wurde bewusst nicht als lästiges Vorspiel behandelt, sondern als der arbeitsintensivste und wichtigste Teil des gesamten Projekts eingeplant.</w:t>
      </w:r>
    </w:p>
    <w:p>
      <w:pPr>
        <w:pStyle w:val="ListBullet"/>
        <w:spacing w:after="80"/>
      </w:pPr>
      <w:r>
        <w:rPr>
          <w:sz w:val="22"/>
        </w:rPr>
        <w:t>Nachvollziehbare, begründete Entscheidungen zählen mehr als ein möglichst beeindruckendes Ergebnis — jede wesentliche Entscheidung sollte im Nachhinein erklärbar sein.</w:t>
      </w:r>
    </w:p>
    <w:p>
      <w:pPr>
        <w:pStyle w:val="Heading3"/>
        <w:spacing w:before="200" w:after="80"/>
      </w:pPr>
      <w:r>
        <w:rPr>
          <w:color w:val="BF5A00"/>
          <w:sz w:val="25"/>
        </w:rPr>
        <w:t>Ablauf in fünf Bausteinen</w:t>
      </w:r>
    </w:p>
    <w:p>
      <w:pPr>
        <w:spacing w:after="160" w:line="276" w:lineRule="auto"/>
      </w:pPr>
      <w:r>
        <w:rPr>
          <w:b w:val="0"/>
          <w:i w:val="0"/>
          <w:sz w:val="22"/>
        </w:rPr>
        <w:t>Der Projektplan war in fünf Wochen bzw. Bausteine gegliedert. Die folgende Tabelle fasst die geplante Abfolge zusammen; die inhaltlichen Details zu jedem Baustein folgen in Abschnitt 1.3.</w:t>
      </w:r>
    </w:p>
    <w:tbl>
      <w:tblPr>
        <w:tblStyle w:val="TableGrid"/>
        <w:tblW w:type="auto" w:w="0"/>
        <w:jc w:val="center"/>
        <w:tblLook w:firstColumn="1" w:firstRow="1" w:lastColumn="0" w:lastRow="0" w:noHBand="0" w:noVBand="1" w:val="04A0"/>
      </w:tblPr>
      <w:tblGrid>
        <w:gridCol w:w="3230"/>
        <w:gridCol w:w="3230"/>
        <w:gridCol w:w="3230"/>
      </w:tblGrid>
      <w:tr>
        <w:tc>
          <w:tcPr>
            <w:tcW w:type="dxa" w:w="1020"/>
            <w:shd w:fill="1F497D" w:val="clear"/>
          </w:tcPr>
          <w:p>
            <w:r/>
            <w:r>
              <w:rPr>
                <w:b/>
                <w:color w:val="FFFFFF"/>
                <w:sz w:val="19"/>
              </w:rPr>
              <w:t>Woche</w:t>
            </w:r>
          </w:p>
        </w:tc>
        <w:tc>
          <w:tcPr>
            <w:tcW w:type="dxa" w:w="2551"/>
            <w:shd w:fill="1F497D" w:val="clear"/>
          </w:tcPr>
          <w:p>
            <w:r/>
            <w:r>
              <w:rPr>
                <w:b/>
                <w:color w:val="FFFFFF"/>
                <w:sz w:val="19"/>
              </w:rPr>
              <w:t>Baustein</w:t>
            </w:r>
          </w:p>
        </w:tc>
        <w:tc>
          <w:tcPr>
            <w:tcW w:type="dxa" w:w="5783"/>
            <w:shd w:fill="1F497D" w:val="clear"/>
          </w:tcPr>
          <w:p>
            <w:r/>
            <w:r>
              <w:rPr>
                <w:b/>
                <w:color w:val="FFFFFF"/>
                <w:sz w:val="19"/>
              </w:rPr>
              <w:t>Kernziel</w:t>
            </w:r>
          </w:p>
        </w:tc>
      </w:tr>
      <w:tr>
        <w:tc>
          <w:tcPr>
            <w:tcW w:type="dxa" w:w="1020"/>
          </w:tcPr>
          <w:p>
            <w:r/>
            <w:r>
              <w:rPr>
                <w:sz w:val="19"/>
              </w:rPr>
              <w:t>1</w:t>
            </w:r>
          </w:p>
        </w:tc>
        <w:tc>
          <w:tcPr>
            <w:tcW w:type="dxa" w:w="2551"/>
          </w:tcPr>
          <w:p>
            <w:r/>
            <w:r>
              <w:rPr>
                <w:sz w:val="19"/>
              </w:rPr>
              <w:t>Daten vorbereiten</w:t>
            </w:r>
          </w:p>
        </w:tc>
        <w:tc>
          <w:tcPr>
            <w:tcW w:type="dxa" w:w="5783"/>
          </w:tcPr>
          <w:p>
            <w:r/>
            <w:r>
              <w:rPr>
                <w:sz w:val="19"/>
              </w:rPr>
              <w:t>Datensatz verstehen, Ziel-Variable und Merkmale bauen, Analysetabelle erzeugen</w:t>
            </w:r>
          </w:p>
        </w:tc>
      </w:tr>
      <w:tr>
        <w:tc>
          <w:tcPr>
            <w:tcW w:type="dxa" w:w="1020"/>
            <w:shd w:fill="F2F2F2" w:val="clear"/>
          </w:tcPr>
          <w:p>
            <w:r/>
            <w:r>
              <w:rPr>
                <w:sz w:val="19"/>
              </w:rPr>
              <w:t>2</w:t>
            </w:r>
          </w:p>
        </w:tc>
        <w:tc>
          <w:tcPr>
            <w:tcW w:type="dxa" w:w="2551"/>
            <w:shd w:fill="F2F2F2" w:val="clear"/>
          </w:tcPr>
          <w:p>
            <w:r/>
            <w:r>
              <w:rPr>
                <w:sz w:val="19"/>
              </w:rPr>
              <w:t>Deskriptive Analyse</w:t>
            </w:r>
          </w:p>
        </w:tc>
        <w:tc>
          <w:tcPr>
            <w:tcW w:type="dxa" w:w="5783"/>
            <w:shd w:fill="F2F2F2" w:val="clear"/>
          </w:tcPr>
          <w:p>
            <w:r/>
            <w:r>
              <w:rPr>
                <w:sz w:val="19"/>
              </w:rPr>
              <w:t>Gruppen vergleichen, Zusammenhänge und Störfaktoren prüfen, Grafiken mit Befund</w:t>
            </w:r>
          </w:p>
        </w:tc>
      </w:tr>
      <w:tr>
        <w:tc>
          <w:tcPr>
            <w:tcW w:type="dxa" w:w="1020"/>
          </w:tcPr>
          <w:p>
            <w:r/>
            <w:r>
              <w:rPr>
                <w:sz w:val="19"/>
              </w:rPr>
              <w:t>3</w:t>
            </w:r>
          </w:p>
        </w:tc>
        <w:tc>
          <w:tcPr>
            <w:tcW w:type="dxa" w:w="2551"/>
          </w:tcPr>
          <w:p>
            <w:r/>
            <w:r>
              <w:rPr>
                <w:sz w:val="19"/>
              </w:rPr>
              <w:t>Dashboard (Teil 1)</w:t>
            </w:r>
          </w:p>
        </w:tc>
        <w:tc>
          <w:tcPr>
            <w:tcW w:type="dxa" w:w="5783"/>
          </w:tcPr>
          <w:p>
            <w:r/>
            <w:r>
              <w:rPr>
                <w:sz w:val="19"/>
              </w:rPr>
              <w:t>Streamlit-Grundstruktur, Übersichtsseite mit Karte, Vergleichsseite</w:t>
            </w:r>
          </w:p>
        </w:tc>
      </w:tr>
      <w:tr>
        <w:tc>
          <w:tcPr>
            <w:tcW w:type="dxa" w:w="1020"/>
            <w:shd w:fill="F2F2F2" w:val="clear"/>
          </w:tcPr>
          <w:p>
            <w:r/>
            <w:r>
              <w:rPr>
                <w:sz w:val="19"/>
              </w:rPr>
              <w:t>4</w:t>
            </w:r>
          </w:p>
        </w:tc>
        <w:tc>
          <w:tcPr>
            <w:tcW w:type="dxa" w:w="2551"/>
            <w:shd w:fill="F2F2F2" w:val="clear"/>
          </w:tcPr>
          <w:p>
            <w:r/>
            <w:r>
              <w:rPr>
                <w:sz w:val="19"/>
              </w:rPr>
              <w:t>Modell &amp; Dashboard (Teil 2)</w:t>
            </w:r>
          </w:p>
        </w:tc>
        <w:tc>
          <w:tcPr>
            <w:tcW w:type="dxa" w:w="5783"/>
            <w:shd w:fill="F2F2F2" w:val="clear"/>
          </w:tcPr>
          <w:p>
            <w:r/>
            <w:r>
              <w:rPr>
                <w:sz w:val="19"/>
              </w:rPr>
              <w:t>Decision Tree trainieren und bewerten, Seiten „Ähnliche Häuser“ und „Risiko-Rechner“</w:t>
            </w:r>
          </w:p>
        </w:tc>
      </w:tr>
      <w:tr>
        <w:tc>
          <w:tcPr>
            <w:tcW w:type="dxa" w:w="1020"/>
          </w:tcPr>
          <w:p>
            <w:r/>
            <w:r>
              <w:rPr>
                <w:sz w:val="19"/>
              </w:rPr>
              <w:t>5</w:t>
            </w:r>
          </w:p>
        </w:tc>
        <w:tc>
          <w:tcPr>
            <w:tcW w:type="dxa" w:w="2551"/>
          </w:tcPr>
          <w:p>
            <w:r/>
            <w:r>
              <w:rPr>
                <w:sz w:val="19"/>
              </w:rPr>
              <w:t>Abschluss</w:t>
            </w:r>
          </w:p>
        </w:tc>
        <w:tc>
          <w:tcPr>
            <w:tcW w:type="dxa" w:w="5783"/>
          </w:tcPr>
          <w:p>
            <w:r/>
            <w:r>
              <w:rPr>
                <w:sz w:val="19"/>
              </w:rPr>
              <w:t>Robustheit, Dokumentation der Entscheidungen, Präsentation, Generalprobe</w:t>
            </w:r>
          </w:p>
        </w:tc>
      </w:tr>
    </w:tbl>
    <w:p>
      <w:pPr>
        <w:spacing w:after="200" w:line="276" w:lineRule="auto"/>
      </w:pPr>
      <w:r>
        <w:rPr>
          <w:b/>
          <w:i w:val="0"/>
          <w:color w:val="555555"/>
          <w:sz w:val="22"/>
        </w:rPr>
        <w:t xml:space="preserve">Hinweis: </w:t>
      </w:r>
      <w:r>
        <w:rPr>
          <w:b w:val="0"/>
          <w:i w:val="0"/>
          <w:color w:val="555555"/>
          <w:sz w:val="22"/>
        </w:rPr>
        <w:t>Der Projektplan wurde ausdrücklich als Leitfaden verstanden, nicht als starres Korsett — Verschiebungen zwischen den Wochen waren vorgesehen, falls einzelne Bausteine mehr Zeit benötigten als geplant.</w:t>
      </w:r>
    </w:p>
    <w:p>
      <w:pPr>
        <w:pStyle w:val="Heading2"/>
        <w:spacing w:before="280" w:after="120"/>
      </w:pPr>
      <w:r>
        <w:rPr>
          <w:color w:val="1F497D"/>
          <w:sz w:val="30"/>
        </w:rPr>
        <w:t>1.2  Die Fragestellung</w:t>
      </w:r>
    </w:p>
    <w:p>
      <w:pPr>
        <w:spacing w:before="120" w:after="200"/>
        <w:ind w:left="454"/>
        <w:pBdr>
          <w:left w:val="single" w:sz="18" w:space="8" w:color="1F497D"/>
        </w:pBdr>
      </w:pPr>
      <w:r>
        <w:rPr>
          <w:i/>
          <w:color w:val="555555"/>
          <w:sz w:val="21"/>
        </w:rPr>
        <w:t>„Welche Krankenhausmerkmale hängen damit zusammen, dass ein Haus überdurchschnittlich viele Qualitätsprobleme hat?“</w:t>
      </w:r>
    </w:p>
    <w:p>
      <w:pPr>
        <w:spacing w:after="160" w:line="276" w:lineRule="auto"/>
      </w:pPr>
      <w:r>
        <w:rPr>
          <w:b w:val="0"/>
          <w:i w:val="0"/>
          <w:sz w:val="22"/>
        </w:rPr>
        <w:t>Diese eine Frage bildet den roten Faden durch das gesamte Projekt. Der fachliche Hintergrund: Jedes deutsche Krankenhaus ist gesetzlich verpflichtet, jährlich einen Qualitätsbericht zu veröffentlichen. Darin werden pro Haus rund 150 sogenannte Qualitätsindikatoren erfasst — zum Beispiel der Anteil der Patientinnen und Patienten mit langer Wartezeit vor einer Hüftgelenk-Operation (Leistungsbereich Hüftendoprothetik), ob bei der Implantation eines Herzschrittmachers während der Operation die Funktionsfähigkeit der Kabel angemessen überprüft wurde (Leistungsbereich Herzschrittmacher-Implantation), oder der Anteil der Geburten, die per Kaiserschnitt erfolgten (Leistungsbereich Geburtshilfe).</w:t>
      </w:r>
    </w:p>
    <w:p>
      <w:pPr>
        <w:spacing w:after="160" w:line="276" w:lineRule="auto"/>
      </w:pPr>
      <w:r>
        <w:rPr>
          <w:b w:val="0"/>
          <w:i w:val="0"/>
          <w:sz w:val="22"/>
        </w:rPr>
        <w:t>Für jeden Indikator ist ein Referenzbereich definiert. Liegt der Wert eines Hauses außerhalb dieses Bereichs, gilt der Indikator als „rechnerisch auffällig“. Wichtig: Das ist zunächst nur ein statistisches Signal — „hier lohnt sich ein genauerer Blick“ —, kein Urteil über die tatsächliche Versorgungsqualität. Ob wirklich ein Qualitätsproblem vorliegt oder die Auffälligkeit z. B. durch einen besonders schwierigen Einzelfall oder einen Dokumentationsfehler zustande kam, klärt ein nachgelagertes Prüfverfahren, der sogenannte Strukturierte Dialog.</w:t>
      </w:r>
    </w:p>
    <w:p>
      <w:pPr>
        <w:spacing w:after="160" w:line="276" w:lineRule="auto"/>
      </w:pPr>
      <w:r>
        <w:rPr>
          <w:b w:val="0"/>
          <w:i w:val="0"/>
          <w:sz w:val="22"/>
        </w:rPr>
        <w:t>Die zentrale Aufgabe des Projekts bestand darin, aus den vielen einzelnen Indikator-Bewertungen pro Haus eine einzige, vergleichbare Zielgröße zu konstruieren — und anschließend zu untersuchen, ob und wie strukturelle Merkmale eines Krankenhauses (Größe, Personal, Trägerschaft, Ausstattung) mit dieser Zielgröße zusammenhängen. Wie genau diese Zielgröße berechnet wird, war explizit Teil der Aufgabe und keine Vorgabe — die konkrete Umsetzung wird in Kapitel 2 dieses Dokuments beschrieben.</w:t>
      </w:r>
    </w:p>
    <w:p>
      <w:pPr>
        <w:pStyle w:val="Heading2"/>
        <w:spacing w:before="280" w:after="120"/>
      </w:pPr>
      <w:r>
        <w:rPr>
          <w:color w:val="1F497D"/>
          <w:sz w:val="30"/>
        </w:rPr>
        <w:t>1.3  Der Auftrag im Detail</w:t>
      </w:r>
    </w:p>
    <w:p>
      <w:pPr>
        <w:spacing w:after="160" w:line="276" w:lineRule="auto"/>
      </w:pPr>
      <w:r>
        <w:rPr>
          <w:b w:val="0"/>
          <w:i w:val="0"/>
          <w:sz w:val="22"/>
        </w:rPr>
        <w:t>Die Aufgabenstellung gliederte sich in vier Pflichtbausteine sowie einen optionalen Bonus-Baustein. Die folgende Übersicht listet die ursprünglichen Anforderungen; wie sie im Projekt tatsächlich umgesetzt wurden, ist Gegenstand der Kapitel 2 bis 5 dieses Dokuments.</w:t>
      </w:r>
    </w:p>
    <w:p>
      <w:pPr>
        <w:pStyle w:val="Heading3"/>
        <w:spacing w:before="200" w:after="80"/>
      </w:pPr>
      <w:r>
        <w:rPr>
          <w:color w:val="BF5A00"/>
          <w:sz w:val="25"/>
        </w:rPr>
        <w:t>Baustein 1 — Daten vorbereiten</w:t>
      </w:r>
    </w:p>
    <w:p>
      <w:pPr>
        <w:pStyle w:val="ListBullet"/>
        <w:spacing w:after="80"/>
      </w:pPr>
      <w:r>
        <w:rPr>
          <w:sz w:val="22"/>
        </w:rPr>
        <w:t>Ziel-Variable erstellen: für jedes Krankenhaus den Anteil auffälliger Qualitätsindikatoren berechnen; Zielgröße „hat überdurchschnittlich viele Probleme“ = Anteil liegt über dem Median</w:t>
      </w:r>
    </w:p>
    <w:p>
      <w:pPr>
        <w:pStyle w:val="ListBullet"/>
        <w:spacing w:after="80"/>
      </w:pPr>
      <w:r>
        <w:rPr>
          <w:sz w:val="22"/>
        </w:rPr>
        <w:t>5 bis 8 aussagekräftige Merkmale auswählen, u. a. Bettenzahl, Ärzte pro Bett, Pflegekräfte pro Bett, Trägerschaft, Region, Uni-Klinik-Status, Fortbildungsquote</w:t>
      </w:r>
    </w:p>
    <w:p>
      <w:pPr>
        <w:pStyle w:val="Heading3"/>
        <w:spacing w:before="200" w:after="80"/>
      </w:pPr>
      <w:r>
        <w:rPr>
          <w:color w:val="BF5A00"/>
          <w:sz w:val="25"/>
        </w:rPr>
        <w:t>Baustein 2 — Deskriptive Analyse</w:t>
      </w:r>
    </w:p>
    <w:p>
      <w:pPr>
        <w:pStyle w:val="ListBullet"/>
        <w:spacing w:after="80"/>
      </w:pPr>
      <w:r>
        <w:rPr>
          <w:sz w:val="22"/>
        </w:rPr>
        <w:t>Vergleich von Häusern mit vielen vs. wenigen Qualitätsproblemen je Merkmal</w:t>
      </w:r>
    </w:p>
    <w:p>
      <w:pPr>
        <w:pStyle w:val="ListBullet"/>
        <w:spacing w:after="80"/>
      </w:pPr>
      <w:r>
        <w:rPr>
          <w:sz w:val="22"/>
        </w:rPr>
        <w:t>Korrelationen zwischen Merkmalen und Zielgröße berechnen</w:t>
      </w:r>
    </w:p>
    <w:p>
      <w:pPr>
        <w:pStyle w:val="ListBullet"/>
        <w:spacing w:after="80"/>
      </w:pPr>
      <w:r>
        <w:rPr>
          <w:sz w:val="22"/>
        </w:rPr>
        <w:t>Gruppenvergleiche: Uni-Kliniken vs. normale Häuser, große vs. kleine Häuser, öffentliche vs. private Trägerschaft</w:t>
      </w:r>
    </w:p>
    <w:p>
      <w:pPr>
        <w:pStyle w:val="ListBullet"/>
        <w:spacing w:after="80"/>
      </w:pPr>
      <w:r>
        <w:rPr>
          <w:sz w:val="22"/>
        </w:rPr>
        <w:t>Visualisierungen (Box-Plots, Streudiagramme, Balkendiagramme), jeweils mit einer klaren schriftlichen Aussage — auch „kein Unterschied“ zählt als Befund</w:t>
      </w:r>
    </w:p>
    <w:p>
      <w:pPr>
        <w:pStyle w:val="Heading3"/>
        <w:spacing w:before="200" w:after="80"/>
      </w:pPr>
      <w:r>
        <w:rPr>
          <w:color w:val="BF5A00"/>
          <w:sz w:val="25"/>
        </w:rPr>
        <w:t>Baustein 3 — Dashboard bauen</w:t>
      </w:r>
    </w:p>
    <w:p>
      <w:pPr>
        <w:spacing w:after="160" w:line="276" w:lineRule="auto"/>
      </w:pPr>
      <w:r>
        <w:rPr>
          <w:b w:val="0"/>
          <w:i w:val="0"/>
          <w:sz w:val="22"/>
        </w:rPr>
        <w:t>Eine Streamlit-App mit ursprünglich drei Pflichtseiten:</w:t>
      </w:r>
    </w:p>
    <w:p>
      <w:pPr>
        <w:pStyle w:val="ListBullet"/>
        <w:spacing w:after="80"/>
      </w:pPr>
      <w:r>
        <w:rPr>
          <w:sz w:val="22"/>
        </w:rPr>
        <w:t>„Übersicht“ — Kennzahlen, Deutschland-Karte, Verteilung der Auffälligkeits-Quote</w:t>
      </w:r>
    </w:p>
    <w:p>
      <w:pPr>
        <w:pStyle w:val="ListBullet"/>
        <w:spacing w:after="80"/>
      </w:pPr>
      <w:r>
        <w:rPr>
          <w:sz w:val="22"/>
        </w:rPr>
        <w:t>„Vergleiche“ — Merkmal auswählen, Verteilung bei Häusern mit vielen vs. wenigen Problemen anzeigen</w:t>
      </w:r>
    </w:p>
    <w:p>
      <w:pPr>
        <w:pStyle w:val="ListBullet"/>
        <w:spacing w:after="80"/>
      </w:pPr>
      <w:r>
        <w:rPr>
          <w:sz w:val="22"/>
        </w:rPr>
        <w:t>„Finde ähnliche Krankenhäuser“ — Eingabe von Betten, Region, Träger; Anzeige ähnlicher Häuser und deren Qualität</w:t>
      </w:r>
    </w:p>
    <w:p>
      <w:pPr>
        <w:pStyle w:val="Heading3"/>
        <w:spacing w:before="200" w:after="80"/>
      </w:pPr>
      <w:r>
        <w:rPr>
          <w:color w:val="BF5A00"/>
          <w:sz w:val="25"/>
        </w:rPr>
        <w:t>Baustein 4 — Einfacher Entscheidungsbaum (Bonus)</w:t>
      </w:r>
    </w:p>
    <w:p>
      <w:pPr>
        <w:pStyle w:val="ListBullet"/>
        <w:spacing w:after="80"/>
      </w:pPr>
      <w:r>
        <w:rPr>
          <w:sz w:val="22"/>
        </w:rPr>
        <w:t>Decision Tree mit maximaler Tiefe 3 trainieren — bewusst einfach und erklärbar statt möglichst genau</w:t>
      </w:r>
    </w:p>
    <w:p>
      <w:pPr>
        <w:pStyle w:val="ListBullet"/>
        <w:spacing w:after="80"/>
      </w:pPr>
      <w:r>
        <w:rPr>
          <w:sz w:val="22"/>
        </w:rPr>
        <w:t>Vorhersage „hat überdurchschnittlich viele Probleme“ auf Basis der Strukturmerkmale</w:t>
      </w:r>
    </w:p>
    <w:p>
      <w:pPr>
        <w:pStyle w:val="ListBullet"/>
        <w:spacing w:after="80"/>
      </w:pPr>
      <w:r>
        <w:rPr>
          <w:sz w:val="22"/>
        </w:rPr>
        <w:t>Zusätzliche Dashboard-Seite „Risiko-Rechner“: Merkmal-Eingabe → Modell-Einschätzung inkl. Visualisierung des Entscheidungsbaums</w:t>
      </w:r>
    </w:p>
    <w:p>
      <w:pPr>
        <w:spacing w:after="200" w:line="276" w:lineRule="auto"/>
      </w:pPr>
      <w:r>
        <w:rPr>
          <w:b/>
          <w:i w:val="0"/>
          <w:color w:val="555555"/>
          <w:sz w:val="22"/>
        </w:rPr>
        <w:t xml:space="preserve">Einordnung: </w:t>
      </w:r>
      <w:r>
        <w:rPr>
          <w:b w:val="0"/>
          <w:i w:val="0"/>
          <w:color w:val="555555"/>
          <w:sz w:val="22"/>
        </w:rPr>
        <w:t>Der Entscheidungsbaum war ausdrücklich als Kür markiert, nicht als Pflicht — im Zweifel sollte zuerst das Dashboard fertig werden. Im tatsächlichen Projektverlauf wurde daraus eine vierte, feste Dashboard-Seite (siehe Kapitel 4 und 5).</w:t>
      </w:r>
    </w:p>
    <w:p>
      <w:pPr>
        <w:pStyle w:val="Heading3"/>
        <w:spacing w:before="200" w:after="80"/>
      </w:pPr>
      <w:r>
        <w:rPr>
          <w:color w:val="BF5A00"/>
          <w:sz w:val="25"/>
        </w:rPr>
        <w:t>Baustein 5 — Dokumentation und Präsentation</w:t>
      </w:r>
    </w:p>
    <w:p>
      <w:pPr>
        <w:pStyle w:val="ListBullet"/>
        <w:spacing w:after="80"/>
      </w:pPr>
      <w:r>
        <w:rPr>
          <w:sz w:val="22"/>
        </w:rPr>
        <w:t>Startanleitung, damit das Projekt auch ohne Erklärung durch das Team lauffähig ist</w:t>
      </w:r>
    </w:p>
    <w:p>
      <w:pPr>
        <w:pStyle w:val="ListBullet"/>
        <w:spacing w:after="80"/>
      </w:pPr>
      <w:r>
        <w:rPr>
          <w:sz w:val="22"/>
        </w:rPr>
        <w:t>Getroffene Entscheidungen und deren Begründung schriftlich festhalten</w:t>
      </w:r>
    </w:p>
    <w:p>
      <w:pPr>
        <w:pStyle w:val="ListBullet"/>
        <w:spacing w:after="80"/>
      </w:pPr>
      <w:r>
        <w:rPr>
          <w:sz w:val="22"/>
        </w:rPr>
        <w:t>Abschlusspräsentation mit Live-Demo, Benennung der Grenzen der Analyse, Generalprobe mit Zeitmessung</w:t>
      </w:r>
    </w:p>
    <w:p>
      <w:pPr>
        <w:pStyle w:val="Heading2"/>
        <w:spacing w:before="280" w:after="120"/>
      </w:pPr>
      <w:r>
        <w:rPr>
          <w:color w:val="1F497D"/>
          <w:sz w:val="30"/>
        </w:rPr>
        <w:t>1.4  Herkunft und Umfang der Ausgangsdaten</w:t>
      </w:r>
    </w:p>
    <w:p>
      <w:pPr>
        <w:spacing w:after="160" w:line="276" w:lineRule="auto"/>
      </w:pPr>
      <w:r>
        <w:rPr>
          <w:b w:val="0"/>
          <w:i w:val="0"/>
          <w:sz w:val="22"/>
        </w:rPr>
        <w:t>Jedes deutsche Krankenhaus ist gesetzlich verpflichtet, jährlich einen strukturierten Qualitätsbericht zu veröffentlichen. Herausgegeben und aufbereitet werden diese Berichte vom IQTIG (Institut für Qualitätssicherung und Transparenz im Gesundheitswesen) im Auftrag des G-BA (Gemeinsamer Bundesausschuss), dem obersten Beschlussgremium der gemeinsamen Selbstverwaltung im deutschen Gesundheitswesen. Die für dieses Projekt bereitgestellten Daten stammen aus den Qualitätsberichten des Berichtsjahres 2023 und liegen als 86 einzelne CSV-Dateien im Ordner Data/CSV vor, mit einem Gesamtumfang von rund 1,17 GB. Die mit Abstand größte Datei ist QS.Qualitätsindikator.csv mit 911,7 MB — sie enthält, wie in Kapitel 2 beschrieben, die Grundlage der Ziel-Variable und kann wegen ihrer Größe nicht mit einem gewöhnlichen Text-Editor geöffnet werden.</w:t>
      </w:r>
    </w:p>
    <w:p>
      <w:pPr>
        <w:spacing w:after="160" w:line="276" w:lineRule="auto"/>
      </w:pPr>
      <w:r>
        <w:rPr>
          <w:b w:val="0"/>
          <w:i w:val="0"/>
          <w:sz w:val="22"/>
        </w:rPr>
        <w:t>Der Aufbau des offiziellen Qualitätsberichts gliedert sich in mehrere Hauptteile, von denen zwei für dieses Projekt zentral sind:</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134"/>
            <w:shd w:fill="1F497D" w:val="clear"/>
          </w:tcPr>
          <w:p>
            <w:r/>
            <w:r>
              <w:rPr>
                <w:b/>
                <w:color w:val="FFFFFF"/>
                <w:sz w:val="19"/>
              </w:rPr>
              <w:t>Teil</w:t>
            </w:r>
          </w:p>
        </w:tc>
        <w:tc>
          <w:tcPr>
            <w:tcW w:type="dxa" w:w="1984"/>
            <w:shd w:fill="1F497D" w:val="clear"/>
          </w:tcPr>
          <w:p>
            <w:r/>
            <w:r>
              <w:rPr>
                <w:b/>
                <w:color w:val="FFFFFF"/>
                <w:sz w:val="19"/>
              </w:rPr>
              <w:t>Bezeichnung</w:t>
            </w:r>
          </w:p>
        </w:tc>
        <w:tc>
          <w:tcPr>
            <w:tcW w:type="dxa" w:w="3969"/>
            <w:shd w:fill="1F497D" w:val="clear"/>
          </w:tcPr>
          <w:p>
            <w:r/>
            <w:r>
              <w:rPr>
                <w:b/>
                <w:color w:val="FFFFFF"/>
                <w:sz w:val="19"/>
              </w:rPr>
              <w:t>Inhalt</w:t>
            </w:r>
          </w:p>
        </w:tc>
        <w:tc>
          <w:tcPr>
            <w:tcW w:type="dxa" w:w="2268"/>
            <w:shd w:fill="1F497D" w:val="clear"/>
          </w:tcPr>
          <w:p>
            <w:r/>
            <w:r>
              <w:rPr>
                <w:b/>
                <w:color w:val="FFFFFF"/>
                <w:sz w:val="19"/>
              </w:rPr>
              <w:t>Rolle im Projekt</w:t>
            </w:r>
          </w:p>
        </w:tc>
      </w:tr>
      <w:tr>
        <w:tc>
          <w:tcPr>
            <w:tcW w:type="dxa" w:w="1134"/>
          </w:tcPr>
          <w:p>
            <w:r/>
            <w:r>
              <w:rPr>
                <w:sz w:val="19"/>
              </w:rPr>
              <w:t>A-Teil</w:t>
            </w:r>
          </w:p>
        </w:tc>
        <w:tc>
          <w:tcPr>
            <w:tcW w:type="dxa" w:w="1984"/>
          </w:tcPr>
          <w:p>
            <w:r/>
            <w:r>
              <w:rPr>
                <w:sz w:val="19"/>
              </w:rPr>
              <w:t>Allgemeiner Teil</w:t>
            </w:r>
          </w:p>
        </w:tc>
        <w:tc>
          <w:tcPr>
            <w:tcW w:type="dxa" w:w="3969"/>
          </w:tcPr>
          <w:p>
            <w:r/>
            <w:r>
              <w:rPr>
                <w:sz w:val="19"/>
              </w:rPr>
              <w:t>Struktur eines Hauses: Betten, Personal, Trägerschaft, Standort, Ausstattung</w:t>
            </w:r>
          </w:p>
        </w:tc>
        <w:tc>
          <w:tcPr>
            <w:tcW w:type="dxa" w:w="2268"/>
          </w:tcPr>
          <w:p>
            <w:r/>
            <w:r>
              <w:rPr>
                <w:sz w:val="19"/>
              </w:rPr>
              <w:t>Merkmale (X)</w:t>
            </w:r>
          </w:p>
        </w:tc>
      </w:tr>
      <w:tr>
        <w:tc>
          <w:tcPr>
            <w:tcW w:type="dxa" w:w="1134"/>
            <w:shd w:fill="F2F2F2" w:val="clear"/>
          </w:tcPr>
          <w:p>
            <w:r/>
            <w:r>
              <w:rPr>
                <w:sz w:val="19"/>
              </w:rPr>
              <w:t>C-Teil</w:t>
            </w:r>
          </w:p>
        </w:tc>
        <w:tc>
          <w:tcPr>
            <w:tcW w:type="dxa" w:w="1984"/>
            <w:shd w:fill="F2F2F2" w:val="clear"/>
          </w:tcPr>
          <w:p>
            <w:r/>
            <w:r>
              <w:rPr>
                <w:sz w:val="19"/>
              </w:rPr>
              <w:t>Qualitätssicherungsteil</w:t>
            </w:r>
          </w:p>
        </w:tc>
        <w:tc>
          <w:tcPr>
            <w:tcW w:type="dxa" w:w="3969"/>
            <w:shd w:fill="F2F2F2" w:val="clear"/>
          </w:tcPr>
          <w:p>
            <w:r/>
            <w:r>
              <w:rPr>
                <w:sz w:val="19"/>
              </w:rPr>
              <w:t>Qualitätsindikatoren, Bewertungen des Strukturierten Dialogs, Fortbildung</w:t>
            </w:r>
          </w:p>
        </w:tc>
        <w:tc>
          <w:tcPr>
            <w:tcW w:type="dxa" w:w="2268"/>
            <w:shd w:fill="F2F2F2" w:val="clear"/>
          </w:tcPr>
          <w:p>
            <w:r/>
            <w:r>
              <w:rPr>
                <w:sz w:val="19"/>
              </w:rPr>
              <w:t>Ziel-Variable (y)</w:t>
            </w:r>
          </w:p>
        </w:tc>
      </w:tr>
    </w:tbl>
    <w:p>
      <w:pPr>
        <w:spacing w:after="160" w:line="276" w:lineRule="auto"/>
      </w:pPr>
      <w:r>
        <w:rPr>
          <w:b w:val="0"/>
          <w:i w:val="0"/>
          <w:sz w:val="22"/>
        </w:rPr>
        <w:t>Fast alle Tabellen lassen sich über einen gemeinsamen Schlüssel verbinden: SO.QBID, eine eindeutige Standort-ID, die in rund 60 der 86 Dateien vorkommt und als universeller Join-Schlüssel dient. Eine Ausnahme ist Konzern.csv, das stattdessen SO.Standortnummer verwendet — eine Besonderheit, die im Verlauf des Projekts zunächst zu einem Join-Fehler führte (siehe Kapitel 2).</w:t>
      </w:r>
    </w:p>
    <w:p>
      <w:pPr>
        <w:pStyle w:val="Heading3"/>
        <w:spacing w:before="200" w:after="80"/>
      </w:pPr>
      <w:r>
        <w:rPr>
          <w:color w:val="BF5A00"/>
          <w:sz w:val="25"/>
        </w:rPr>
        <w:t>Wie viele Krankenhäuser stehen tatsächlich hinter den Daten?</w:t>
      </w:r>
    </w:p>
    <w:p>
      <w:pPr>
        <w:spacing w:after="160" w:line="276" w:lineRule="auto"/>
      </w:pPr>
      <w:r>
        <w:rPr>
          <w:b w:val="0"/>
          <w:i w:val="0"/>
          <w:sz w:val="22"/>
        </w:rPr>
        <w:t>Die Aufgabenstellung nannte als grobe Schätzung „rund 1.900 Krankenhäuser“. Eine genaue Zählung in den Rohdaten selbst ergibt ein differenzierteres Bild, da unterschiedliche Tabellen unterschiedliche Teilmengen enthalten:</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fill="1F497D" w:val="clear"/>
          </w:tcPr>
          <w:p>
            <w:r/>
            <w:r>
              <w:rPr>
                <w:b/>
                <w:color w:val="FFFFFF"/>
                <w:sz w:val="19"/>
              </w:rPr>
              <w:t>Zählbasis</w:t>
            </w:r>
          </w:p>
        </w:tc>
        <w:tc>
          <w:tcPr>
            <w:tcW w:type="dxa" w:w="1984"/>
            <w:shd w:fill="1F497D" w:val="clear"/>
          </w:tcPr>
          <w:p>
            <w:r/>
            <w:r>
              <w:rPr>
                <w:b/>
                <w:color w:val="FFFFFF"/>
                <w:sz w:val="19"/>
              </w:rPr>
              <w:t>Anzahl Häuser</w:t>
            </w:r>
          </w:p>
        </w:tc>
        <w:tc>
          <w:tcPr>
            <w:tcW w:type="dxa" w:w="4535"/>
            <w:shd w:fill="1F497D" w:val="clear"/>
          </w:tcPr>
          <w:p>
            <w:r/>
            <w:r>
              <w:rPr>
                <w:b/>
                <w:color w:val="FFFFFF"/>
                <w:sz w:val="19"/>
              </w:rPr>
              <w:t>Bedeutung</w:t>
            </w:r>
          </w:p>
        </w:tc>
      </w:tr>
      <w:tr>
        <w:tc>
          <w:tcPr>
            <w:tcW w:type="dxa" w:w="2835"/>
          </w:tcPr>
          <w:p>
            <w:r/>
            <w:r>
              <w:rPr>
                <w:sz w:val="19"/>
              </w:rPr>
              <w:t>SO.csv (Stammdaten)</w:t>
            </w:r>
          </w:p>
        </w:tc>
        <w:tc>
          <w:tcPr>
            <w:tcW w:type="dxa" w:w="1984"/>
          </w:tcPr>
          <w:p>
            <w:r/>
            <w:r>
              <w:rPr>
                <w:sz w:val="19"/>
              </w:rPr>
              <w:t>2.310</w:t>
            </w:r>
          </w:p>
        </w:tc>
        <w:tc>
          <w:tcPr>
            <w:tcW w:type="dxa" w:w="4535"/>
          </w:tcPr>
          <w:p>
            <w:r/>
            <w:r>
              <w:rPr>
                <w:sz w:val="19"/>
              </w:rPr>
              <w:t>Alle Standorte, die überhaupt einen Qualitätsbericht eingereicht haben</w:t>
            </w:r>
          </w:p>
        </w:tc>
      </w:tr>
      <w:tr>
        <w:tc>
          <w:tcPr>
            <w:tcW w:type="dxa" w:w="2835"/>
            <w:shd w:fill="F2F2F2" w:val="clear"/>
          </w:tcPr>
          <w:p>
            <w:r/>
            <w:r>
              <w:rPr>
                <w:sz w:val="19"/>
              </w:rPr>
              <w:t>QS.Qualitätsindikator.csv</w:t>
            </w:r>
          </w:p>
        </w:tc>
        <w:tc>
          <w:tcPr>
            <w:tcW w:type="dxa" w:w="1984"/>
            <w:shd w:fill="F2F2F2" w:val="clear"/>
          </w:tcPr>
          <w:p>
            <w:r/>
            <w:r>
              <w:rPr>
                <w:sz w:val="19"/>
              </w:rPr>
              <w:t>1.824</w:t>
            </w:r>
          </w:p>
        </w:tc>
        <w:tc>
          <w:tcPr>
            <w:tcW w:type="dxa" w:w="4535"/>
            <w:shd w:fill="F2F2F2" w:val="clear"/>
          </w:tcPr>
          <w:p>
            <w:r/>
            <w:r>
              <w:rPr>
                <w:sz w:val="19"/>
              </w:rPr>
              <w:t>Standorte, für die mindestens eine Qualitätsindikator-Bewertung vorliegt</w:t>
            </w:r>
          </w:p>
        </w:tc>
      </w:tr>
      <w:tr>
        <w:tc>
          <w:tcPr>
            <w:tcW w:type="dxa" w:w="2835"/>
          </w:tcPr>
          <w:p>
            <w:r/>
            <w:r>
              <w:rPr>
                <w:sz w:val="19"/>
              </w:rPr>
              <w:t>Data/analysetabelle.csv (Endergebnis)</w:t>
            </w:r>
          </w:p>
        </w:tc>
        <w:tc>
          <w:tcPr>
            <w:tcW w:type="dxa" w:w="1984"/>
          </w:tcPr>
          <w:p>
            <w:r/>
            <w:r>
              <w:rPr>
                <w:sz w:val="19"/>
              </w:rPr>
              <w:t>1.821</w:t>
            </w:r>
          </w:p>
        </w:tc>
        <w:tc>
          <w:tcPr>
            <w:tcW w:type="dxa" w:w="4535"/>
          </w:tcPr>
          <w:p>
            <w:r/>
            <w:r>
              <w:rPr>
                <w:sz w:val="19"/>
              </w:rPr>
              <w:t>Standorte mit mindestens einer bewertbaren Zeile (siehe Kapitel 2)</w:t>
            </w:r>
          </w:p>
        </w:tc>
      </w:tr>
    </w:tbl>
    <w:p>
      <w:pPr>
        <w:spacing w:after="160" w:line="276" w:lineRule="auto"/>
      </w:pPr>
      <w:r>
        <w:rPr>
          <w:b w:val="0"/>
          <w:i w:val="0"/>
          <w:sz w:val="22"/>
        </w:rPr>
        <w:t>Die Differenz zwischen 2.310 und 1.824 (486 Häuser) erklärt sich dadurch, dass nicht jeder in SO.csv verzeichnete Standort auch eine Zeile in QS.Qualitätsindikator.csv hat — diese Häuser fallen beim Zusammenführen der Tabellen automatisch heraus. Die weitere Differenz zwischen 1.824 und 1.821 (3 Häuser) entsteht erst bei der Berechnung der Ziel-Variable selbst: Diese drei Häuser haben keine einzige bewertbare Indikator-Zeile mehr. Details dazu folgen in Kapitel 2.</w:t>
      </w:r>
    </w:p>
    <w:p>
      <w:pPr>
        <w:pStyle w:val="Heading2"/>
        <w:spacing w:before="280" w:after="120"/>
      </w:pPr>
      <w:r>
        <w:rPr>
          <w:color w:val="1F497D"/>
          <w:sz w:val="30"/>
        </w:rPr>
        <w:t>1.5  Klassifikation der Ausgangsdaten</w:t>
      </w:r>
    </w:p>
    <w:p>
      <w:pPr>
        <w:spacing w:after="160" w:line="276" w:lineRule="auto"/>
      </w:pPr>
      <w:r>
        <w:rPr>
          <w:b w:val="0"/>
          <w:i w:val="0"/>
          <w:sz w:val="22"/>
        </w:rPr>
        <w:t>Da 86 Dateien zu viele sind, um sie alle im Detail zu untersuchen, wurden sie zunächst grob gesichtet — Kopfzeile und einige Beispielzeilen je Datei — und anhand eines einfachen Kriteriums eingeordnet: Enthält die Datei ein Strukturmerkmal aus der Aufgabenstellung oder eine Qualitätsindikator-Bewertung? Das Ergebnis dieser Sichtung ist eine dreistufige Klassifikation, die vollständig in Doku/MD/Daten_Inhaltsverzeichnis.md dokumentiert ist:</w:t>
      </w:r>
    </w:p>
    <w:tbl>
      <w:tblPr>
        <w:tblStyle w:val="TableGrid"/>
        <w:tblW w:type="auto" w:w="0"/>
        <w:jc w:val="center"/>
        <w:tblLook w:firstColumn="1" w:firstRow="1" w:lastColumn="0" w:lastRow="0" w:noHBand="0" w:noVBand="1" w:val="04A0"/>
      </w:tblPr>
      <w:tblGrid>
        <w:gridCol w:w="3230"/>
        <w:gridCol w:w="3230"/>
        <w:gridCol w:w="3230"/>
      </w:tblGrid>
      <w:tr>
        <w:tc>
          <w:tcPr>
            <w:tcW w:type="dxa" w:w="2551"/>
            <w:shd w:fill="1F497D" w:val="clear"/>
          </w:tcPr>
          <w:p>
            <w:r/>
            <w:r>
              <w:rPr>
                <w:b/>
                <w:color w:val="FFFFFF"/>
                <w:sz w:val="19"/>
              </w:rPr>
              <w:t>Kategorie</w:t>
            </w:r>
          </w:p>
        </w:tc>
        <w:tc>
          <w:tcPr>
            <w:tcW w:type="dxa" w:w="1701"/>
            <w:shd w:fill="1F497D" w:val="clear"/>
          </w:tcPr>
          <w:p>
            <w:r/>
            <w:r>
              <w:rPr>
                <w:b/>
                <w:color w:val="FFFFFF"/>
                <w:sz w:val="19"/>
              </w:rPr>
              <w:t>Anzahl Dateien</w:t>
            </w:r>
          </w:p>
        </w:tc>
        <w:tc>
          <w:tcPr>
            <w:tcW w:type="dxa" w:w="5102"/>
            <w:shd w:fill="1F497D" w:val="clear"/>
          </w:tcPr>
          <w:p>
            <w:r/>
            <w:r>
              <w:rPr>
                <w:b/>
                <w:color w:val="FFFFFF"/>
                <w:sz w:val="19"/>
              </w:rPr>
              <w:t>Bedeutung</w:t>
            </w:r>
          </w:p>
        </w:tc>
      </w:tr>
      <w:tr>
        <w:tc>
          <w:tcPr>
            <w:tcW w:type="dxa" w:w="2551"/>
          </w:tcPr>
          <w:p>
            <w:r/>
            <w:r>
              <w:rPr>
                <w:sz w:val="19"/>
              </w:rPr>
              <w:t>✅ Aktiv verwendet</w:t>
            </w:r>
          </w:p>
        </w:tc>
        <w:tc>
          <w:tcPr>
            <w:tcW w:type="dxa" w:w="1701"/>
          </w:tcPr>
          <w:p>
            <w:r/>
            <w:r>
              <w:rPr>
                <w:sz w:val="19"/>
              </w:rPr>
              <w:t>7</w:t>
            </w:r>
          </w:p>
        </w:tc>
        <w:tc>
          <w:tcPr>
            <w:tcW w:type="dxa" w:w="5102"/>
          </w:tcPr>
          <w:p>
            <w:r/>
            <w:r>
              <w:rPr>
                <w:sz w:val="19"/>
              </w:rPr>
              <w:t>Direkt in die Analysetabelle eingeflossen (siehe Kapitel 2)</w:t>
            </w:r>
          </w:p>
        </w:tc>
      </w:tr>
      <w:tr>
        <w:tc>
          <w:tcPr>
            <w:tcW w:type="dxa" w:w="2551"/>
            <w:shd w:fill="F2F2F2" w:val="clear"/>
          </w:tcPr>
          <w:p>
            <w:r/>
            <w:r>
              <w:rPr>
                <w:sz w:val="19"/>
              </w:rPr>
              <w:t>⚠️ Möglicherweise relevant</w:t>
            </w:r>
          </w:p>
        </w:tc>
        <w:tc>
          <w:tcPr>
            <w:tcW w:type="dxa" w:w="1701"/>
            <w:shd w:fill="F2F2F2" w:val="clear"/>
          </w:tcPr>
          <w:p>
            <w:r/>
            <w:r>
              <w:rPr>
                <w:sz w:val="19"/>
              </w:rPr>
              <w:t>33</w:t>
            </w:r>
          </w:p>
        </w:tc>
        <w:tc>
          <w:tcPr>
            <w:tcW w:type="dxa" w:w="5102"/>
            <w:shd w:fill="F2F2F2" w:val="clear"/>
          </w:tcPr>
          <w:p>
            <w:r/>
            <w:r>
              <w:rPr>
                <w:sz w:val="19"/>
              </w:rPr>
              <w:t>Enthalten potenziell nützliche Daten, aber (noch) nicht eingebunden — Kandidaten für Folgeanalysen</w:t>
            </w:r>
          </w:p>
        </w:tc>
      </w:tr>
      <w:tr>
        <w:tc>
          <w:tcPr>
            <w:tcW w:type="dxa" w:w="2551"/>
          </w:tcPr>
          <w:p>
            <w:r/>
            <w:r>
              <w:rPr>
                <w:sz w:val="19"/>
              </w:rPr>
              <w:t>❌ Nicht relevant</w:t>
            </w:r>
          </w:p>
        </w:tc>
        <w:tc>
          <w:tcPr>
            <w:tcW w:type="dxa" w:w="1701"/>
          </w:tcPr>
          <w:p>
            <w:r/>
            <w:r>
              <w:rPr>
                <w:sz w:val="19"/>
              </w:rPr>
              <w:t>46</w:t>
            </w:r>
          </w:p>
        </w:tc>
        <w:tc>
          <w:tcPr>
            <w:tcW w:type="dxa" w:w="5102"/>
          </w:tcPr>
          <w:p>
            <w:r/>
            <w:r>
              <w:rPr>
                <w:sz w:val="19"/>
              </w:rPr>
              <w:t>Kein Analysebezug, Lookup-/Schlüsseltabellen, reine Verwaltungsdaten, personenbezogene Daten oder externe Links</w:t>
            </w:r>
          </w:p>
        </w:tc>
      </w:tr>
    </w:tbl>
    <w:p>
      <w:pPr>
        <w:spacing w:after="160" w:line="276" w:lineRule="auto"/>
      </w:pPr>
      <w:r>
        <w:rPr>
          <w:b w:val="0"/>
          <w:i w:val="0"/>
          <w:sz w:val="22"/>
        </w:rPr>
        <w:t>Die sieben aktiv verwendeten Dateien sind SO.csv (Stammdaten), QS.Qualitätsindikator.csv (Ziel-Variable), QS.Fortbildung.csv (Fortbildungsquote), FA.csv (Brückentabelle zu den Fachabteilungen), FA.Personalliste.csv (Ärztedichte), SO.Personalliste.csv (Pflegepersonaldichte) und Konzern.csv (Konzernzugehörigkeit). Wie aus diesen sieben Dateien die endgültige Analysetabelle entsteht, beschreibt Kapitel 2 im Detail. Die Kategorie „möglicherweise relevant“ enthält u. a. QS.Leistungsbereich.csv (Dokumentationsrate) und Notfallversorgung.csv (Notfallversorgungsstufe) — zwei Dateien, die im späteren Projektverlauf testweise ausgewertet, aber bewusst nicht in das Hauptmodell übernommen wurden (siehe Kapitel 5).</w:t>
      </w:r>
    </w:p>
    <w:p>
      <w:pPr>
        <w:pStyle w:val="Heading2"/>
        <w:spacing w:before="280" w:after="120"/>
      </w:pPr>
      <w:r>
        <w:rPr>
          <w:color w:val="1F497D"/>
          <w:sz w:val="30"/>
        </w:rPr>
        <w:t>1.6  Datenschutz</w:t>
      </w:r>
    </w:p>
    <w:p>
      <w:pPr>
        <w:spacing w:after="160" w:line="276" w:lineRule="auto"/>
      </w:pPr>
      <w:r>
        <w:rPr>
          <w:b w:val="0"/>
          <w:i w:val="0"/>
          <w:sz w:val="22"/>
        </w:rPr>
        <w:t>Zwei der 86 Dateien enthalten personenbezogene Daten: Personen.csv (Kontaktpersonen der Krankenhäuser — Vorname, Nachname, E-Mail, Telefon, Funktion) und FA.Personen.csv (ärztliche Leitungen der Fachabteilungen — Vorname, Nachname, E-Mail, Telefon). Beide Dateien wurden bewusst nicht in die Analyse einbezogen und sind nicht Teil der Analysetabelle. Der gesamte Ordner Data/ ist zusätzlich über die Datei .gitignore von der Versionierung ausgeschlossen, sodass die Rohdaten — einschließlich dieser beiden Dateien — nicht in das Code-Repository gelangen.</w:t>
      </w:r>
    </w:p>
    <w:p>
      <w:r>
        <w:br w:type="page"/>
      </w:r>
    </w:p>
    <w:p>
      <w:pPr>
        <w:pStyle w:val="Heading1"/>
        <w:spacing w:before="360" w:after="200"/>
      </w:pPr>
      <w:r>
        <w:rPr>
          <w:color w:val="1F497D"/>
          <w:sz w:val="40"/>
        </w:rPr>
        <w:t>2  Exploration und Datenaufbereitung</w:t>
      </w:r>
    </w:p>
    <w:p>
      <w:pPr>
        <w:spacing w:after="160" w:line="276" w:lineRule="auto"/>
      </w:pPr>
      <w:r>
        <w:rPr>
          <w:b w:val="0"/>
          <w:i w:val="0"/>
          <w:sz w:val="22"/>
        </w:rPr>
        <w:t>Dieses Kapitel fasst zusammen, was bei der Erkundung und Aufbereitung der Rohdaten in Notebooks/01_Exploration.ipynb herauskam: wie die Ziel-Variable entsteht, woher jedes Merkmal stammt, welche Fehler dabei gefunden und behoben wurden, und wie die daraus entstandene Analysetabelle am Ende aussieht. Diese Analysetabelle (Data/analysetabelle.csv) ist ab hier die alleinige Datengrundlage für alle weiteren Bausteine — die 86 Rohdaten-Dateien aus Kapitel 1 werden danach nicht mehr benötigt.</w:t>
      </w:r>
    </w:p>
    <w:p>
      <w:pPr>
        <w:pStyle w:val="Heading2"/>
        <w:spacing w:before="280" w:after="120"/>
      </w:pPr>
      <w:r>
        <w:rPr>
          <w:color w:val="1F497D"/>
          <w:sz w:val="30"/>
        </w:rPr>
        <w:t>2.1  Vorgehen und Aufbau des Notebooks</w:t>
      </w:r>
    </w:p>
    <w:p>
      <w:pPr>
        <w:spacing w:after="160" w:line="276" w:lineRule="auto"/>
      </w:pPr>
      <w:r>
        <w:rPr>
          <w:b w:val="0"/>
          <w:i w:val="0"/>
          <w:sz w:val="22"/>
        </w:rPr>
        <w:t>Bevor überhaupt Daten geladen wurden, musste geklärt werden, welche der 86 Dateien sich wie verknüpfen lassen. Dafür wurde zunächst von jeder Datei nur die Kopfzeile eingelesen (ohne eine einzige Datenzeile zu laden — dadurch auch für die 911,7 MB große QS.Qualitätsindikator.csv in Millisekunden möglich) und ausgezählt, welche Spaltennamen in mehreren Dateien vorkommen. Ergänzend wurden alle Spalten nach ihrem Namens-Präfix vor dem Punkt gruppiert (SO, FA, QS, …), um zu erkennen, welche Dateien thematisch zusammengehören — die Häufigkeitsanalyse beantwortet die Frage „Womit lässt sich verknüpfen?“, die Präfix-Analyse die Frage „Was gehört inhaltlich zusammen?“.</w:t>
      </w:r>
    </w:p>
    <w:p>
      <w:pPr>
        <w:spacing w:after="160" w:line="276" w:lineRule="auto"/>
      </w:pPr>
      <w:r>
        <w:rPr>
          <w:b w:val="0"/>
          <w:i w:val="0"/>
          <w:sz w:val="22"/>
        </w:rPr>
        <w:t>Ergebnis: SO.QBID ist der universelle Krankenhaus-Schlüssel und verbindet den Großteil der Dateien. Eine vermutete Ausnahme war QS.csv, das lange als notwendige Brückentabelle zwischen SO.csv und QS.Qualitätsindikator.csv galt. Die Analyse zeigte jedoch: QS.Qualitätsindikator.csv trägt SO.QBID bereits selbst, ein zusätzlicher Join über QS.csv ist schlicht nicht nötig — die Datei wird im fertigen Notebook nirgends geladen.</w:t>
      </w:r>
    </w:p>
    <w:p>
      <w:pPr>
        <w:spacing w:after="160" w:line="276" w:lineRule="auto"/>
      </w:pPr>
      <w:r>
        <w:rPr>
          <w:b w:val="0"/>
          <w:i w:val="0"/>
          <w:sz w:val="22"/>
        </w:rPr>
        <w:t>Das Notebook baut anschließend zuerst die Ziel-Variable y (aus QS.Qualitätsindikator.csv) und erst danach die Merkmale X (aus SO.csv und weiteren Dateien) — bewusst umgekehrt zur Reihenfolge der Aufgabenstellung, mit der Begründung: „Zuerst bauen wir, was wir erklären wollen, dann die erklärenden Merkmale.“ Diese Reihenfolge wird auch in diesem Kapitel übernommen.</w:t>
      </w:r>
    </w:p>
    <w:p>
      <w:pPr>
        <w:pStyle w:val="Heading2"/>
        <w:spacing w:before="280" w:after="120"/>
      </w:pPr>
      <w:r>
        <w:rPr>
          <w:color w:val="1F497D"/>
          <w:sz w:val="30"/>
        </w:rPr>
        <w:t>2.2  Die Ziel-Variable: Konstruktion</w:t>
      </w:r>
    </w:p>
    <w:p>
      <w:pPr>
        <w:spacing w:after="160" w:line="276" w:lineRule="auto"/>
      </w:pPr>
      <w:r>
        <w:rPr>
          <w:b w:val="0"/>
          <w:i w:val="0"/>
          <w:sz w:val="22"/>
        </w:rPr>
        <w:t>Nirgends im Datensatz steht fertig, wie viele Qualitätsprobleme ein Krankenhaus hat — diese Information musste aus den rohen Bewertungscodes in QS.Qualitätsindikator.csv selbst konstruiert werden. Die entscheidende Spalte dafür ist QSErgBewStrukDialog („Ergebnis-Bewertung Strukturierter Dialog“): Für jeden Qualitätsindikator und jedes Haus vermerkt sie einen von mehreren Bewertungscodes.</w:t>
      </w:r>
    </w:p>
    <w:p>
      <w:pPr>
        <w:pStyle w:val="Heading3"/>
        <w:spacing w:before="200" w:after="80"/>
      </w:pPr>
      <w:r>
        <w:rPr>
          <w:color w:val="BF5A00"/>
          <w:sz w:val="25"/>
        </w:rPr>
        <w:t>Was die Bewertungscodes bedeuten</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t>Code</w:t>
            </w:r>
          </w:p>
        </w:tc>
        <w:tc>
          <w:tcPr>
            <w:tcW w:type="dxa" w:w="4819"/>
            <w:shd w:fill="1F497D" w:val="clear"/>
          </w:tcPr>
          <w:p>
            <w:r/>
            <w:r>
              <w:rPr>
                <w:b/>
                <w:color w:val="FFFFFF"/>
                <w:sz w:val="19"/>
              </w:rPr>
              <w:t>Bedeutung</w:t>
            </w:r>
          </w:p>
        </w:tc>
        <w:tc>
          <w:tcPr>
            <w:tcW w:type="dxa" w:w="2551"/>
            <w:shd w:fill="1F497D" w:val="clear"/>
          </w:tcPr>
          <w:p>
            <w:r/>
            <w:r>
              <w:rPr>
                <w:b/>
                <w:color w:val="FFFFFF"/>
                <w:sz w:val="19"/>
              </w:rPr>
              <w:t>Auffällig?</w:t>
            </w:r>
          </w:p>
        </w:tc>
      </w:tr>
      <w:tr>
        <w:tc>
          <w:tcPr>
            <w:tcW w:type="dxa" w:w="1984"/>
          </w:tcPr>
          <w:p>
            <w:r/>
            <w:r>
              <w:rPr>
                <w:sz w:val="19"/>
              </w:rPr>
              <w:t>R10</w:t>
            </w:r>
          </w:p>
        </w:tc>
        <w:tc>
          <w:tcPr>
            <w:tcW w:type="dxa" w:w="4819"/>
          </w:tcPr>
          <w:p>
            <w:r/>
            <w:r>
              <w:rPr>
                <w:sz w:val="19"/>
              </w:rPr>
              <w:t>Ergebnis liegt im Referenzbereich</w:t>
            </w:r>
          </w:p>
        </w:tc>
        <w:tc>
          <w:tcPr>
            <w:tcW w:type="dxa" w:w="2551"/>
          </w:tcPr>
          <w:p>
            <w:r/>
            <w:r>
              <w:rPr>
                <w:sz w:val="19"/>
              </w:rPr>
              <w:t>Nein</w:t>
            </w:r>
          </w:p>
        </w:tc>
      </w:tr>
      <w:tr>
        <w:tc>
          <w:tcPr>
            <w:tcW w:type="dxa" w:w="1984"/>
            <w:shd w:fill="F2F2F2" w:val="clear"/>
          </w:tcPr>
          <w:p>
            <w:r/>
            <w:r>
              <w:rPr>
                <w:sz w:val="19"/>
              </w:rPr>
              <w:t>N01 / N02 / N99</w:t>
            </w:r>
          </w:p>
        </w:tc>
        <w:tc>
          <w:tcPr>
            <w:tcW w:type="dxa" w:w="4819"/>
            <w:shd w:fill="F2F2F2" w:val="clear"/>
          </w:tcPr>
          <w:p>
            <w:r/>
            <w:r>
              <w:rPr>
                <w:sz w:val="19"/>
              </w:rPr>
              <w:t>Bewertung nicht vorgesehen</w:t>
            </w:r>
          </w:p>
        </w:tc>
        <w:tc>
          <w:tcPr>
            <w:tcW w:type="dxa" w:w="2551"/>
            <w:shd w:fill="F2F2F2" w:val="clear"/>
          </w:tcPr>
          <w:p>
            <w:r/>
            <w:r>
              <w:rPr>
                <w:sz w:val="19"/>
              </w:rPr>
              <w:t>Nicht bewertbar</w:t>
            </w:r>
          </w:p>
        </w:tc>
      </w:tr>
      <w:tr>
        <w:tc>
          <w:tcPr>
            <w:tcW w:type="dxa" w:w="1984"/>
          </w:tcPr>
          <w:p>
            <w:r/>
            <w:r>
              <w:rPr>
                <w:sz w:val="19"/>
              </w:rPr>
              <w:t>H20 / H99</w:t>
            </w:r>
          </w:p>
        </w:tc>
        <w:tc>
          <w:tcPr>
            <w:tcW w:type="dxa" w:w="4819"/>
          </w:tcPr>
          <w:p>
            <w:r/>
            <w:r>
              <w:rPr>
                <w:sz w:val="19"/>
              </w:rPr>
              <w:t>Auf rechnerische Auffälligkeit hingewiesen</w:t>
            </w:r>
          </w:p>
        </w:tc>
        <w:tc>
          <w:tcPr>
            <w:tcW w:type="dxa" w:w="2551"/>
          </w:tcPr>
          <w:p>
            <w:r/>
            <w:r>
              <w:rPr>
                <w:sz w:val="19"/>
              </w:rPr>
              <w:t>Ja</w:t>
            </w:r>
          </w:p>
        </w:tc>
      </w:tr>
      <w:tr>
        <w:tc>
          <w:tcPr>
            <w:tcW w:type="dxa" w:w="1984"/>
            <w:shd w:fill="F2F2F2" w:val="clear"/>
          </w:tcPr>
          <w:p>
            <w:r/>
            <w:r>
              <w:rPr>
                <w:sz w:val="19"/>
              </w:rPr>
              <w:t>U30–33 / U99</w:t>
            </w:r>
          </w:p>
        </w:tc>
        <w:tc>
          <w:tcPr>
            <w:tcW w:type="dxa" w:w="4819"/>
            <w:shd w:fill="F2F2F2" w:val="clear"/>
          </w:tcPr>
          <w:p>
            <w:r/>
            <w:r>
              <w:rPr>
                <w:sz w:val="19"/>
              </w:rPr>
              <w:t>Nach Strukturiertem Dialog qualitativ unauffällig</w:t>
            </w:r>
          </w:p>
        </w:tc>
        <w:tc>
          <w:tcPr>
            <w:tcW w:type="dxa" w:w="2551"/>
            <w:shd w:fill="F2F2F2" w:val="clear"/>
          </w:tcPr>
          <w:p>
            <w:r/>
            <w:r>
              <w:rPr>
                <w:sz w:val="19"/>
              </w:rPr>
              <w:t>Ja (initial), entkräftet</w:t>
            </w:r>
          </w:p>
        </w:tc>
      </w:tr>
      <w:tr>
        <w:tc>
          <w:tcPr>
            <w:tcW w:type="dxa" w:w="1984"/>
          </w:tcPr>
          <w:p>
            <w:r/>
            <w:r>
              <w:rPr>
                <w:sz w:val="19"/>
              </w:rPr>
              <w:t>A40–42 / A99</w:t>
            </w:r>
          </w:p>
        </w:tc>
        <w:tc>
          <w:tcPr>
            <w:tcW w:type="dxa" w:w="4819"/>
          </w:tcPr>
          <w:p>
            <w:r/>
            <w:r>
              <w:rPr>
                <w:sz w:val="19"/>
              </w:rPr>
              <w:t>Nach Strukturiertem Dialog qualitativ auffällig</w:t>
            </w:r>
          </w:p>
        </w:tc>
        <w:tc>
          <w:tcPr>
            <w:tcW w:type="dxa" w:w="2551"/>
          </w:tcPr>
          <w:p>
            <w:r/>
            <w:r>
              <w:rPr>
                <w:sz w:val="19"/>
              </w:rPr>
              <w:t>Ja, bestätigt</w:t>
            </w:r>
          </w:p>
        </w:tc>
      </w:tr>
      <w:tr>
        <w:tc>
          <w:tcPr>
            <w:tcW w:type="dxa" w:w="1984"/>
            <w:shd w:fill="F2F2F2" w:val="clear"/>
          </w:tcPr>
          <w:p>
            <w:r/>
            <w:r>
              <w:rPr>
                <w:sz w:val="19"/>
              </w:rPr>
              <w:t>D50 / D51 / D99</w:t>
            </w:r>
          </w:p>
        </w:tc>
        <w:tc>
          <w:tcPr>
            <w:tcW w:type="dxa" w:w="4819"/>
            <w:shd w:fill="F2F2F2" w:val="clear"/>
          </w:tcPr>
          <w:p>
            <w:r/>
            <w:r>
              <w:rPr>
                <w:sz w:val="19"/>
              </w:rPr>
              <w:t>Bewertung nicht möglich (fehlerhafte Dokumentation)</w:t>
            </w:r>
          </w:p>
        </w:tc>
        <w:tc>
          <w:tcPr>
            <w:tcW w:type="dxa" w:w="2551"/>
            <w:shd w:fill="F2F2F2" w:val="clear"/>
          </w:tcPr>
          <w:p>
            <w:r/>
            <w:r>
              <w:rPr>
                <w:sz w:val="19"/>
              </w:rPr>
              <w:t>Nicht bewertbar</w:t>
            </w:r>
          </w:p>
        </w:tc>
      </w:tr>
      <w:tr>
        <w:tc>
          <w:tcPr>
            <w:tcW w:type="dxa" w:w="1984"/>
          </w:tcPr>
          <w:p>
            <w:r/>
            <w:r>
              <w:rPr>
                <w:sz w:val="19"/>
              </w:rPr>
              <w:t>S90 / S91 / S99</w:t>
            </w:r>
          </w:p>
        </w:tc>
        <w:tc>
          <w:tcPr>
            <w:tcW w:type="dxa" w:w="4819"/>
          </w:tcPr>
          <w:p>
            <w:r/>
            <w:r>
              <w:rPr>
                <w:sz w:val="19"/>
              </w:rPr>
              <w:t>Sonstiges</w:t>
            </w:r>
          </w:p>
        </w:tc>
        <w:tc>
          <w:tcPr>
            <w:tcW w:type="dxa" w:w="2551"/>
          </w:tcPr>
          <w:p>
            <w:r/>
            <w:r>
              <w:rPr>
                <w:sz w:val="19"/>
              </w:rPr>
              <w:t>Nicht bewertbar</w:t>
            </w:r>
          </w:p>
        </w:tc>
      </w:tr>
    </w:tbl>
    <w:p>
      <w:pPr>
        <w:spacing w:after="160" w:line="276" w:lineRule="auto"/>
      </w:pPr>
      <w:r>
        <w:rPr>
          <w:b w:val="0"/>
          <w:i w:val="0"/>
          <w:sz w:val="22"/>
        </w:rPr>
        <w:t>Diese Bedeutungen sind durch den offiziellen IQTIG-Bericht „Bericht zum Strukturierten Dialog 2021, Erfassungsjahr 2020“ belegt — u. a. durch eine Summenprobe: Addiert man die Häuser mit den Codes H, U, A, D und S, ergibt sich exakt die im Bericht genannte Zahl „Rechnerisch auffällige Ergebnisse gesamt“.</w:t>
      </w:r>
    </w:p>
    <w:p>
      <w:pPr>
        <w:pStyle w:val="Heading3"/>
        <w:spacing w:before="200" w:after="80"/>
      </w:pPr>
      <w:r>
        <w:rPr>
          <w:color w:val="BF5A00"/>
          <w:sz w:val="25"/>
        </w:rPr>
        <w:t>Berechnungsschritte der Ziel-Variable</w:t>
      </w:r>
    </w:p>
    <w:tbl>
      <w:tblPr>
        <w:tblStyle w:val="TableGrid"/>
        <w:tblW w:type="auto" w:w="0"/>
        <w:jc w:val="center"/>
        <w:tblLook w:firstColumn="1" w:firstRow="1" w:lastColumn="0" w:lastRow="0" w:noHBand="0" w:noVBand="1" w:val="04A0"/>
      </w:tblPr>
      <w:tblGrid>
        <w:gridCol w:w="4844"/>
        <w:gridCol w:w="4844"/>
      </w:tblGrid>
      <w:tr>
        <w:tc>
          <w:tcPr>
            <w:tcW w:type="dxa" w:w="1020"/>
            <w:shd w:fill="1F497D" w:val="clear"/>
          </w:tcPr>
          <w:p>
            <w:r/>
            <w:r>
              <w:rPr>
                <w:b/>
                <w:color w:val="FFFFFF"/>
                <w:sz w:val="19"/>
              </w:rPr>
              <w:t>Schritt</w:t>
            </w:r>
          </w:p>
        </w:tc>
        <w:tc>
          <w:tcPr>
            <w:tcW w:type="dxa" w:w="9184"/>
            <w:shd w:fill="1F497D" w:val="clear"/>
          </w:tcPr>
          <w:p>
            <w:r/>
            <w:r>
              <w:rPr>
                <w:b/>
                <w:color w:val="FFFFFF"/>
                <w:sz w:val="19"/>
              </w:rPr>
              <w:t>Was passiert</w:t>
            </w:r>
          </w:p>
        </w:tc>
      </w:tr>
      <w:tr>
        <w:tc>
          <w:tcPr>
            <w:tcW w:type="dxa" w:w="1020"/>
          </w:tcPr>
          <w:p>
            <w:r/>
            <w:r>
              <w:rPr>
                <w:sz w:val="19"/>
              </w:rPr>
              <w:t>1</w:t>
            </w:r>
          </w:p>
        </w:tc>
        <w:tc>
          <w:tcPr>
            <w:tcW w:type="dxa" w:w="9184"/>
          </w:tcPr>
          <w:p>
            <w:r/>
            <w:r>
              <w:rPr>
                <w:sz w:val="19"/>
              </w:rPr>
              <w:t>Nur echte Qualitätsindikatoren behalten (QSQI.ArtDesWertes == 'QI') — Zählkennzahlen wie EKez/TKez/KKez enthalten keine Auffällig-Bewertung</w:t>
            </w:r>
          </w:p>
        </w:tc>
      </w:tr>
      <w:tr>
        <w:tc>
          <w:tcPr>
            <w:tcW w:type="dxa" w:w="1020"/>
            <w:shd w:fill="F2F2F2" w:val="clear"/>
          </w:tcPr>
          <w:p>
            <w:r/>
            <w:r>
              <w:rPr>
                <w:sz w:val="19"/>
              </w:rPr>
              <w:t>2</w:t>
            </w:r>
          </w:p>
        </w:tc>
        <w:tc>
          <w:tcPr>
            <w:tcW w:type="dxa" w:w="9184"/>
            <w:shd w:fill="F2F2F2" w:val="clear"/>
          </w:tcPr>
          <w:p>
            <w:r/>
            <w:r>
              <w:rPr>
                <w:sz w:val="19"/>
              </w:rPr>
              <w:t>Alle nicht bewerteten Indikatoren entfernen (Codes beginnend mit „N“: N01/N02/N99)</w:t>
            </w:r>
          </w:p>
        </w:tc>
      </w:tr>
      <w:tr>
        <w:tc>
          <w:tcPr>
            <w:tcW w:type="dxa" w:w="1020"/>
          </w:tcPr>
          <w:p>
            <w:r/>
            <w:r>
              <w:rPr>
                <w:sz w:val="19"/>
              </w:rPr>
              <w:t>3</w:t>
            </w:r>
          </w:p>
        </w:tc>
        <w:tc>
          <w:tcPr>
            <w:tcW w:type="dxa" w:w="9184"/>
          </w:tcPr>
          <w:p>
            <w:r/>
            <w:r>
              <w:rPr>
                <w:sz w:val="19"/>
              </w:rPr>
              <w:t>Doppelte Zeilen je Haus und Indikator entfernen (Schlüssel: SO.QBID + QSQI.Indikator)</w:t>
            </w:r>
          </w:p>
        </w:tc>
      </w:tr>
      <w:tr>
        <w:tc>
          <w:tcPr>
            <w:tcW w:type="dxa" w:w="1020"/>
            <w:shd w:fill="F2F2F2" w:val="clear"/>
          </w:tcPr>
          <w:p>
            <w:r/>
            <w:r>
              <w:rPr>
                <w:sz w:val="19"/>
              </w:rPr>
              <w:t>4</w:t>
            </w:r>
          </w:p>
        </w:tc>
        <w:tc>
          <w:tcPr>
            <w:tcW w:type="dxa" w:w="9184"/>
            <w:shd w:fill="F2F2F2" w:val="clear"/>
          </w:tcPr>
          <w:p>
            <w:r/>
            <w:r>
              <w:rPr>
                <w:sz w:val="19"/>
              </w:rPr>
              <w:t>Auffällig-Flag setzen: alles außer R10 zählt als auffällig</w:t>
            </w:r>
          </w:p>
        </w:tc>
      </w:tr>
      <w:tr>
        <w:tc>
          <w:tcPr>
            <w:tcW w:type="dxa" w:w="1020"/>
          </w:tcPr>
          <w:p>
            <w:r/>
            <w:r>
              <w:rPr>
                <w:sz w:val="19"/>
              </w:rPr>
              <w:t>5</w:t>
            </w:r>
          </w:p>
        </w:tc>
        <w:tc>
          <w:tcPr>
            <w:tcW w:type="dxa" w:w="9184"/>
          </w:tcPr>
          <w:p>
            <w:r/>
            <w:r>
              <w:rPr>
                <w:sz w:val="19"/>
              </w:rPr>
              <w:t>Pro Haus verdichten: Anzahl bewerteter Indikatoren (total_qi) und Anzahl auffälliger Indikatoren (auffaellig_n) zählen</w:t>
            </w:r>
          </w:p>
        </w:tc>
      </w:tr>
      <w:tr>
        <w:tc>
          <w:tcPr>
            <w:tcW w:type="dxa" w:w="1020"/>
            <w:shd w:fill="F2F2F2" w:val="clear"/>
          </w:tcPr>
          <w:p>
            <w:r/>
            <w:r>
              <w:rPr>
                <w:sz w:val="19"/>
              </w:rPr>
              <w:t>6</w:t>
            </w:r>
          </w:p>
        </w:tc>
        <w:tc>
          <w:tcPr>
            <w:tcW w:type="dxa" w:w="9184"/>
            <w:shd w:fill="F2F2F2" w:val="clear"/>
          </w:tcPr>
          <w:p>
            <w:r/>
            <w:r>
              <w:rPr>
                <w:sz w:val="19"/>
              </w:rPr>
              <w:t>Quote berechnen: auffaellig_quote = auffaellig_n ÷ total_qi</w:t>
            </w:r>
          </w:p>
        </w:tc>
      </w:tr>
      <w:tr>
        <w:tc>
          <w:tcPr>
            <w:tcW w:type="dxa" w:w="1020"/>
          </w:tcPr>
          <w:p>
            <w:r/>
            <w:r>
              <w:rPr>
                <w:sz w:val="19"/>
              </w:rPr>
              <w:t>7</w:t>
            </w:r>
          </w:p>
        </w:tc>
        <w:tc>
          <w:tcPr>
            <w:tcW w:type="dxa" w:w="9184"/>
          </w:tcPr>
          <w:p>
            <w:r/>
            <w:r>
              <w:rPr>
                <w:sz w:val="19"/>
              </w:rPr>
              <w:t>Binäre Ziel-Variable ableiten: hat_viele_Probleme = 1, wenn die Quote über dem Median liegt</w:t>
            </w:r>
          </w:p>
        </w:tc>
      </w:tr>
    </w:tbl>
    <w:p>
      <w:pPr>
        <w:spacing w:after="200" w:line="276" w:lineRule="auto"/>
      </w:pPr>
      <w:r>
        <w:rPr>
          <w:b/>
          <w:i w:val="0"/>
          <w:color w:val="555555"/>
          <w:sz w:val="22"/>
        </w:rPr>
        <w:t xml:space="preserve">Zwei weitere Fallstricke bei der Deduplizierung (Schritt 3): </w:t>
      </w:r>
      <w:r>
        <w:rPr>
          <w:b w:val="0"/>
          <w:i w:val="0"/>
          <w:color w:val="555555"/>
          <w:sz w:val="22"/>
        </w:rPr>
        <w:t>Die Spalte QSQI.AEKey sieht auf den ersten Blick wie ein Indikator-Schlüssel aus, ist aber tatsächlich pro Haus vergeben. Eine Deduplizierung darüber hätte pro Haus nur eine einzige Zeile übrig gelassen statt rund 43 — ein Fehler, der beim ersten Hinsehen nicht auffällt, die Ziel-Variable aber unbrauchbar gemacht hätte. Der korrekte Schlüssel ist die Kombination aus SO.QBID und QSQI.Indikator.</w:t>
      </w:r>
    </w:p>
    <w:p>
      <w:pPr>
        <w:pStyle w:val="Heading3"/>
        <w:spacing w:before="200" w:after="80"/>
      </w:pPr>
      <w:r>
        <w:rPr>
          <w:color w:val="BF5A00"/>
          <w:sz w:val="25"/>
        </w:rPr>
        <w:t>Die Filterkaskade — wie viele Zeilen bleiben nach jedem Schritt übrig?</w:t>
      </w:r>
    </w:p>
    <w:tbl>
      <w:tblPr>
        <w:tblStyle w:val="TableGrid"/>
        <w:tblW w:type="auto" w:w="0"/>
        <w:jc w:val="center"/>
        <w:tblLook w:firstColumn="1" w:firstRow="1" w:lastColumn="0" w:lastRow="0" w:noHBand="0" w:noVBand="1" w:val="04A0"/>
      </w:tblPr>
      <w:tblGrid>
        <w:gridCol w:w="3230"/>
        <w:gridCol w:w="3230"/>
        <w:gridCol w:w="3230"/>
      </w:tblGrid>
      <w:tr>
        <w:tc>
          <w:tcPr>
            <w:tcW w:type="dxa" w:w="3402"/>
            <w:shd w:fill="1F497D" w:val="clear"/>
          </w:tcPr>
          <w:p>
            <w:r/>
            <w:r>
              <w:rPr>
                <w:b/>
                <w:color w:val="FFFFFF"/>
                <w:sz w:val="19"/>
              </w:rPr>
              <w:t>Schritt</w:t>
            </w:r>
          </w:p>
        </w:tc>
        <w:tc>
          <w:tcPr>
            <w:tcW w:type="dxa" w:w="2551"/>
            <w:shd w:fill="1F497D" w:val="clear"/>
          </w:tcPr>
          <w:p>
            <w:r/>
            <w:r>
              <w:rPr>
                <w:b/>
                <w:color w:val="FFFFFF"/>
                <w:sz w:val="19"/>
              </w:rPr>
              <w:t>Zeilen danach</w:t>
            </w:r>
          </w:p>
        </w:tc>
        <w:tc>
          <w:tcPr>
            <w:tcW w:type="dxa" w:w="4252"/>
            <w:shd w:fill="1F497D" w:val="clear"/>
          </w:tcPr>
          <w:p>
            <w:r/>
            <w:r>
              <w:rPr>
                <w:b/>
                <w:color w:val="FFFFFF"/>
                <w:sz w:val="19"/>
              </w:rPr>
              <w:t>Entfernt</w:t>
            </w:r>
          </w:p>
        </w:tc>
      </w:tr>
      <w:tr>
        <w:tc>
          <w:tcPr>
            <w:tcW w:type="dxa" w:w="3402"/>
          </w:tcPr>
          <w:p>
            <w:r/>
            <w:r>
              <w:rPr>
                <w:sz w:val="19"/>
              </w:rPr>
              <w:t>Ausgangsdatensatz</w:t>
            </w:r>
          </w:p>
        </w:tc>
        <w:tc>
          <w:tcPr>
            <w:tcW w:type="dxa" w:w="2551"/>
          </w:tcPr>
          <w:p>
            <w:r/>
            <w:r>
              <w:rPr>
                <w:sz w:val="19"/>
              </w:rPr>
              <w:t>417.799</w:t>
            </w:r>
          </w:p>
        </w:tc>
        <w:tc>
          <w:tcPr>
            <w:tcW w:type="dxa" w:w="4252"/>
          </w:tcPr>
          <w:p>
            <w:r/>
            <w:r>
              <w:rPr>
                <w:sz w:val="19"/>
              </w:rPr>
              <w:t>—</w:t>
            </w:r>
          </w:p>
        </w:tc>
      </w:tr>
      <w:tr>
        <w:tc>
          <w:tcPr>
            <w:tcW w:type="dxa" w:w="3402"/>
            <w:shd w:fill="F2F2F2" w:val="clear"/>
          </w:tcPr>
          <w:p>
            <w:r/>
            <w:r>
              <w:rPr>
                <w:sz w:val="19"/>
              </w:rPr>
              <w:t>1. Zählkennzahlen entfernt</w:t>
            </w:r>
          </w:p>
        </w:tc>
        <w:tc>
          <w:tcPr>
            <w:tcW w:type="dxa" w:w="2551"/>
            <w:shd w:fill="F2F2F2" w:val="clear"/>
          </w:tcPr>
          <w:p>
            <w:r/>
            <w:r>
              <w:rPr>
                <w:sz w:val="19"/>
              </w:rPr>
              <w:t>308.726</w:t>
            </w:r>
          </w:p>
        </w:tc>
        <w:tc>
          <w:tcPr>
            <w:tcW w:type="dxa" w:w="4252"/>
            <w:shd w:fill="F2F2F2" w:val="clear"/>
          </w:tcPr>
          <w:p>
            <w:r/>
            <w:r>
              <w:rPr>
                <w:sz w:val="19"/>
              </w:rPr>
              <w:t>109.073</w:t>
            </w:r>
          </w:p>
        </w:tc>
      </w:tr>
      <w:tr>
        <w:tc>
          <w:tcPr>
            <w:tcW w:type="dxa" w:w="3402"/>
          </w:tcPr>
          <w:p>
            <w:r/>
            <w:r>
              <w:rPr>
                <w:sz w:val="19"/>
              </w:rPr>
              <w:t>2. Alle N*-Codes entfernt</w:t>
            </w:r>
          </w:p>
        </w:tc>
        <w:tc>
          <w:tcPr>
            <w:tcW w:type="dxa" w:w="2551"/>
          </w:tcPr>
          <w:p>
            <w:r/>
            <w:r>
              <w:rPr>
                <w:sz w:val="19"/>
              </w:rPr>
              <w:t>198.770</w:t>
            </w:r>
          </w:p>
        </w:tc>
        <w:tc>
          <w:tcPr>
            <w:tcW w:type="dxa" w:w="4252"/>
          </w:tcPr>
          <w:p>
            <w:r/>
            <w:r>
              <w:rPr>
                <w:sz w:val="19"/>
              </w:rPr>
              <w:t>109.956</w:t>
            </w:r>
          </w:p>
        </w:tc>
      </w:tr>
      <w:tr>
        <w:tc>
          <w:tcPr>
            <w:tcW w:type="dxa" w:w="3402"/>
            <w:shd w:fill="F2F2F2" w:val="clear"/>
          </w:tcPr>
          <w:p>
            <w:r/>
            <w:r>
              <w:rPr>
                <w:sz w:val="19"/>
              </w:rPr>
              <w:t>3. Duplikate entfernt</w:t>
            </w:r>
          </w:p>
        </w:tc>
        <w:tc>
          <w:tcPr>
            <w:tcW w:type="dxa" w:w="2551"/>
            <w:shd w:fill="F2F2F2" w:val="clear"/>
          </w:tcPr>
          <w:p>
            <w:r/>
            <w:r>
              <w:rPr>
                <w:sz w:val="19"/>
              </w:rPr>
              <w:t>77.537</w:t>
            </w:r>
          </w:p>
        </w:tc>
        <w:tc>
          <w:tcPr>
            <w:tcW w:type="dxa" w:w="4252"/>
            <w:shd w:fill="F2F2F2" w:val="clear"/>
          </w:tcPr>
          <w:p>
            <w:r/>
            <w:r>
              <w:rPr>
                <w:sz w:val="19"/>
              </w:rPr>
              <w:t>121.233 (61,0 % der Zeilen nach Schritt 2)</w:t>
            </w:r>
          </w:p>
        </w:tc>
      </w:tr>
    </w:tbl>
    <w:p>
      <w:pPr>
        <w:spacing w:after="160" w:line="276" w:lineRule="auto"/>
      </w:pPr>
      <w:r>
        <w:rPr>
          <w:b w:val="0"/>
          <w:i w:val="0"/>
          <w:sz w:val="22"/>
        </w:rPr>
        <w:t>Bemerkenswert: 61,0 % der nach Schritt 2 verbliebenen Zeilen waren Duplikate — ein deutlich höherer Anteil, als man vermuten würde, und ein nachträglicher Beleg dafür, wie wichtig die korrekte Deduplizierungslogik war. Aus den verbleibenden 77.537 Zeilen ergibt sich rechnerisch ein Durchschnitt von 42,6 bewerteten Indikatoren pro Haus (77.537 Zeilen ÷ 1.821 eindeutige Häuser).</w:t>
      </w:r>
    </w:p>
    <w:p>
      <w:pPr>
        <w:pStyle w:val="Heading3"/>
        <w:spacing w:before="200" w:after="80"/>
      </w:pPr>
      <w:r>
        <w:rPr>
          <w:color w:val="BF5A00"/>
          <w:sz w:val="25"/>
        </w:rPr>
        <w:t>1.824 → 1.821: die drei verlorenen Häuser im Detail</w:t>
      </w:r>
    </w:p>
    <w:p>
      <w:pPr>
        <w:spacing w:after="160" w:line="276" w:lineRule="auto"/>
      </w:pPr>
      <w:r>
        <w:rPr>
          <w:b w:val="0"/>
          <w:i w:val="0"/>
          <w:sz w:val="22"/>
        </w:rPr>
        <w:t>Kapitel 1.4 hat die Differenz zwischen 1.824 Häusern (eindeutige SO.QBID im unbereinigten QS.Qualitätsindikator.csv) und 1.821 Häusern (nach den beiden Filtern oben) bereits angekündigt. Es ist kein eigener Ausschluss-Schritt für einzelne Häuser — die drei Häuser verschwinden automatisch, weil für sie nach Schritt 1 und 2 buchstäblich keine einzige Zeile mehr übrig bleibt. Konkret betroffen sind die Häuser mit SO.QBID 5277, 6395 und 6406:</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417"/>
            <w:shd w:fill="1F497D" w:val="clear"/>
          </w:tcPr>
          <w:p>
            <w:r/>
            <w:r>
              <w:rPr>
                <w:b/>
                <w:color w:val="FFFFFF"/>
                <w:sz w:val="19"/>
              </w:rPr>
              <w:t>SO.QBID</w:t>
            </w:r>
          </w:p>
        </w:tc>
        <w:tc>
          <w:tcPr>
            <w:tcW w:type="dxa" w:w="1417"/>
            <w:shd w:fill="1F497D" w:val="clear"/>
          </w:tcPr>
          <w:p>
            <w:r/>
            <w:r>
              <w:rPr>
                <w:b/>
                <w:color w:val="FFFFFF"/>
                <w:sz w:val="19"/>
              </w:rPr>
              <w:t>Rohzeilen</w:t>
            </w:r>
          </w:p>
        </w:tc>
        <w:tc>
          <w:tcPr>
            <w:tcW w:type="dxa" w:w="2551"/>
            <w:shd w:fill="1F497D" w:val="clear"/>
          </w:tcPr>
          <w:p>
            <w:r/>
            <w:r>
              <w:rPr>
                <w:b/>
                <w:color w:val="FFFFFF"/>
                <w:sz w:val="19"/>
              </w:rPr>
              <w:t>QSQI.ArtDesWertes</w:t>
            </w:r>
          </w:p>
        </w:tc>
        <w:tc>
          <w:tcPr>
            <w:tcW w:type="dxa" w:w="3969"/>
            <w:shd w:fill="1F497D" w:val="clear"/>
          </w:tcPr>
          <w:p>
            <w:r/>
            <w:r>
              <w:rPr>
                <w:b/>
                <w:color w:val="FFFFFF"/>
                <w:sz w:val="19"/>
              </w:rPr>
              <w:t>QSErgBewStrukDialog</w:t>
            </w:r>
          </w:p>
        </w:tc>
      </w:tr>
      <w:tr>
        <w:tc>
          <w:tcPr>
            <w:tcW w:type="dxa" w:w="1417"/>
          </w:tcPr>
          <w:p>
            <w:r/>
            <w:r>
              <w:rPr>
                <w:sz w:val="19"/>
              </w:rPr>
              <w:t>6395</w:t>
            </w:r>
          </w:p>
        </w:tc>
        <w:tc>
          <w:tcPr>
            <w:tcW w:type="dxa" w:w="1417"/>
          </w:tcPr>
          <w:p>
            <w:r/>
            <w:r>
              <w:rPr>
                <w:sz w:val="19"/>
              </w:rPr>
              <w:t>8</w:t>
            </w:r>
          </w:p>
        </w:tc>
        <w:tc>
          <w:tcPr>
            <w:tcW w:type="dxa" w:w="2551"/>
          </w:tcPr>
          <w:p>
            <w:r/>
            <w:r>
              <w:rPr>
                <w:sz w:val="19"/>
              </w:rPr>
              <w:t>6× TKez, 2× QI</w:t>
            </w:r>
          </w:p>
        </w:tc>
        <w:tc>
          <w:tcPr>
            <w:tcW w:type="dxa" w:w="3969"/>
          </w:tcPr>
          <w:p>
            <w:r/>
            <w:r>
              <w:rPr>
                <w:sz w:val="19"/>
              </w:rPr>
              <w:t>6× leer (bei TKez), 2× N01</w:t>
            </w:r>
          </w:p>
        </w:tc>
      </w:tr>
      <w:tr>
        <w:tc>
          <w:tcPr>
            <w:tcW w:type="dxa" w:w="1417"/>
            <w:shd w:fill="F2F2F2" w:val="clear"/>
          </w:tcPr>
          <w:p>
            <w:r/>
            <w:r>
              <w:rPr>
                <w:sz w:val="19"/>
              </w:rPr>
              <w:t>5277</w:t>
            </w:r>
          </w:p>
        </w:tc>
        <w:tc>
          <w:tcPr>
            <w:tcW w:type="dxa" w:w="1417"/>
            <w:shd w:fill="F2F2F2" w:val="clear"/>
          </w:tcPr>
          <w:p>
            <w:r/>
            <w:r>
              <w:rPr>
                <w:sz w:val="19"/>
              </w:rPr>
              <w:t>8</w:t>
            </w:r>
          </w:p>
        </w:tc>
        <w:tc>
          <w:tcPr>
            <w:tcW w:type="dxa" w:w="2551"/>
            <w:shd w:fill="F2F2F2" w:val="clear"/>
          </w:tcPr>
          <w:p>
            <w:r/>
            <w:r>
              <w:rPr>
                <w:sz w:val="19"/>
              </w:rPr>
              <w:t>6× TKez, 2× QI</w:t>
            </w:r>
          </w:p>
        </w:tc>
        <w:tc>
          <w:tcPr>
            <w:tcW w:type="dxa" w:w="3969"/>
            <w:shd w:fill="F2F2F2" w:val="clear"/>
          </w:tcPr>
          <w:p>
            <w:r/>
            <w:r>
              <w:rPr>
                <w:sz w:val="19"/>
              </w:rPr>
              <w:t>6× leer, 2× N01</w:t>
            </w:r>
          </w:p>
        </w:tc>
      </w:tr>
      <w:tr>
        <w:tc>
          <w:tcPr>
            <w:tcW w:type="dxa" w:w="1417"/>
          </w:tcPr>
          <w:p>
            <w:r/>
            <w:r>
              <w:rPr>
                <w:sz w:val="19"/>
              </w:rPr>
              <w:t>6406</w:t>
            </w:r>
          </w:p>
        </w:tc>
        <w:tc>
          <w:tcPr>
            <w:tcW w:type="dxa" w:w="1417"/>
          </w:tcPr>
          <w:p>
            <w:r/>
            <w:r>
              <w:rPr>
                <w:sz w:val="19"/>
              </w:rPr>
              <w:t>10</w:t>
            </w:r>
          </w:p>
        </w:tc>
        <w:tc>
          <w:tcPr>
            <w:tcW w:type="dxa" w:w="2551"/>
          </w:tcPr>
          <w:p>
            <w:r/>
            <w:r>
              <w:rPr>
                <w:sz w:val="19"/>
              </w:rPr>
              <w:t>6× TKez, 4× QI</w:t>
            </w:r>
          </w:p>
        </w:tc>
        <w:tc>
          <w:tcPr>
            <w:tcW w:type="dxa" w:w="3969"/>
          </w:tcPr>
          <w:p>
            <w:r/>
            <w:r>
              <w:rPr>
                <w:sz w:val="19"/>
              </w:rPr>
              <w:t>6× leer, 4× N01</w:t>
            </w:r>
          </w:p>
        </w:tc>
      </w:tr>
    </w:tbl>
    <w:p>
      <w:pPr>
        <w:spacing w:after="160" w:line="276" w:lineRule="auto"/>
      </w:pPr>
      <w:r>
        <w:rPr>
          <w:b w:val="0"/>
          <w:i w:val="0"/>
          <w:sz w:val="22"/>
        </w:rPr>
        <w:t>Schritt 1 (nur QSQI.ArtDesWertes == 'QI') entfernt bei allen drei Häusern zunächst die TKez-Zeilen (reine Zählkennzahlen, keine echten Bewertungen) — danach bleiben noch 2 bis 4 QI-Zeilen je Haus übrig, alle drei Häuser zählen an dieser Stelle also noch mit (1.824 Häuser nach Schritt 1). Schritt 2 (alle N*-Codes ausschließen) entfernt dann auch noch diese letzten Zeilen: Bei allen dreien trägt jede einzige verbliebene QI-Zeile den Code N01 (Bewertung nicht vorgesehen) — es gibt keine einzige Zeile mit R10, H-, U-, A-, D- oder S-Code. Nach Schritt 2 haben diese drei Häuser damit exakt 0 Zeilen, während bei allen übrigen 1.821 Häusern mindestens eine bewertbare Zeile stehen bleibt — reiner Zufall der Datenlage bei diesen drei Häusern, kein systematischer Fehler in der Filterlogik.</w:t>
      </w:r>
    </w:p>
    <w:p>
      <w:pPr>
        <w:pStyle w:val="Heading3"/>
        <w:spacing w:before="200" w:after="80"/>
      </w:pPr>
      <w:r>
        <w:rPr>
          <w:color w:val="BF5A00"/>
          <w:sz w:val="25"/>
        </w:rPr>
        <w:t>Ergebnis der Ziel-Variable</w:t>
      </w:r>
    </w:p>
    <w:tbl>
      <w:tblPr>
        <w:tblStyle w:val="TableGrid"/>
        <w:tblW w:type="auto" w:w="0"/>
        <w:jc w:val="center"/>
        <w:tblLook w:firstColumn="1" w:firstRow="1" w:lastColumn="0" w:lastRow="0" w:noHBand="0" w:noVBand="1" w:val="04A0"/>
      </w:tblPr>
      <w:tblGrid>
        <w:gridCol w:w="4844"/>
        <w:gridCol w:w="4844"/>
      </w:tblGrid>
      <w:tr>
        <w:tc>
          <w:tcPr>
            <w:tcW w:type="dxa" w:w="5102"/>
            <w:shd w:fill="1F497D" w:val="clear"/>
          </w:tcPr>
          <w:p>
            <w:r/>
            <w:r>
              <w:rPr>
                <w:b/>
                <w:color w:val="FFFFFF"/>
                <w:sz w:val="19"/>
              </w:rPr>
              <w:t>Kennzahl</w:t>
            </w:r>
          </w:p>
        </w:tc>
        <w:tc>
          <w:tcPr>
            <w:tcW w:type="dxa" w:w="4252"/>
            <w:shd w:fill="1F497D" w:val="clear"/>
          </w:tcPr>
          <w:p>
            <w:r/>
            <w:r>
              <w:rPr>
                <w:b/>
                <w:color w:val="FFFFFF"/>
                <w:sz w:val="19"/>
              </w:rPr>
              <w:t>Wert</w:t>
            </w:r>
          </w:p>
        </w:tc>
      </w:tr>
      <w:tr>
        <w:tc>
          <w:tcPr>
            <w:tcW w:type="dxa" w:w="5102"/>
          </w:tcPr>
          <w:p>
            <w:r/>
            <w:r>
              <w:rPr>
                <w:sz w:val="19"/>
              </w:rPr>
              <w:t>Median auffaellig_quote</w:t>
            </w:r>
          </w:p>
        </w:tc>
        <w:tc>
          <w:tcPr>
            <w:tcW w:type="dxa" w:w="4252"/>
          </w:tcPr>
          <w:p>
            <w:r/>
            <w:r>
              <w:rPr>
                <w:sz w:val="19"/>
              </w:rPr>
              <w:t>5,88 %</w:t>
            </w:r>
          </w:p>
        </w:tc>
      </w:tr>
      <w:tr>
        <w:tc>
          <w:tcPr>
            <w:tcW w:type="dxa" w:w="5102"/>
            <w:shd w:fill="F2F2F2" w:val="clear"/>
          </w:tcPr>
          <w:p>
            <w:r/>
            <w:r>
              <w:rPr>
                <w:sz w:val="19"/>
              </w:rPr>
              <w:t>Mittelwert auffaellig_quote</w:t>
            </w:r>
          </w:p>
        </w:tc>
        <w:tc>
          <w:tcPr>
            <w:tcW w:type="dxa" w:w="4252"/>
            <w:shd w:fill="F2F2F2" w:val="clear"/>
          </w:tcPr>
          <w:p>
            <w:r/>
            <w:r>
              <w:rPr>
                <w:sz w:val="19"/>
              </w:rPr>
              <w:t>8,6 %</w:t>
            </w:r>
          </w:p>
        </w:tc>
      </w:tr>
      <w:tr>
        <w:tc>
          <w:tcPr>
            <w:tcW w:type="dxa" w:w="5102"/>
          </w:tcPr>
          <w:p>
            <w:r/>
            <w:r>
              <w:rPr>
                <w:sz w:val="19"/>
              </w:rPr>
              <w:t>hat_viele_Probleme = 1 (viele Probleme)</w:t>
            </w:r>
          </w:p>
        </w:tc>
        <w:tc>
          <w:tcPr>
            <w:tcW w:type="dxa" w:w="4252"/>
          </w:tcPr>
          <w:p>
            <w:r/>
            <w:r>
              <w:rPr>
                <w:sz w:val="19"/>
              </w:rPr>
              <w:t>905 Häuser (49,7 %)</w:t>
            </w:r>
          </w:p>
        </w:tc>
      </w:tr>
      <w:tr>
        <w:tc>
          <w:tcPr>
            <w:tcW w:type="dxa" w:w="5102"/>
            <w:shd w:fill="F2F2F2" w:val="clear"/>
          </w:tcPr>
          <w:p>
            <w:r/>
            <w:r>
              <w:rPr>
                <w:sz w:val="19"/>
              </w:rPr>
              <w:t>hat_viele_Probleme = 0 (wenige Probleme)</w:t>
            </w:r>
          </w:p>
        </w:tc>
        <w:tc>
          <w:tcPr>
            <w:tcW w:type="dxa" w:w="4252"/>
            <w:shd w:fill="F2F2F2" w:val="clear"/>
          </w:tcPr>
          <w:p>
            <w:r/>
            <w:r>
              <w:rPr>
                <w:sz w:val="19"/>
              </w:rPr>
              <w:t>916 Häuser (50,3 %)</w:t>
            </w:r>
          </w:p>
        </w:tc>
      </w:tr>
      <w:tr>
        <w:tc>
          <w:tcPr>
            <w:tcW w:type="dxa" w:w="5102"/>
          </w:tcPr>
          <w:p>
            <w:r/>
            <w:r>
              <w:rPr>
                <w:sz w:val="19"/>
              </w:rPr>
              <w:t>Häuser insgesamt</w:t>
            </w:r>
          </w:p>
        </w:tc>
        <w:tc>
          <w:tcPr>
            <w:tcW w:type="dxa" w:w="4252"/>
          </w:tcPr>
          <w:p>
            <w:r/>
            <w:r>
              <w:rPr>
                <w:sz w:val="19"/>
              </w:rPr>
              <w:t>1.821</w:t>
            </w:r>
          </w:p>
        </w:tc>
      </w:tr>
    </w:tbl>
    <w:p>
      <w:pPr>
        <w:spacing w:after="160" w:line="276" w:lineRule="auto"/>
      </w:pPr>
      <w:r>
        <w:rPr>
          <w:b w:val="0"/>
          <w:i w:val="0"/>
          <w:sz w:val="22"/>
        </w:rPr>
        <w:t>Warum Median statt Mittelwert oder ein fester Wert wie 80 %? Der Median teilt die Häuser automatisch in zwei etwa gleich große Gruppen und ist robuster gegenüber Ausreißern. Ein Modell, das bei einer stark unausgewogenen Verteilung immer nur die häufigere Klasse rät, läge sonst schon fast immer richtig, ohne aus den Daten etwas gelernt zu haben.</w:t>
      </w:r>
    </w:p>
    <w:p>
      <w:pPr>
        <w:pStyle w:val="Heading2"/>
        <w:spacing w:before="280" w:after="120"/>
      </w:pPr>
      <w:r>
        <w:rPr>
          <w:color w:val="1F497D"/>
          <w:sz w:val="30"/>
        </w:rPr>
        <w:t>2.3  Exkurs: Auffälligkeit selbst nachrechnen statt übernehmen</w:t>
      </w:r>
    </w:p>
    <w:p>
      <w:pPr>
        <w:spacing w:after="160" w:line="276" w:lineRule="auto"/>
      </w:pPr>
      <w:r>
        <w:rPr>
          <w:b w:val="0"/>
          <w:i w:val="0"/>
          <w:sz w:val="22"/>
        </w:rPr>
        <w:t>QSErgBewStrukDialog liefert IQTIGs bereits fertige Bewertung, ob ein Indikator auffällig ist. QS.Qualitätsindikator.csv enthält aber zusätzlich die Rohgrößen, aus denen diese Bewertung eigentlich hervorgeht: QSQI.Ergebnis (gemessener Wert), QSQI.Referenzwert (Schwellenwert) und QSQI.Operator (Vergleichsrichtung, z. B. „&lt;=“). Als Kontrollrechnung — ohne Auswirkung auf die Analysetabelle oder die Ziel-Variable im übrigen Projekt — wurde geprüft: Was passiert, wenn die Auffälligkeit selbst aus diesen drei Spalten berechnet wird, statt QSErgBewStrukDialog einfach zu übernehmen?</w:t>
      </w:r>
    </w:p>
    <w:p>
      <w:pPr>
        <w:spacing w:after="200" w:line="276" w:lineRule="auto"/>
      </w:pPr>
      <w:r>
        <w:rPr>
          <w:b/>
          <w:i w:val="0"/>
          <w:color w:val="1F497D"/>
          <w:sz w:val="22"/>
        </w:rPr>
        <w:t xml:space="preserve">Kurzfassung: </w:t>
      </w:r>
      <w:r>
        <w:rPr>
          <w:b w:val="0"/>
          <w:i w:val="0"/>
          <w:color w:val="555555"/>
          <w:sz w:val="22"/>
        </w:rPr>
        <w:t>Die beiden Methoden stimmen auf Zeilenebene zu 96,0 % überein — nah, aber nicht exakt gleich. Der Grund für die verbleibende Abweichung ist selbst ein interessanter Befund: Eine einfache Punktwert-Regel berücksichtigt nicht, dass IQTIG die statistische Unsicherheit jedes Messwerts (Konfidenzintervall) explizit mit einbezieht.</w:t>
      </w:r>
    </w:p>
    <w:p>
      <w:pPr>
        <w:pStyle w:val="Heading3"/>
        <w:spacing w:before="200" w:after="80"/>
      </w:pPr>
      <w:r>
        <w:rPr>
          <w:color w:val="BF5A00"/>
          <w:sz w:val="25"/>
        </w:rPr>
        <w:t>Nur 36 % der Zeilen sind überhaupt selbst berechenbar</w:t>
      </w:r>
    </w:p>
    <w:p>
      <w:pPr>
        <w:spacing w:after="160" w:line="276" w:lineRule="auto"/>
      </w:pPr>
      <w:r>
        <w:rPr>
          <w:b w:val="0"/>
          <w:i w:val="0"/>
          <w:sz w:val="22"/>
        </w:rPr>
        <w:t>Für eine Eigenberechnung müssen gleichzeitig vorliegen: ein echter Zahlenwert bei QSQI.Ergebnis, ein QSQI.Referenzwert und ein QSQI.Operator. QSQI.Operator fehlt bei rund einem Drittel aller QI-Zeilen komplett (nur 67,3 % vorhanden). Zusätzlich maskiert IQTIG bei kleinen Fallzahlen aus Datenschutzgründen den echten Messwert mit dem Text „≤3“ (23,0 % der Zeilen) — der exakte Wert bleibt dann unbekannt. Die Bereinigung der Rohdaten auf die selbst berechenbare Teilmenge läuft in zwei Schritten:</w:t>
      </w:r>
    </w:p>
    <w:tbl>
      <w:tblPr>
        <w:tblStyle w:val="TableGrid"/>
        <w:tblW w:type="auto" w:w="0"/>
        <w:jc w:val="center"/>
        <w:tblLook w:firstColumn="1" w:firstRow="1" w:lastColumn="0" w:lastRow="0" w:noHBand="0" w:noVBand="1" w:val="04A0"/>
      </w:tblPr>
      <w:tblGrid>
        <w:gridCol w:w="3230"/>
        <w:gridCol w:w="3230"/>
        <w:gridCol w:w="3230"/>
      </w:tblGrid>
      <w:tr>
        <w:tc>
          <w:tcPr>
            <w:tcW w:type="dxa" w:w="4819"/>
            <w:shd w:fill="1F497D" w:val="clear"/>
          </w:tcPr>
          <w:p>
            <w:r/>
            <w:r>
              <w:rPr>
                <w:b/>
                <w:color w:val="FFFFFF"/>
                <w:sz w:val="19"/>
              </w:rPr>
              <w:t>Schritt</w:t>
            </w:r>
          </w:p>
        </w:tc>
        <w:tc>
          <w:tcPr>
            <w:tcW w:type="dxa" w:w="2268"/>
            <w:shd w:fill="1F497D" w:val="clear"/>
          </w:tcPr>
          <w:p>
            <w:r/>
            <w:r>
              <w:rPr>
                <w:b/>
                <w:color w:val="FFFFFF"/>
                <w:sz w:val="19"/>
              </w:rPr>
              <w:t>Zeilen danach</w:t>
            </w:r>
          </w:p>
        </w:tc>
        <w:tc>
          <w:tcPr>
            <w:tcW w:type="dxa" w:w="2835"/>
            <w:shd w:fill="1F497D" w:val="clear"/>
          </w:tcPr>
          <w:p>
            <w:r/>
            <w:r>
              <w:rPr>
                <w:b/>
                <w:color w:val="FFFFFF"/>
                <w:sz w:val="19"/>
              </w:rPr>
              <w:t>Entfernt</w:t>
            </w:r>
          </w:p>
        </w:tc>
      </w:tr>
      <w:tr>
        <w:tc>
          <w:tcPr>
            <w:tcW w:type="dxa" w:w="4819"/>
          </w:tcPr>
          <w:p>
            <w:r/>
            <w:r>
              <w:rPr>
                <w:sz w:val="19"/>
              </w:rPr>
              <w:t>Ausgangsdatensatz (nach QI-Filter)</w:t>
            </w:r>
          </w:p>
        </w:tc>
        <w:tc>
          <w:tcPr>
            <w:tcW w:type="dxa" w:w="2268"/>
          </w:tcPr>
          <w:p>
            <w:r/>
            <w:r>
              <w:rPr>
                <w:sz w:val="19"/>
              </w:rPr>
              <w:t>308.726</w:t>
            </w:r>
          </w:p>
        </w:tc>
        <w:tc>
          <w:tcPr>
            <w:tcW w:type="dxa" w:w="2835"/>
          </w:tcPr>
          <w:p>
            <w:r/>
            <w:r>
              <w:rPr>
                <w:sz w:val="19"/>
              </w:rPr>
              <w:t>—</w:t>
            </w:r>
          </w:p>
        </w:tc>
      </w:tr>
      <w:tr>
        <w:tc>
          <w:tcPr>
            <w:tcW w:type="dxa" w:w="4819"/>
            <w:shd w:fill="F2F2F2" w:val="clear"/>
          </w:tcPr>
          <w:p>
            <w:r/>
            <w:r>
              <w:rPr>
                <w:sz w:val="19"/>
              </w:rPr>
              <w:t>1. QSQI.Operator vorhanden</w:t>
            </w:r>
          </w:p>
        </w:tc>
        <w:tc>
          <w:tcPr>
            <w:tcW w:type="dxa" w:w="2268"/>
            <w:shd w:fill="F2F2F2" w:val="clear"/>
          </w:tcPr>
          <w:p>
            <w:r/>
            <w:r>
              <w:rPr>
                <w:sz w:val="19"/>
              </w:rPr>
              <w:t>207.844</w:t>
            </w:r>
          </w:p>
        </w:tc>
        <w:tc>
          <w:tcPr>
            <w:tcW w:type="dxa" w:w="2835"/>
            <w:shd w:fill="F2F2F2" w:val="clear"/>
          </w:tcPr>
          <w:p>
            <w:r/>
            <w:r>
              <w:rPr>
                <w:sz w:val="19"/>
              </w:rPr>
              <w:t>100.882</w:t>
            </w:r>
          </w:p>
        </w:tc>
      </w:tr>
      <w:tr>
        <w:tc>
          <w:tcPr>
            <w:tcW w:type="dxa" w:w="4819"/>
          </w:tcPr>
          <w:p>
            <w:r/>
            <w:r>
              <w:rPr>
                <w:sz w:val="19"/>
              </w:rPr>
              <w:t>2. QSQI.Ergebnis ist echte Zahl (nicht maskiert)</w:t>
            </w:r>
          </w:p>
        </w:tc>
        <w:tc>
          <w:tcPr>
            <w:tcW w:type="dxa" w:w="2268"/>
          </w:tcPr>
          <w:p>
            <w:r/>
            <w:r>
              <w:rPr>
                <w:sz w:val="19"/>
              </w:rPr>
              <w:t>111.061</w:t>
            </w:r>
          </w:p>
        </w:tc>
        <w:tc>
          <w:tcPr>
            <w:tcW w:type="dxa" w:w="2835"/>
          </w:tcPr>
          <w:p>
            <w:r/>
            <w:r>
              <w:rPr>
                <w:sz w:val="19"/>
              </w:rPr>
              <w:t>96.783</w:t>
            </w:r>
          </w:p>
        </w:tc>
      </w:tr>
    </w:tbl>
    <w:p>
      <w:pPr>
        <w:spacing w:after="160" w:line="276" w:lineRule="auto"/>
      </w:pPr>
      <w:r>
        <w:rPr>
          <w:b w:val="0"/>
          <w:i w:val="0"/>
          <w:sz w:val="22"/>
        </w:rPr>
        <w:t>QSQI.Referenzwert ist bei dieser verbleibenden Teilmenge in jedem Fall bereits vorhanden (0 weitere Verluste) — die drei Spalten werden von IQTIG offenbar immer gemeinsam befüllt oder gemeinsam leer gelassen. In Summe sind damit nur 111.061 von 308.726 QI-Zeilen (36,0 %) überhaupt selbst berechenbar.</w:t>
      </w:r>
    </w:p>
    <w:p>
      <w:pPr>
        <w:pStyle w:val="Heading3"/>
        <w:spacing w:before="200" w:after="80"/>
      </w:pPr>
      <w:r>
        <w:rPr>
          <w:color w:val="BF5A00"/>
          <w:sz w:val="25"/>
        </w:rPr>
        <w:t>Vergleich auf Zeilenebene: 96,0 % Übereinstimmung</w:t>
      </w:r>
    </w:p>
    <w:tbl>
      <w:tblPr>
        <w:tblStyle w:val="TableGrid"/>
        <w:tblW w:type="auto" w:w="0"/>
        <w:jc w:val="center"/>
        <w:tblLook w:firstColumn="1" w:firstRow="1" w:lastColumn="0" w:lastRow="0" w:noHBand="0" w:noVBand="1" w:val="04A0"/>
      </w:tblPr>
      <w:tblGrid>
        <w:gridCol w:w="3230"/>
        <w:gridCol w:w="3230"/>
        <w:gridCol w:w="3230"/>
      </w:tblGrid>
      <w:tr>
        <w:tc>
          <w:tcPr>
            <w:tcW w:type="dxa" w:w="4252"/>
            <w:shd w:fill="1F497D" w:val="clear"/>
          </w:tcPr>
          <w:p>
            <w:r/>
            <w:r>
              <w:rPr>
                <w:b/>
                <w:color w:val="FFFFFF"/>
                <w:sz w:val="19"/>
              </w:rPr>
              <w:t>eigene Bewertung ↓ / offizielle Bewertung →</w:t>
            </w:r>
          </w:p>
        </w:tc>
        <w:tc>
          <w:tcPr>
            <w:tcW w:type="dxa" w:w="2551"/>
            <w:shd w:fill="1F497D" w:val="clear"/>
          </w:tcPr>
          <w:p>
            <w:r/>
            <w:r>
              <w:rPr>
                <w:b/>
                <w:color w:val="FFFFFF"/>
                <w:sz w:val="19"/>
              </w:rPr>
              <w:t>nicht auffällig (0)</w:t>
            </w:r>
          </w:p>
        </w:tc>
        <w:tc>
          <w:tcPr>
            <w:tcW w:type="dxa" w:w="2268"/>
            <w:shd w:fill="1F497D" w:val="clear"/>
          </w:tcPr>
          <w:p>
            <w:r/>
            <w:r>
              <w:rPr>
                <w:b/>
                <w:color w:val="FFFFFF"/>
                <w:sz w:val="19"/>
              </w:rPr>
              <w:t>auffällig (1)</w:t>
            </w:r>
          </w:p>
        </w:tc>
      </w:tr>
      <w:tr>
        <w:tc>
          <w:tcPr>
            <w:tcW w:type="dxa" w:w="4252"/>
          </w:tcPr>
          <w:p>
            <w:r/>
            <w:r>
              <w:rPr>
                <w:sz w:val="19"/>
              </w:rPr>
              <w:t>nicht auffällig (0)</w:t>
            </w:r>
          </w:p>
        </w:tc>
        <w:tc>
          <w:tcPr>
            <w:tcW w:type="dxa" w:w="2551"/>
          </w:tcPr>
          <w:p>
            <w:r/>
            <w:r>
              <w:rPr>
                <w:sz w:val="19"/>
              </w:rPr>
              <w:t>100.597</w:t>
            </w:r>
          </w:p>
        </w:tc>
        <w:tc>
          <w:tcPr>
            <w:tcW w:type="dxa" w:w="2268"/>
          </w:tcPr>
          <w:p>
            <w:r/>
            <w:r>
              <w:rPr>
                <w:sz w:val="19"/>
              </w:rPr>
              <w:t>8</w:t>
            </w:r>
          </w:p>
        </w:tc>
      </w:tr>
      <w:tr>
        <w:tc>
          <w:tcPr>
            <w:tcW w:type="dxa" w:w="4252"/>
            <w:shd w:fill="F2F2F2" w:val="clear"/>
          </w:tcPr>
          <w:p>
            <w:r/>
            <w:r>
              <w:rPr>
                <w:sz w:val="19"/>
              </w:rPr>
              <w:t>auffällig (1)</w:t>
            </w:r>
          </w:p>
        </w:tc>
        <w:tc>
          <w:tcPr>
            <w:tcW w:type="dxa" w:w="2551"/>
            <w:shd w:fill="F2F2F2" w:val="clear"/>
          </w:tcPr>
          <w:p>
            <w:r/>
            <w:r>
              <w:rPr>
                <w:sz w:val="19"/>
              </w:rPr>
              <w:t>4.416</w:t>
            </w:r>
          </w:p>
        </w:tc>
        <w:tc>
          <w:tcPr>
            <w:tcW w:type="dxa" w:w="2268"/>
            <w:shd w:fill="F2F2F2" w:val="clear"/>
          </w:tcPr>
          <w:p>
            <w:r/>
            <w:r>
              <w:rPr>
                <w:sz w:val="19"/>
              </w:rPr>
              <w:t>5.954</w:t>
            </w:r>
          </w:p>
        </w:tc>
      </w:tr>
    </w:tbl>
    <w:p>
      <w:pPr>
        <w:spacing w:after="160" w:line="276" w:lineRule="auto"/>
      </w:pPr>
      <w:r>
        <w:rPr>
          <w:b w:val="0"/>
          <w:i w:val="0"/>
          <w:sz w:val="22"/>
        </w:rPr>
        <w:t>4.416 Zeilen stuft die eigene Regel als auffällig ein, wo IQTIG „nicht auffällig“ (R10) sagt — nur 8 Zeilen andersherum. Diese starke Asymmetrie (fast alle Abweichungen in dieselbe Richtung) deutet auf einen systematischen statt einen zufälligen Grund hin.</w:t>
      </w:r>
    </w:p>
    <w:p>
      <w:pPr>
        <w:pStyle w:val="Heading3"/>
        <w:spacing w:before="200" w:after="80"/>
      </w:pPr>
      <w:r>
        <w:rPr>
          <w:color w:val="BF5A00"/>
          <w:sz w:val="25"/>
        </w:rPr>
        <w:t>Der Grund: Konfidenzintervalle</w:t>
      </w:r>
    </w:p>
    <w:p>
      <w:pPr>
        <w:spacing w:after="160" w:line="276" w:lineRule="auto"/>
      </w:pPr>
      <w:r>
        <w:rPr>
          <w:b w:val="0"/>
          <w:i w:val="0"/>
          <w:sz w:val="22"/>
        </w:rPr>
        <w:t>QS.Qualitätsindikator.csv enthält eine weitere Spalte, die die einfache Regel ignoriert: QSQI.KHVertrauensbereich — das Konfidenzintervall des Hauses um seinen eigenen Messwert. IQTIGs tatsächliche Regel ist offenbar kein reiner Punktvergleich, sondern ein statistischer Test: Ein Haus gilt nur dann als auffällig, wenn der Referenzwert außerhalb seines Konfidenzintervalls liegt. Beispiel aus den Daten: Ergebnis 1,21, Referenzwert 1,10 (Operator „&lt;=“) → nach der naiven Regel „auffällig“, weil 1,21 &gt; 1,10. Tatsächliches Konfidenzintervall des Hauses: 0,66–2,04 — der Referenzwert liegt mittendrin. IQTIGs Bewertung: R10 (nicht auffällig), zu Recht. Bei 99,46 % der 4.416 Abweichungen liegt der Referenzwert im Konfidenzintervall des Hauses — das erklärt praktisch die gesamte Diskrepanz.</w:t>
      </w:r>
    </w:p>
    <w:p>
      <w:pPr>
        <w:pStyle w:val="Heading3"/>
        <w:spacing w:before="200" w:after="80"/>
      </w:pPr>
      <w:r>
        <w:rPr>
          <w:color w:val="BF5A00"/>
          <w:sz w:val="25"/>
        </w:rPr>
        <w:t>Hochrechnung auf Hausebene</w:t>
      </w:r>
    </w:p>
    <w:tbl>
      <w:tblPr>
        <w:tblStyle w:val="TableGrid"/>
        <w:tblW w:type="auto" w:w="0"/>
        <w:jc w:val="center"/>
        <w:tblLook w:firstColumn="1" w:firstRow="1" w:lastColumn="0" w:lastRow="0" w:noHBand="0" w:noVBand="1" w:val="04A0"/>
      </w:tblPr>
      <w:tblGrid>
        <w:gridCol w:w="3230"/>
        <w:gridCol w:w="3230"/>
        <w:gridCol w:w="3230"/>
      </w:tblGrid>
      <w:tr>
        <w:tc>
          <w:tcPr>
            <w:tcW w:type="dxa" w:w="3685"/>
            <w:shd w:fill="1F497D" w:val="clear"/>
          </w:tcPr>
          <w:p>
            <w:r/>
            <w:r>
              <w:rPr>
                <w:b/>
                <w:color w:val="FFFFFF"/>
                <w:sz w:val="19"/>
              </w:rPr>
              <w:t>Kennzahl</w:t>
            </w:r>
          </w:p>
        </w:tc>
        <w:tc>
          <w:tcPr>
            <w:tcW w:type="dxa" w:w="2835"/>
            <w:shd w:fill="1F497D" w:val="clear"/>
          </w:tcPr>
          <w:p>
            <w:r/>
            <w:r>
              <w:rPr>
                <w:b/>
                <w:color w:val="FFFFFF"/>
                <w:sz w:val="19"/>
              </w:rPr>
              <w:t>Eigene Berechnung</w:t>
            </w:r>
          </w:p>
        </w:tc>
        <w:tc>
          <w:tcPr>
            <w:tcW w:type="dxa" w:w="3402"/>
            <w:shd w:fill="1F497D" w:val="clear"/>
          </w:tcPr>
          <w:p>
            <w:r/>
            <w:r>
              <w:rPr>
                <w:b/>
                <w:color w:val="FFFFFF"/>
                <w:sz w:val="19"/>
              </w:rPr>
              <w:t>Offiziell (analysetabelle.csv)</w:t>
            </w:r>
          </w:p>
        </w:tc>
      </w:tr>
      <w:tr>
        <w:tc>
          <w:tcPr>
            <w:tcW w:type="dxa" w:w="3685"/>
          </w:tcPr>
          <w:p>
            <w:r/>
            <w:r>
              <w:rPr>
                <w:sz w:val="19"/>
              </w:rPr>
              <w:t>Häuser abgedeckt</w:t>
            </w:r>
          </w:p>
        </w:tc>
        <w:tc>
          <w:tcPr>
            <w:tcW w:type="dxa" w:w="2835"/>
          </w:tcPr>
          <w:p>
            <w:r/>
            <w:r>
              <w:rPr>
                <w:sz w:val="19"/>
              </w:rPr>
              <w:t>1.710</w:t>
            </w:r>
          </w:p>
        </w:tc>
        <w:tc>
          <w:tcPr>
            <w:tcW w:type="dxa" w:w="3402"/>
          </w:tcPr>
          <w:p>
            <w:r/>
            <w:r>
              <w:rPr>
                <w:sz w:val="19"/>
              </w:rPr>
              <w:t>1.821</w:t>
            </w:r>
          </w:p>
        </w:tc>
      </w:tr>
      <w:tr>
        <w:tc>
          <w:tcPr>
            <w:tcW w:type="dxa" w:w="3685"/>
            <w:shd w:fill="F2F2F2" w:val="clear"/>
          </w:tcPr>
          <w:p>
            <w:r/>
            <w:r>
              <w:rPr>
                <w:sz w:val="19"/>
              </w:rPr>
              <w:t>Ø Indikatoren pro Haus</w:t>
            </w:r>
          </w:p>
        </w:tc>
        <w:tc>
          <w:tcPr>
            <w:tcW w:type="dxa" w:w="2835"/>
            <w:shd w:fill="F2F2F2" w:val="clear"/>
          </w:tcPr>
          <w:p>
            <w:r/>
            <w:r>
              <w:rPr>
                <w:sz w:val="19"/>
              </w:rPr>
              <w:t>26,5</w:t>
            </w:r>
          </w:p>
        </w:tc>
        <w:tc>
          <w:tcPr>
            <w:tcW w:type="dxa" w:w="3402"/>
            <w:shd w:fill="F2F2F2" w:val="clear"/>
          </w:tcPr>
          <w:p>
            <w:r/>
            <w:r>
              <w:rPr>
                <w:sz w:val="19"/>
              </w:rPr>
              <w:t>42,6</w:t>
            </w:r>
          </w:p>
        </w:tc>
      </w:tr>
      <w:tr>
        <w:tc>
          <w:tcPr>
            <w:tcW w:type="dxa" w:w="3685"/>
          </w:tcPr>
          <w:p>
            <w:r/>
            <w:r>
              <w:rPr>
                <w:sz w:val="19"/>
              </w:rPr>
              <w:t>Median auffaellig_quote</w:t>
            </w:r>
          </w:p>
        </w:tc>
        <w:tc>
          <w:tcPr>
            <w:tcW w:type="dxa" w:w="2835"/>
          </w:tcPr>
          <w:p>
            <w:r/>
            <w:r>
              <w:rPr>
                <w:sz w:val="19"/>
              </w:rPr>
              <w:t>5,00 %</w:t>
            </w:r>
          </w:p>
        </w:tc>
        <w:tc>
          <w:tcPr>
            <w:tcW w:type="dxa" w:w="3402"/>
          </w:tcPr>
          <w:p>
            <w:r/>
            <w:r>
              <w:rPr>
                <w:sz w:val="19"/>
              </w:rPr>
              <w:t>5,88 %</w:t>
            </w:r>
          </w:p>
        </w:tc>
      </w:tr>
    </w:tbl>
    <w:p>
      <w:pPr>
        <w:spacing w:after="160" w:line="276" w:lineRule="auto"/>
      </w:pPr>
      <w:r>
        <w:rPr>
          <w:b w:val="0"/>
          <w:i w:val="0"/>
          <w:sz w:val="22"/>
        </w:rPr>
        <w:t>Bei den 1.710 gemeinsamen Häusern (93,9 % der 1.821): Korrelation eigene vs. offizielle Haus-Quote r = 0,742 — nicht schwach, aber auf Ebene der binären Gruppenzuordnung, mit der im Projekt tatsächlich gearbeitet wird, stimmen nur 75,9 % überein. Ein Viertel der Häuser würde also mit der Eigenberechnung in die jeweils andere Gruppe (wenige/viele Probleme) fallen als mit der offiziellen Bewertung.</w:t>
      </w:r>
    </w:p>
    <w:p>
      <w:pPr>
        <w:pStyle w:val="Heading3"/>
        <w:spacing w:before="200" w:after="80"/>
      </w:pPr>
      <w:r>
        <w:rPr>
          <w:color w:val="BF5A00"/>
          <w:sz w:val="25"/>
        </w:rPr>
        <w:t>Die beiden Bereinigungskaskaden im Vergleich</w:t>
      </w:r>
    </w:p>
    <w:p>
      <w:pPr>
        <w:spacing w:after="160" w:line="276" w:lineRule="auto"/>
      </w:pPr>
      <w:r>
        <w:rPr>
          <w:b w:val="0"/>
          <w:i w:val="0"/>
          <w:sz w:val="22"/>
        </w:rPr>
        <w:t>Der offizielle Pfad (Ziel-Variable, Abschnitt 2.2) und der Eigenberechnungs-Pfad aus diesem Exkurs starten an derselben Stelle — denselben Rohdaten, demselben QI-Filter — und filtern erst danach nach völlig unterschiedlichen Kriterien weiter: Bewertungsinhalt (offizieller Pfad) gegenüber Datenverfügbarkeit (Eigenberechnungs-Pfad).</w:t>
      </w:r>
    </w:p>
    <w:tbl>
      <w:tblPr>
        <w:tblStyle w:val="TableGrid"/>
        <w:tblW w:type="auto" w:w="0"/>
        <w:jc w:val="center"/>
        <w:tblLook w:firstColumn="1" w:firstRow="1" w:lastColumn="0" w:lastRow="0" w:noHBand="0" w:noVBand="1" w:val="04A0"/>
      </w:tblPr>
      <w:tblGrid>
        <w:gridCol w:w="3230"/>
        <w:gridCol w:w="3230"/>
        <w:gridCol w:w="3230"/>
      </w:tblGrid>
      <w:tr>
        <w:tc>
          <w:tcPr>
            <w:tcW w:type="dxa" w:w="3402"/>
            <w:shd w:fill="1F497D" w:val="clear"/>
          </w:tcPr>
          <w:p>
            <w:r/>
            <w:r>
              <w:rPr>
                <w:b/>
                <w:color w:val="FFFFFF"/>
                <w:sz w:val="19"/>
              </w:rPr>
              <w:t>Schritt</w:t>
            </w:r>
          </w:p>
        </w:tc>
        <w:tc>
          <w:tcPr>
            <w:tcW w:type="dxa" w:w="3402"/>
            <w:shd w:fill="1F497D" w:val="clear"/>
          </w:tcPr>
          <w:p>
            <w:r/>
            <w:r>
              <w:rPr>
                <w:b/>
                <w:color w:val="FFFFFF"/>
                <w:sz w:val="19"/>
              </w:rPr>
              <w:t>Offizieller Pfad (Ziel-Variable)</w:t>
            </w:r>
          </w:p>
        </w:tc>
        <w:tc>
          <w:tcPr>
            <w:tcW w:type="dxa" w:w="3685"/>
            <w:shd w:fill="1F497D" w:val="clear"/>
          </w:tcPr>
          <w:p>
            <w:r/>
            <w:r>
              <w:rPr>
                <w:b/>
                <w:color w:val="FFFFFF"/>
                <w:sz w:val="19"/>
              </w:rPr>
              <w:t>Eigenberechnungs-Pfad</w:t>
            </w:r>
          </w:p>
        </w:tc>
      </w:tr>
      <w:tr>
        <w:tc>
          <w:tcPr>
            <w:tcW w:type="dxa" w:w="3402"/>
          </w:tcPr>
          <w:p>
            <w:r/>
            <w:r>
              <w:rPr>
                <w:sz w:val="19"/>
              </w:rPr>
              <w:t>0. Rohdaten (QS.Qualitätsindikator.csv)</w:t>
            </w:r>
          </w:p>
        </w:tc>
        <w:tc>
          <w:tcPr>
            <w:tcW w:type="dxa" w:w="3402"/>
          </w:tcPr>
          <w:p>
            <w:r/>
            <w:r>
              <w:rPr>
                <w:sz w:val="19"/>
              </w:rPr>
              <w:t>417.799 Zeilen</w:t>
            </w:r>
          </w:p>
        </w:tc>
        <w:tc>
          <w:tcPr>
            <w:tcW w:type="dxa" w:w="3685"/>
          </w:tcPr>
          <w:p>
            <w:r/>
            <w:r>
              <w:rPr>
                <w:sz w:val="19"/>
              </w:rPr>
              <w:t>417.799 Zeilen</w:t>
            </w:r>
          </w:p>
        </w:tc>
      </w:tr>
      <w:tr>
        <w:tc>
          <w:tcPr>
            <w:tcW w:type="dxa" w:w="3402"/>
            <w:shd w:fill="F2F2F2" w:val="clear"/>
          </w:tcPr>
          <w:p>
            <w:r/>
            <w:r>
              <w:rPr>
                <w:sz w:val="19"/>
              </w:rPr>
              <w:t>1. Nach QI-Filter (Zählkennzahlen entfernt)</w:t>
            </w:r>
          </w:p>
        </w:tc>
        <w:tc>
          <w:tcPr>
            <w:tcW w:type="dxa" w:w="3402"/>
            <w:shd w:fill="F2F2F2" w:val="clear"/>
          </w:tcPr>
          <w:p>
            <w:r/>
            <w:r>
              <w:rPr>
                <w:sz w:val="19"/>
              </w:rPr>
              <w:t>308.726 Zeilen</w:t>
            </w:r>
          </w:p>
        </w:tc>
        <w:tc>
          <w:tcPr>
            <w:tcW w:type="dxa" w:w="3685"/>
            <w:shd w:fill="F2F2F2" w:val="clear"/>
          </w:tcPr>
          <w:p>
            <w:r/>
            <w:r>
              <w:rPr>
                <w:sz w:val="19"/>
              </w:rPr>
              <w:t>308.726 Zeilen</w:t>
            </w:r>
          </w:p>
        </w:tc>
      </w:tr>
      <w:tr>
        <w:tc>
          <w:tcPr>
            <w:tcW w:type="dxa" w:w="3402"/>
          </w:tcPr>
          <w:p>
            <w:r/>
            <w:r>
              <w:rPr>
                <w:sz w:val="19"/>
              </w:rPr>
              <w:t>2. Nächstes Filterkriterium</w:t>
            </w:r>
          </w:p>
        </w:tc>
        <w:tc>
          <w:tcPr>
            <w:tcW w:type="dxa" w:w="3402"/>
          </w:tcPr>
          <w:p>
            <w:r/>
            <w:r>
              <w:rPr>
                <w:sz w:val="19"/>
              </w:rPr>
              <w:t>198.770 (alle N*-Codes entfernt)</w:t>
            </w:r>
          </w:p>
        </w:tc>
        <w:tc>
          <w:tcPr>
            <w:tcW w:type="dxa" w:w="3685"/>
          </w:tcPr>
          <w:p>
            <w:r/>
            <w:r>
              <w:rPr>
                <w:sz w:val="19"/>
              </w:rPr>
              <w:t>207.844 (QSQI.Operator vorhanden)</w:t>
            </w:r>
          </w:p>
        </w:tc>
      </w:tr>
      <w:tr>
        <w:tc>
          <w:tcPr>
            <w:tcW w:type="dxa" w:w="3402"/>
            <w:shd w:fill="F2F2F2" w:val="clear"/>
          </w:tcPr>
          <w:p>
            <w:r/>
            <w:r>
              <w:rPr>
                <w:sz w:val="19"/>
              </w:rPr>
              <w:t>3. Letztes Filterkriterium</w:t>
            </w:r>
          </w:p>
        </w:tc>
        <w:tc>
          <w:tcPr>
            <w:tcW w:type="dxa" w:w="3402"/>
            <w:shd w:fill="F2F2F2" w:val="clear"/>
          </w:tcPr>
          <w:p>
            <w:r/>
            <w:r>
              <w:rPr>
                <w:sz w:val="19"/>
              </w:rPr>
              <w:t>77.537 (Duplikate entfernt)</w:t>
            </w:r>
          </w:p>
        </w:tc>
        <w:tc>
          <w:tcPr>
            <w:tcW w:type="dxa" w:w="3685"/>
            <w:shd w:fill="F2F2F2" w:val="clear"/>
          </w:tcPr>
          <w:p>
            <w:r/>
            <w:r>
              <w:rPr>
                <w:sz w:val="19"/>
              </w:rPr>
              <w:t>111.061 (QSQI.Ergebnis nicht maskiert)</w:t>
            </w:r>
          </w:p>
        </w:tc>
      </w:tr>
      <w:tr>
        <w:tc>
          <w:tcPr>
            <w:tcW w:type="dxa" w:w="3402"/>
          </w:tcPr>
          <w:p>
            <w:r/>
            <w:r>
              <w:rPr>
                <w:sz w:val="19"/>
              </w:rPr>
              <w:t>Häuser am Ende</w:t>
            </w:r>
          </w:p>
        </w:tc>
        <w:tc>
          <w:tcPr>
            <w:tcW w:type="dxa" w:w="3402"/>
          </w:tcPr>
          <w:p>
            <w:r/>
            <w:r>
              <w:rPr>
                <w:sz w:val="19"/>
              </w:rPr>
              <w:t>1.821</w:t>
            </w:r>
          </w:p>
        </w:tc>
        <w:tc>
          <w:tcPr>
            <w:tcW w:type="dxa" w:w="3685"/>
          </w:tcPr>
          <w:p>
            <w:r/>
            <w:r>
              <w:rPr>
                <w:sz w:val="19"/>
              </w:rPr>
              <w:t>1.710 (vor Dedup; 45.308 Zeilen nach Dedup)</w:t>
            </w:r>
          </w:p>
        </w:tc>
      </w:tr>
    </w:tbl>
    <w:p>
      <w:pPr>
        <w:spacing w:after="160" w:line="276" w:lineRule="auto"/>
      </w:pPr>
      <w:r>
        <w:rPr>
          <w:b w:val="0"/>
          <w:i/>
          <w:color w:val="555555"/>
          <w:sz w:val="20"/>
        </w:rPr>
        <w:t>„Nicht maskiert“ bezieht sich auf den Datenschutz bei kleinen Fallzahlen: Bei sehr wenigen Fällen ersetzt IQTIG den tatsächlichen Messwert in QSQI.Ergebnis durch den Platzhaltertext „≤3“, statt die exakte Zahl zu melden — sonst ließe sich unter Umständen auf einzelne Patient:innen rückschließen. Betrifft 70.915 von 308.726 QI-Zeilen (23,0 %). Mit „≤3“ statt einer echten Zahl lässt sich kein exakter Vergleich gegen den Referenzwert durchführen — diese Zeilen mussten deshalb ausgeschlossen werden.</w:t>
      </w:r>
    </w:p>
    <w:p>
      <w:pPr>
        <w:spacing w:after="200" w:line="276" w:lineRule="auto"/>
      </w:pPr>
      <w:r>
        <w:rPr>
          <w:b/>
          <w:i w:val="0"/>
          <w:color w:val="375E23"/>
          <w:sz w:val="22"/>
        </w:rPr>
        <w:t xml:space="preserve">Fazit: </w:t>
      </w:r>
      <w:r>
        <w:rPr>
          <w:b w:val="0"/>
          <w:i w:val="0"/>
          <w:color w:val="555555"/>
          <w:sz w:val="22"/>
        </w:rPr>
        <w:t>Zwei unabhängige Gründe sprechen gegen eine Eigenberechnung: eine deutlich geringere Datenbasis (36 % der Zeilen, 111 Häuser wären komplett unberechenbar, 38 % weniger Indikatoren pro Haus bei den übrigen) und das Fehlen der Konfidenzintervall-Korrektur, die praktisch alle verbleibenden Abweichungen erklärt. Die im Projekt getroffene Entscheidung, QSErgBewStrukDialog direkt zu übernehmen statt selbst nachzurechnen, war richtig — vollständiger und methodisch genauer. Details: Notebooks/01_Exploration_Ref.ipynb und Doku/MD/01_Exploration_Ref.md.</w:t>
      </w:r>
    </w:p>
    <w:p>
      <w:pPr>
        <w:pStyle w:val="Heading2"/>
        <w:spacing w:before="280" w:after="120"/>
      </w:pPr>
      <w:r>
        <w:rPr>
          <w:color w:val="1F497D"/>
          <w:sz w:val="30"/>
        </w:rPr>
        <w:t>2.4  Die Merkmale: Herkunft und Konstruktion</w:t>
      </w:r>
    </w:p>
    <w:p>
      <w:pPr>
        <w:spacing w:after="160" w:line="276" w:lineRule="auto"/>
      </w:pPr>
      <w:r>
        <w:rPr>
          <w:b w:val="0"/>
          <w:i w:val="0"/>
          <w:sz w:val="22"/>
        </w:rPr>
        <w:t>Ankertabelle für die Merkmale (X) ist SO.csv — die einzige Datei, in der alle in der Aufgabenstellung genannten Strukturmerkmale in einer einzigen Zeile pro Haus stehen, und zugleich Quelle von SO.QBID. Sie enthält 2.310 eindeutige Krankenhäuser. Aus ihr wurden direkt übernommen: SO.Betten (Größenindikator), SO.Bundesland (Region), SO.Uni (Universitätsklinikum ja/nein) und KH.Träger.Art (privat / freigemeinnützig / öffentlich). Zusätzlich liefert SO.csv über SO.Latitude/SO.Longitude die Geo-Koordinaten für die Deutschlandkarte im Dashboard, und über SO.Standortnummer den später für Konzern.csv benötigten Zweit-Schlüssel.</w:t>
      </w:r>
    </w:p>
    <w:p>
      <w:pPr>
        <w:pStyle w:val="Heading3"/>
        <w:spacing w:before="200" w:after="80"/>
      </w:pPr>
      <w:r>
        <w:rPr>
          <w:color w:val="BF5A00"/>
          <w:sz w:val="25"/>
        </w:rPr>
        <w:t>Bettenzahl, Bundesland, Uni-Status, Trägerschaft — direkt aus SO.csv</w:t>
      </w:r>
    </w:p>
    <w:p>
      <w:pPr>
        <w:spacing w:after="160" w:line="276" w:lineRule="auto"/>
      </w:pPr>
      <w:r>
        <w:rPr>
          <w:b w:val="0"/>
          <w:i w:val="0"/>
          <w:sz w:val="22"/>
        </w:rPr>
        <w:t>Diese vier Merkmale brauchten keine Berechnung oder Verknüpfung — sie standen bereits als eigene Spalte in SO.csv und wurden unverändert übernommen. Deshalb fallen sie im weiteren Verlauf dieses Abschnitts kürzer aus als die folgenden vier, die erst berechnet oder über mehrere Tabellen zusammengeführt werden mussten.</w:t>
      </w:r>
    </w:p>
    <w:tbl>
      <w:tblPr>
        <w:tblStyle w:val="TableGrid"/>
        <w:tblW w:type="auto" w:w="0"/>
        <w:jc w:val="center"/>
        <w:tblLook w:firstColumn="1" w:firstRow="1" w:lastColumn="0" w:lastRow="0" w:noHBand="0" w:noVBand="1" w:val="04A0"/>
      </w:tblPr>
      <w:tblGrid>
        <w:gridCol w:w="3230"/>
        <w:gridCol w:w="3230"/>
        <w:gridCol w:w="3230"/>
      </w:tblGrid>
      <w:tr>
        <w:tc>
          <w:tcPr>
            <w:tcW w:type="dxa" w:w="1701"/>
            <w:shd w:fill="1F497D" w:val="clear"/>
          </w:tcPr>
          <w:p>
            <w:r/>
            <w:r>
              <w:rPr>
                <w:b/>
                <w:color w:val="FFFFFF"/>
                <w:sz w:val="19"/>
              </w:rPr>
              <w:t>Merkmal</w:t>
            </w:r>
          </w:p>
        </w:tc>
        <w:tc>
          <w:tcPr>
            <w:tcW w:type="dxa" w:w="1984"/>
            <w:shd w:fill="1F497D" w:val="clear"/>
          </w:tcPr>
          <w:p>
            <w:r/>
            <w:r>
              <w:rPr>
                <w:b/>
                <w:color w:val="FFFFFF"/>
                <w:sz w:val="19"/>
              </w:rPr>
              <w:t>Spalte</w:t>
            </w:r>
          </w:p>
        </w:tc>
        <w:tc>
          <w:tcPr>
            <w:tcW w:type="dxa" w:w="4535"/>
            <w:shd w:fill="1F497D" w:val="clear"/>
          </w:tcPr>
          <w:p>
            <w:r/>
            <w:r>
              <w:rPr>
                <w:b/>
                <w:color w:val="FFFFFF"/>
                <w:sz w:val="19"/>
              </w:rPr>
              <w:t>Warum dieses Merkmal</w:t>
            </w:r>
          </w:p>
        </w:tc>
      </w:tr>
      <w:tr>
        <w:tc>
          <w:tcPr>
            <w:tcW w:type="dxa" w:w="1701"/>
          </w:tcPr>
          <w:p>
            <w:r/>
            <w:r>
              <w:rPr>
                <w:sz w:val="19"/>
              </w:rPr>
              <w:t>Bettenzahl</w:t>
            </w:r>
          </w:p>
        </w:tc>
        <w:tc>
          <w:tcPr>
            <w:tcW w:type="dxa" w:w="1984"/>
          </w:tcPr>
          <w:p>
            <w:r/>
            <w:r>
              <w:rPr>
                <w:sz w:val="19"/>
              </w:rPr>
              <w:t>SO.Betten</w:t>
            </w:r>
          </w:p>
        </w:tc>
        <w:tc>
          <w:tcPr>
            <w:tcW w:type="dxa" w:w="4535"/>
          </w:tcPr>
          <w:p>
            <w:r/>
            <w:r>
              <w:rPr>
                <w:sz w:val="19"/>
              </w:rPr>
              <w:t>Explizit in der Aufgabenstellung genannt; einfacher, robuster Größenindikator</w:t>
            </w:r>
          </w:p>
        </w:tc>
      </w:tr>
      <w:tr>
        <w:tc>
          <w:tcPr>
            <w:tcW w:type="dxa" w:w="1701"/>
            <w:shd w:fill="F2F2F2" w:val="clear"/>
          </w:tcPr>
          <w:p>
            <w:r/>
            <w:r>
              <w:rPr>
                <w:sz w:val="19"/>
              </w:rPr>
              <w:t>Bundesland</w:t>
            </w:r>
          </w:p>
        </w:tc>
        <w:tc>
          <w:tcPr>
            <w:tcW w:type="dxa" w:w="1984"/>
            <w:shd w:fill="F2F2F2" w:val="clear"/>
          </w:tcPr>
          <w:p>
            <w:r/>
            <w:r>
              <w:rPr>
                <w:sz w:val="19"/>
              </w:rPr>
              <w:t>SO.Bundesland</w:t>
            </w:r>
          </w:p>
        </w:tc>
        <w:tc>
          <w:tcPr>
            <w:tcW w:type="dxa" w:w="4535"/>
            <w:shd w:fill="F2F2F2" w:val="clear"/>
          </w:tcPr>
          <w:p>
            <w:r/>
            <w:r>
              <w:rPr>
                <w:sz w:val="19"/>
              </w:rPr>
              <w:t>Prüft regionale Unterschiede (Landesvorgaben, Versorgungsstruktur)</w:t>
            </w:r>
          </w:p>
        </w:tc>
      </w:tr>
      <w:tr>
        <w:tc>
          <w:tcPr>
            <w:tcW w:type="dxa" w:w="1701"/>
          </w:tcPr>
          <w:p>
            <w:r/>
            <w:r>
              <w:rPr>
                <w:sz w:val="19"/>
              </w:rPr>
              <w:t>Uni-Klinik</w:t>
            </w:r>
          </w:p>
        </w:tc>
        <w:tc>
          <w:tcPr>
            <w:tcW w:type="dxa" w:w="1984"/>
          </w:tcPr>
          <w:p>
            <w:r/>
            <w:r>
              <w:rPr>
                <w:sz w:val="19"/>
              </w:rPr>
              <w:t>SO.Uni</w:t>
            </w:r>
          </w:p>
        </w:tc>
        <w:tc>
          <w:tcPr>
            <w:tcW w:type="dxa" w:w="4535"/>
          </w:tcPr>
          <w:p>
            <w:r/>
            <w:r>
              <w:rPr>
                <w:sz w:val="19"/>
              </w:rPr>
              <w:t>Uni-Kliniken behandeln tendenziell komplexere Fälle — mögliche Erklärung für andere Auffälligkeitsmuster</w:t>
            </w:r>
          </w:p>
        </w:tc>
      </w:tr>
      <w:tr>
        <w:tc>
          <w:tcPr>
            <w:tcW w:type="dxa" w:w="1701"/>
            <w:shd w:fill="F2F2F2" w:val="clear"/>
          </w:tcPr>
          <w:p>
            <w:r/>
            <w:r>
              <w:rPr>
                <w:sz w:val="19"/>
              </w:rPr>
              <w:t>Trägerschaft</w:t>
            </w:r>
          </w:p>
        </w:tc>
        <w:tc>
          <w:tcPr>
            <w:tcW w:type="dxa" w:w="1984"/>
            <w:shd w:fill="F2F2F2" w:val="clear"/>
          </w:tcPr>
          <w:p>
            <w:r/>
            <w:r>
              <w:rPr>
                <w:sz w:val="19"/>
              </w:rPr>
              <w:t>KH.Träger.Art</w:t>
            </w:r>
          </w:p>
        </w:tc>
        <w:tc>
          <w:tcPr>
            <w:tcW w:type="dxa" w:w="4535"/>
            <w:shd w:fill="F2F2F2" w:val="clear"/>
          </w:tcPr>
          <w:p>
            <w:r/>
            <w:r>
              <w:rPr>
                <w:sz w:val="19"/>
              </w:rPr>
              <w:t>Testet die Hypothese unterschiedlicher Qualitätsanreize je Trägerart (z. B. Kostendruck bei privaten Häusern)</w:t>
            </w:r>
          </w:p>
        </w:tc>
      </w:tr>
    </w:tbl>
    <w:p>
      <w:pPr>
        <w:pStyle w:val="Heading3"/>
        <w:spacing w:before="200" w:after="80"/>
      </w:pPr>
      <w:r>
        <w:rPr>
          <w:color w:val="BF5A00"/>
          <w:sz w:val="25"/>
        </w:rPr>
        <w:t>Fortbildungsquote — QS.Fortbildung.csv</w:t>
      </w:r>
    </w:p>
    <w:p>
      <w:pPr>
        <w:spacing w:after="160" w:line="276" w:lineRule="auto"/>
      </w:pPr>
      <w:r>
        <w:rPr>
          <w:b w:val="0"/>
          <w:i w:val="0"/>
          <w:sz w:val="22"/>
        </w:rPr>
        <w:t>Die Aufgabenstellung nennt die Fortbildungsquote explizit als zu untersuchendes Merkmal. Berechnet als fortbildungsquote = QS.Fortbildungsnachweis_Erbracht_Habende ÷ QS.Fortbildungspflichtige (als Quote statt absoluter Zahl, damit Häuser unterschiedlicher Größe vergleichbar sind). Ergebnis: 2.310 Häuser mit Fortbildungsdaten, davon 2.252 mit gültiger Quote (58 Häuser hatten 0 Fortbildungspflichtige, was rechnerisch NaN ergibt), Mittelwert 59,95 %, Median 66,67 %.</w:t>
      </w:r>
    </w:p>
    <w:p>
      <w:pPr>
        <w:pStyle w:val="Heading3"/>
        <w:spacing w:before="200" w:after="80"/>
      </w:pPr>
      <w:r>
        <w:rPr>
          <w:color w:val="BF5A00"/>
          <w:sz w:val="25"/>
        </w:rPr>
        <w:t>Ärzte pro Bett — FA.Personalliste.csv × FA.csv</w:t>
      </w:r>
    </w:p>
    <w:p>
      <w:pPr>
        <w:spacing w:after="160" w:line="276" w:lineRule="auto"/>
      </w:pPr>
      <w:r>
        <w:rPr>
          <w:b w:val="0"/>
          <w:i w:val="0"/>
          <w:sz w:val="22"/>
        </w:rPr>
        <w:t>Ein Maß für die Personalintensität: Wie viele Ärzte stehen rechnerisch je Bett zur Verfügung? Technisch der aufwändigste Schritt der Datenaufbereitung, weil FA.Personalliste.csv Personal pro Fachabteilung führt, nicht pro Haus — nötig sind zwei Verknüpfungen: FA.Personalliste.csv → FA.csv über ABTID, dann FA.csv → SO.csv über FA.QBID = SO.QBID. Zusätzlich ist FA.Personal.Anzahl im deutschen Komma-Format gespeichert (z. B. „13,47“) und musste vor der Summierung erst in eine echte Zahl umgewandelt werden — sonst hätte pandas den Wert als Text behandelt und die Summe wäre falsch oder leer geblieben. Ergebnis: Ø 0,451 Ärzte pro Bett, 5 fehlende Werte (4 davon Tageskliniken mit SO.Betten = 0, für die das Verhältnis nicht definiert ist — dort bewusst nicht mit 0 aufgefüllt, sondern als NaN belassen).</w:t>
      </w:r>
    </w:p>
    <w:p>
      <w:pPr>
        <w:spacing w:after="200" w:line="276" w:lineRule="auto"/>
      </w:pPr>
      <w:r>
        <w:rPr>
          <w:b/>
          <w:i w:val="0"/>
          <w:color w:val="555555"/>
          <w:sz w:val="22"/>
        </w:rPr>
        <w:t xml:space="preserve">Vorgriff: </w:t>
      </w:r>
      <w:r>
        <w:rPr>
          <w:b w:val="0"/>
          <w:i w:val="0"/>
          <w:color w:val="555555"/>
          <w:sz w:val="22"/>
        </w:rPr>
        <w:t>aerzte_pro_bett wird sich in Baustein 4 als das mit Abstand wichtigste Merkmal der gesamten Analyse herausstellen (Feature Importance 72,8 % im Decision Tree) — an dieser Stelle im Notebook war das noch nicht bekannt, sondern ein späterer, rein datengetriebener Befund (siehe Kapitel 5).</w:t>
      </w:r>
    </w:p>
    <w:p>
      <w:pPr>
        <w:pStyle w:val="Heading3"/>
        <w:spacing w:before="200" w:after="80"/>
      </w:pPr>
      <w:r>
        <w:rPr>
          <w:color w:val="BF5A00"/>
          <w:sz w:val="25"/>
        </w:rPr>
        <w:t>Pflegekräfte pro Bett — SO.Personalliste.csv</w:t>
      </w:r>
    </w:p>
    <w:p>
      <w:pPr>
        <w:spacing w:after="160" w:line="276" w:lineRule="auto"/>
      </w:pPr>
      <w:r>
        <w:rPr>
          <w:b w:val="0"/>
          <w:i w:val="0"/>
          <w:sz w:val="22"/>
        </w:rPr>
        <w:t>Ebenfalls explizit in der Aufgabenstellung gefordert. SO.Personalliste.csv (78.637 Zeilen, Bereiche Ärzte / Pflege / Hygiene / Sonstige Therapie / Psychologie) wurde auf SO.Personal.Bereich == 'Pflege' gefiltert (30.371 Zeilen verbleiben), je Haus summiert und durch SO.Betten geteilt. Diese Datei wurde bewusst gewählt statt AQ.Pflege.csv (die nur Qualifikationsnachweise ohne Anzahlen enthält) oder eines erneuten Umwegs über FA.Personalliste.csv — SO.Personalliste.csv liefert SO.QBID und die Anzahl direkt, ohne Brückentabelle. Ergebnis: Ø 0,900 Pflegekräfte pro Bett (auf Basis aller 2.310 Häuser mit Personalliste), 97 NaN-Werte auf dieser Ebene, davon 4 verbleibend in der finalen Analysetabelle.</w:t>
      </w:r>
    </w:p>
    <w:p>
      <w:pPr>
        <w:pStyle w:val="Heading3"/>
        <w:spacing w:before="200" w:after="80"/>
      </w:pPr>
      <w:r>
        <w:rPr>
          <w:color w:val="BF5A00"/>
          <w:sz w:val="25"/>
        </w:rPr>
        <w:t>Konzernzugehörigkeit — Konzern.csv</w:t>
      </w:r>
    </w:p>
    <w:p>
      <w:pPr>
        <w:spacing w:after="160" w:line="276" w:lineRule="auto"/>
      </w:pPr>
      <w:r>
        <w:rPr>
          <w:b w:val="0"/>
          <w:i w:val="0"/>
          <w:sz w:val="22"/>
        </w:rPr>
        <w:t>Von den Projektbeteiligten als mögliche Erweiterung vorgeschlagen: Konzernhäuser könnten durch eine zentrale Qualitätssicherung ein systematisch anderes Bewertungsprofil haben. Konzern.csv (1.506 Zeilen) verwendet als Schlüssel jedoch nicht SO.QBID, sondern SO.Standortnummer — eine Besonderheit, die zunächst zu einem Fehler führte (siehe Abschnitt 2.5). Nach der Korrektur finden 1.395 der 1.506 Konzern-Einträge eine Übereinstimmung in SO.csv. Auf Ebene aller 2.310 Häuser aus SO.csv ergeben sich 466 Konzernhäuser und 1.844 unabhängige Häuser; in der auf 1.821 Häuser mit gültiger Ziel-Variable begrenzten Analysetabelle sind es 358 von 1.821 (19,7 %).</w:t>
      </w:r>
    </w:p>
    <w:p>
      <w:pPr>
        <w:pStyle w:val="Heading2"/>
        <w:spacing w:before="280" w:after="120"/>
      </w:pPr>
      <w:r>
        <w:rPr>
          <w:color w:val="1F497D"/>
          <w:sz w:val="30"/>
        </w:rPr>
        <w:t>2.5  Gefundene Fehler und ihre Behebung</w:t>
      </w:r>
    </w:p>
    <w:p>
      <w:pPr>
        <w:spacing w:after="160" w:line="276" w:lineRule="auto"/>
      </w:pPr>
      <w:r>
        <w:rPr>
          <w:b w:val="0"/>
          <w:i w:val="0"/>
          <w:sz w:val="22"/>
        </w:rPr>
        <w:t>Die folgende Tabelle fasst Fehler zusammen, die im Zuge der Datenaufbereitung entdeckt und behoben wurden.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268"/>
            <w:shd w:fill="1F497D" w:val="clear"/>
          </w:tcPr>
          <w:p>
            <w:r/>
            <w:r>
              <w:rPr>
                <w:b/>
                <w:color w:val="FFFFFF"/>
                <w:sz w:val="19"/>
              </w:rPr>
              <w:t>Fehler</w:t>
            </w:r>
          </w:p>
        </w:tc>
        <w:tc>
          <w:tcPr>
            <w:tcW w:type="dxa" w:w="2551"/>
            <w:shd w:fill="1F497D" w:val="clear"/>
          </w:tcPr>
          <w:p>
            <w:r/>
            <w:r>
              <w:rPr>
                <w:b/>
                <w:color w:val="FFFFFF"/>
                <w:sz w:val="19"/>
              </w:rPr>
              <w:t>Ursache</w:t>
            </w:r>
          </w:p>
        </w:tc>
        <w:tc>
          <w:tcPr>
            <w:tcW w:type="dxa" w:w="2835"/>
            <w:shd w:fill="1F497D" w:val="clear"/>
          </w:tcPr>
          <w:p>
            <w:r/>
            <w:r>
              <w:rPr>
                <w:b/>
                <w:color w:val="FFFFFF"/>
                <w:sz w:val="19"/>
              </w:rPr>
              <w:t>Auswirkung</w:t>
            </w:r>
          </w:p>
        </w:tc>
        <w:tc>
          <w:tcPr>
            <w:tcW w:type="dxa" w:w="2551"/>
            <w:shd w:fill="1F497D" w:val="clear"/>
          </w:tcPr>
          <w:p>
            <w:r/>
            <w:r>
              <w:rPr>
                <w:b/>
                <w:color w:val="FFFFFF"/>
                <w:sz w:val="19"/>
              </w:rPr>
              <w:t>Behebung</w:t>
            </w:r>
          </w:p>
        </w:tc>
      </w:tr>
      <w:tr>
        <w:tc>
          <w:tcPr>
            <w:tcW w:type="dxa" w:w="2268"/>
          </w:tcPr>
          <w:p>
            <w:r/>
            <w:r>
              <w:rPr>
                <w:sz w:val="19"/>
              </w:rPr>
              <w:t>Konzern-Join lief gegen SO.QBID statt SO.Standortnummer</w:t>
            </w:r>
          </w:p>
        </w:tc>
        <w:tc>
          <w:tcPr>
            <w:tcW w:type="dxa" w:w="2551"/>
          </w:tcPr>
          <w:p>
            <w:r/>
            <w:r>
              <w:rPr>
                <w:sz w:val="19"/>
              </w:rPr>
              <w:t>SO.Standortnummer war ursprünglich nicht in den ausgewählten SO.csv-Spalten enthalten</w:t>
            </w:r>
          </w:p>
        </w:tc>
        <w:tc>
          <w:tcPr>
            <w:tcW w:type="dxa" w:w="2835"/>
          </w:tcPr>
          <w:p>
            <w:r/>
            <w:r>
              <w:rPr>
                <w:sz w:val="19"/>
              </w:rPr>
              <w:t>0 Treffer beim ersten Versuch, ist_konzern für alle Häuser 0</w:t>
            </w:r>
          </w:p>
        </w:tc>
        <w:tc>
          <w:tcPr>
            <w:tcW w:type="dxa" w:w="2551"/>
          </w:tcPr>
          <w:p>
            <w:r/>
            <w:r>
              <w:rPr>
                <w:sz w:val="19"/>
              </w:rPr>
              <w:t>SO.Standortnummer in die Merkmalsauswahl aufgenommen, Join-Schlüssel korrigiert</w:t>
            </w:r>
          </w:p>
        </w:tc>
      </w:tr>
      <w:tr>
        <w:tc>
          <w:tcPr>
            <w:tcW w:type="dxa" w:w="2268"/>
            <w:shd w:fill="F2F2F2" w:val="clear"/>
          </w:tcPr>
          <w:p>
            <w:r/>
            <w:r>
              <w:rPr>
                <w:sz w:val="19"/>
              </w:rPr>
              <w:t>QSQI.AEKey fälschlich als Indikator-Schlüssel vermutet</w:t>
            </w:r>
          </w:p>
        </w:tc>
        <w:tc>
          <w:tcPr>
            <w:tcW w:type="dxa" w:w="2551"/>
            <w:shd w:fill="F2F2F2" w:val="clear"/>
          </w:tcPr>
          <w:p>
            <w:r/>
            <w:r>
              <w:rPr>
                <w:sz w:val="19"/>
              </w:rPr>
              <w:t>Spaltenname klingt nach Indikator-ID, ist aber eine Haus-ID</w:t>
            </w:r>
          </w:p>
        </w:tc>
        <w:tc>
          <w:tcPr>
            <w:tcW w:type="dxa" w:w="2835"/>
            <w:shd w:fill="F2F2F2" w:val="clear"/>
          </w:tcPr>
          <w:p>
            <w:r/>
            <w:r>
              <w:rPr>
                <w:sz w:val="19"/>
              </w:rPr>
              <w:t>Deduplizierung darüber hätte pro Haus nur 1 statt ~43 Zeilen übrig gelassen</w:t>
            </w:r>
          </w:p>
        </w:tc>
        <w:tc>
          <w:tcPr>
            <w:tcW w:type="dxa" w:w="2551"/>
            <w:shd w:fill="F2F2F2" w:val="clear"/>
          </w:tcPr>
          <w:p>
            <w:r/>
            <w:r>
              <w:rPr>
                <w:sz w:val="19"/>
              </w:rPr>
              <w:t>Deduplizierung auf (SO.QBID, QSQI.Indikator) umgestellt</w:t>
            </w:r>
          </w:p>
        </w:tc>
      </w:tr>
      <w:tr>
        <w:tc>
          <w:tcPr>
            <w:tcW w:type="dxa" w:w="2268"/>
          </w:tcPr>
          <w:p>
            <w:r/>
            <w:r>
              <w:rPr>
                <w:sz w:val="19"/>
              </w:rPr>
              <w:t>FA.Personal.Anzahl im Komma-Format</w:t>
            </w:r>
          </w:p>
        </w:tc>
        <w:tc>
          <w:tcPr>
            <w:tcW w:type="dxa" w:w="2551"/>
          </w:tcPr>
          <w:p>
            <w:r/>
            <w:r>
              <w:rPr>
                <w:sz w:val="19"/>
              </w:rPr>
              <w:t>Deutsches Zahlenformat („13,47“) statt Dezimalpunkt</w:t>
            </w:r>
          </w:p>
        </w:tc>
        <w:tc>
          <w:tcPr>
            <w:tcW w:type="dxa" w:w="2835"/>
          </w:tcPr>
          <w:p>
            <w:r/>
            <w:r>
              <w:rPr>
                <w:sz w:val="19"/>
              </w:rPr>
              <w:t>Ohne Konvertierung behandelt pandas den Wert als Text — Summenbildung schlägt fehl oder liefert 0</w:t>
            </w:r>
          </w:p>
        </w:tc>
        <w:tc>
          <w:tcPr>
            <w:tcW w:type="dxa" w:w="2551"/>
          </w:tcPr>
          <w:p>
            <w:r/>
            <w:r>
              <w:rPr>
                <w:sz w:val="19"/>
              </w:rPr>
              <w:t>Vor der Aggregation Komma durch Punkt ersetzt und in Zahl umgewandelt</w:t>
            </w:r>
          </w:p>
        </w:tc>
      </w:tr>
    </w:tbl>
    <w:p>
      <w:pPr>
        <w:pStyle w:val="Heading2"/>
        <w:spacing w:before="280" w:after="120"/>
      </w:pPr>
      <w:r>
        <w:rPr>
          <w:color w:val="1F497D"/>
          <w:sz w:val="30"/>
        </w:rPr>
        <w:t>2.6  Die fertige Analysetabelle</w:t>
      </w:r>
    </w:p>
    <w:p>
      <w:pPr>
        <w:spacing w:after="160" w:line="276" w:lineRule="auto"/>
      </w:pPr>
      <w:r>
        <w:rPr>
          <w:b w:val="0"/>
          <w:i w:val="0"/>
          <w:sz w:val="22"/>
        </w:rPr>
        <w:t>Ziel-Variable und alle Merkmale wurden schrittweise per Left Join über SO.QBID zusammengeführt, ausgehend von der Ziel-Variable — dadurch bleiben alle 1.821 Häuser mit gültiger Ziel-Variable erhalten, auch wenn einzelne Merkmale fehlen (z. B. keine Fortbildungsdaten). Ein Inner Join hätte Häuser ohne vollständige Merkmale unnötig verloren.</w:t>
      </w:r>
    </w:p>
    <w:tbl>
      <w:tblPr>
        <w:tblStyle w:val="TableGrid"/>
        <w:tblW w:type="auto" w:w="0"/>
        <w:jc w:val="center"/>
        <w:tblLook w:firstColumn="1" w:firstRow="1" w:lastColumn="0" w:lastRow="0" w:noHBand="0" w:noVBand="1" w:val="04A0"/>
      </w:tblPr>
      <w:tblGrid>
        <w:gridCol w:w="4844"/>
        <w:gridCol w:w="4844"/>
      </w:tblGrid>
      <w:tr>
        <w:tc>
          <w:tcPr>
            <w:tcW w:type="dxa" w:w="5386"/>
            <w:shd w:fill="1F497D" w:val="clear"/>
          </w:tcPr>
          <w:p>
            <w:r/>
            <w:r>
              <w:rPr>
                <w:b/>
                <w:color w:val="FFFFFF"/>
                <w:sz w:val="19"/>
              </w:rPr>
              <w:t>Kennzahl</w:t>
            </w:r>
          </w:p>
        </w:tc>
        <w:tc>
          <w:tcPr>
            <w:tcW w:type="dxa" w:w="3969"/>
            <w:shd w:fill="1F497D" w:val="clear"/>
          </w:tcPr>
          <w:p>
            <w:r/>
            <w:r>
              <w:rPr>
                <w:b/>
                <w:color w:val="FFFFFF"/>
                <w:sz w:val="19"/>
              </w:rPr>
              <w:t>Wert</w:t>
            </w:r>
          </w:p>
        </w:tc>
      </w:tr>
      <w:tr>
        <w:tc>
          <w:tcPr>
            <w:tcW w:type="dxa" w:w="5386"/>
          </w:tcPr>
          <w:p>
            <w:r/>
            <w:r>
              <w:rPr>
                <w:sz w:val="19"/>
              </w:rPr>
              <w:t>Zeilen (Krankenhäuser)</w:t>
            </w:r>
          </w:p>
        </w:tc>
        <w:tc>
          <w:tcPr>
            <w:tcW w:type="dxa" w:w="3969"/>
          </w:tcPr>
          <w:p>
            <w:r/>
            <w:r>
              <w:rPr>
                <w:sz w:val="19"/>
              </w:rPr>
              <w:t>1.821</w:t>
            </w:r>
          </w:p>
        </w:tc>
      </w:tr>
      <w:tr>
        <w:tc>
          <w:tcPr>
            <w:tcW w:type="dxa" w:w="5386"/>
            <w:shd w:fill="F2F2F2" w:val="clear"/>
          </w:tcPr>
          <w:p>
            <w:r/>
            <w:r>
              <w:rPr>
                <w:sz w:val="19"/>
              </w:rPr>
              <w:t>Spalten</w:t>
            </w:r>
          </w:p>
        </w:tc>
        <w:tc>
          <w:tcPr>
            <w:tcW w:type="dxa" w:w="3969"/>
            <w:shd w:fill="F2F2F2" w:val="clear"/>
          </w:tcPr>
          <w:p>
            <w:r/>
            <w:r>
              <w:rPr>
                <w:sz w:val="19"/>
              </w:rPr>
              <w:t>18</w:t>
            </w:r>
          </w:p>
        </w:tc>
      </w:tr>
      <w:tr>
        <w:tc>
          <w:tcPr>
            <w:tcW w:type="dxa" w:w="5386"/>
          </w:tcPr>
          <w:p>
            <w:r/>
            <w:r>
              <w:rPr>
                <w:sz w:val="19"/>
              </w:rPr>
              <w:t>hat_viele_Probleme = 1</w:t>
            </w:r>
          </w:p>
        </w:tc>
        <w:tc>
          <w:tcPr>
            <w:tcW w:type="dxa" w:w="3969"/>
          </w:tcPr>
          <w:p>
            <w:r/>
            <w:r>
              <w:rPr>
                <w:sz w:val="19"/>
              </w:rPr>
              <w:t>905 (49,7 %)</w:t>
            </w:r>
          </w:p>
        </w:tc>
      </w:tr>
      <w:tr>
        <w:tc>
          <w:tcPr>
            <w:tcW w:type="dxa" w:w="5386"/>
            <w:shd w:fill="F2F2F2" w:val="clear"/>
          </w:tcPr>
          <w:p>
            <w:r/>
            <w:r>
              <w:rPr>
                <w:sz w:val="19"/>
              </w:rPr>
              <w:t>hat_viele_Probleme = 0</w:t>
            </w:r>
          </w:p>
        </w:tc>
        <w:tc>
          <w:tcPr>
            <w:tcW w:type="dxa" w:w="3969"/>
            <w:shd w:fill="F2F2F2" w:val="clear"/>
          </w:tcPr>
          <w:p>
            <w:r/>
            <w:r>
              <w:rPr>
                <w:sz w:val="19"/>
              </w:rPr>
              <w:t>916 (50,3 %)</w:t>
            </w:r>
          </w:p>
        </w:tc>
      </w:tr>
      <w:tr>
        <w:tc>
          <w:tcPr>
            <w:tcW w:type="dxa" w:w="5386"/>
          </w:tcPr>
          <w:p>
            <w:r/>
            <w:r>
              <w:rPr>
                <w:sz w:val="19"/>
              </w:rPr>
              <w:t>Fehlende Werte aerzte_pro_bett</w:t>
            </w:r>
          </w:p>
        </w:tc>
        <w:tc>
          <w:tcPr>
            <w:tcW w:type="dxa" w:w="3969"/>
          </w:tcPr>
          <w:p>
            <w:r/>
            <w:r>
              <w:rPr>
                <w:sz w:val="19"/>
              </w:rPr>
              <w:t>5</w:t>
            </w:r>
          </w:p>
        </w:tc>
      </w:tr>
      <w:tr>
        <w:tc>
          <w:tcPr>
            <w:tcW w:type="dxa" w:w="5386"/>
            <w:shd w:fill="F2F2F2" w:val="clear"/>
          </w:tcPr>
          <w:p>
            <w:r/>
            <w:r>
              <w:rPr>
                <w:sz w:val="19"/>
              </w:rPr>
              <w:t>Fehlende Werte pflege_pro_bett</w:t>
            </w:r>
          </w:p>
        </w:tc>
        <w:tc>
          <w:tcPr>
            <w:tcW w:type="dxa" w:w="3969"/>
            <w:shd w:fill="F2F2F2" w:val="clear"/>
          </w:tcPr>
          <w:p>
            <w:r/>
            <w:r>
              <w:rPr>
                <w:sz w:val="19"/>
              </w:rPr>
              <w:t>4</w:t>
            </w:r>
          </w:p>
        </w:tc>
      </w:tr>
      <w:tr>
        <w:tc>
          <w:tcPr>
            <w:tcW w:type="dxa" w:w="5386"/>
          </w:tcPr>
          <w:p>
            <w:r/>
            <w:r>
              <w:rPr>
                <w:sz w:val="19"/>
              </w:rPr>
              <w:t>Fehlende Werte fortbildungsquote</w:t>
            </w:r>
          </w:p>
        </w:tc>
        <w:tc>
          <w:tcPr>
            <w:tcW w:type="dxa" w:w="3969"/>
          </w:tcPr>
          <w:p>
            <w:r/>
            <w:r>
              <w:rPr>
                <w:sz w:val="19"/>
              </w:rPr>
              <w:t>33</w:t>
            </w:r>
          </w:p>
        </w:tc>
      </w:tr>
      <w:tr>
        <w:tc>
          <w:tcPr>
            <w:tcW w:type="dxa" w:w="5386"/>
            <w:shd w:fill="F2F2F2" w:val="clear"/>
          </w:tcPr>
          <w:p>
            <w:r/>
            <w:r>
              <w:rPr>
                <w:sz w:val="19"/>
              </w:rPr>
              <w:t>Fehlende Werte KH.Träger.Art</w:t>
            </w:r>
          </w:p>
        </w:tc>
        <w:tc>
          <w:tcPr>
            <w:tcW w:type="dxa" w:w="3969"/>
            <w:shd w:fill="F2F2F2" w:val="clear"/>
          </w:tcPr>
          <w:p>
            <w:r/>
            <w:r>
              <w:rPr>
                <w:sz w:val="19"/>
              </w:rPr>
              <w:t>28</w:t>
            </w:r>
          </w:p>
        </w:tc>
      </w:tr>
      <w:tr>
        <w:tc>
          <w:tcPr>
            <w:tcW w:type="dxa" w:w="5386"/>
          </w:tcPr>
          <w:p>
            <w:r/>
            <w:r>
              <w:rPr>
                <w:sz w:val="19"/>
              </w:rPr>
              <w:t>Konzernhäuser (ist_konzern = 1)</w:t>
            </w:r>
          </w:p>
        </w:tc>
        <w:tc>
          <w:tcPr>
            <w:tcW w:type="dxa" w:w="3969"/>
          </w:tcPr>
          <w:p>
            <w:r/>
            <w:r>
              <w:rPr>
                <w:sz w:val="19"/>
              </w:rPr>
              <w:t>358 (19,7 %)</w:t>
            </w:r>
          </w:p>
        </w:tc>
      </w:tr>
      <w:tr>
        <w:tc>
          <w:tcPr>
            <w:tcW w:type="dxa" w:w="5386"/>
            <w:shd w:fill="F2F2F2" w:val="clear"/>
          </w:tcPr>
          <w:p>
            <w:r/>
            <w:r>
              <w:rPr>
                <w:sz w:val="19"/>
              </w:rPr>
              <w:t>Uni-Kliniken (SO.Uni = 1)</w:t>
            </w:r>
          </w:p>
        </w:tc>
        <w:tc>
          <w:tcPr>
            <w:tcW w:type="dxa" w:w="3969"/>
            <w:shd w:fill="F2F2F2" w:val="clear"/>
          </w:tcPr>
          <w:p>
            <w:r/>
            <w:r>
              <w:rPr>
                <w:sz w:val="19"/>
              </w:rPr>
              <w:t>92 (5,1 %)</w:t>
            </w:r>
          </w:p>
        </w:tc>
      </w:tr>
    </w:tbl>
    <w:p>
      <w:pPr>
        <w:spacing w:after="160" w:line="276" w:lineRule="auto"/>
      </w:pPr>
      <w:r>
        <w:rPr>
          <w:b w:val="0"/>
          <w:i w:val="0"/>
          <w:sz w:val="22"/>
        </w:rPr>
        <w:t>Alle 18 Spalten im Überblick: SO.QBID, total_qi, auffaellig_n, auffaellig_quote, hat_viele_Probleme, SO.Name, SO.Betten, SO.Bundesland, SO.Uni, KH.Träger, KH.Träger.Art, SO.Latitude, SO.Longitude, SO.Standortnummer, fortbildungsquote, aerzte_pro_bett, pflege_pro_bett, ist_konzern.</w:t>
      </w:r>
    </w:p>
    <w:p>
      <w:pPr>
        <w:spacing w:after="160" w:line="276" w:lineRule="auto"/>
      </w:pPr>
      <w:r>
        <w:rPr>
          <w:b w:val="0"/>
          <w:i w:val="0"/>
          <w:sz w:val="22"/>
        </w:rPr>
        <w:t>Ein abschließender, unabhängiger Kontroll-Durchlauf — die Tabelle wird noch einmal frisch von der Festplatte geladen und rein deskriptiv geprüft — bestätigt die Plausibilität des Ergebnisses: Nur 4 der 18 Spalten haben überhaupt fehlende Werte, die übrigen 14 sind für alle 1.821 Häuser vollständig gefüllt. Die Bettenzahl ist stark rechtsschief verteilt (Mittelwert 268, Median 190, Maximum 3.011 Betten) — das erklärt, warum die Histogramme in Baustein 2 bei 1.500 Betten gekappt werden.</w:t>
      </w:r>
    </w:p>
    <w:p>
      <w:pPr>
        <w:pStyle w:val="Heading2"/>
        <w:spacing w:before="280" w:after="120"/>
      </w:pPr>
      <w:r>
        <w:rPr>
          <w:color w:val="1F497D"/>
          <w:sz w:val="30"/>
        </w:rPr>
        <w:t>2.7  Bewusst nicht eingebundene Dateien</w:t>
      </w:r>
    </w:p>
    <w:p>
      <w:pPr>
        <w:pStyle w:val="ListBullet"/>
        <w:spacing w:after="80"/>
      </w:pPr>
      <w:r>
        <w:rPr>
          <w:sz w:val="22"/>
        </w:rPr>
        <w:t>QS.csv — vermutete Brückentabelle, die sich als unnötig herausstellte (siehe Abschnitt 2.1)</w:t>
      </w:r>
    </w:p>
    <w:p>
      <w:pPr>
        <w:pStyle w:val="ListBullet"/>
        <w:spacing w:after="80"/>
      </w:pPr>
      <w:r>
        <w:rPr>
          <w:sz w:val="22"/>
        </w:rPr>
        <w:t>AQ.Pflege.csv — enthält nur Qualifikationsnachweise ohne Personal-Anzahlen, bewusst durch SO.Personalliste.csv ersetzt</w:t>
      </w:r>
    </w:p>
    <w:p>
      <w:pPr>
        <w:pStyle w:val="ListBullet"/>
        <w:spacing w:after="80"/>
      </w:pPr>
      <w:r>
        <w:rPr>
          <w:sz w:val="22"/>
        </w:rPr>
        <w:t>QS.Leistungsbereich.csv, Notfallversorgung.csv und MM.csv — separat in einem eigenen Erweiterungs-Notebook auf zusätzliches Signal geprüft; zwei der drei Dateien zeigen dort einen stärkeren Zusammenhang als jedes bisherige Merkmal, sind aber (Stand dieses Kapitels) noch nicht in die Analysetabelle übernommen</w:t>
      </w:r>
    </w:p>
    <w:p>
      <w:r>
        <w:br w:type="page"/>
      </w:r>
    </w:p>
    <w:p>
      <w:pPr>
        <w:pStyle w:val="Heading1"/>
        <w:spacing w:before="360" w:after="200"/>
      </w:pPr>
      <w:r>
        <w:rPr>
          <w:color w:val="1F497D"/>
          <w:sz w:val="40"/>
        </w:rPr>
        <w:t>3  Deskriptive Analyse</w:t>
      </w:r>
    </w:p>
    <w:p>
      <w:pPr>
        <w:spacing w:after="160" w:line="276" w:lineRule="auto"/>
      </w:pPr>
      <w:r>
        <w:rPr>
          <w:b w:val="0"/>
          <w:i w:val="0"/>
          <w:sz w:val="22"/>
        </w:rPr>
        <w:t>Dieses Kapitel fasst zusammen, was Notebooks/02_Analyse.ipynb zutage gefördert hat. Anders als Kapitel 2 rührt dieses Notebook die Rohdaten nicht mehr an — es lädt ausschließlich die fertige Analysetabelle aus Kapitel 2 und stellt die eigentliche inhaltliche Frage: Unterscheiden sich Häuser mit vielen Problemen (hat_viele_Probleme = 1) systematisch von Häusern mit wenigen (= 0)? Dazu passiert zweierlei, aber noch kein maschinelles Lernen (das folgt erst in Kapitel 5): erstens eine deskriptive Analyse — jedes Merkmal einzeln betrachten und Gruppen vergleichen —, zweitens eine Inferenzstatistik, die die sichtbaren Unterschiede statistisch absichert.</w:t>
      </w:r>
    </w:p>
    <w:p>
      <w:pPr>
        <w:spacing w:after="160" w:line="276" w:lineRule="auto"/>
      </w:pPr>
      <w:r>
        <w:rPr>
          <w:b w:val="0"/>
          <w:i w:val="0"/>
          <w:sz w:val="22"/>
        </w:rPr>
        <w:t>Datenbasis: 1.821 Zeilen × 18 Spalten aus Data/analysetabelle.csv, aufgeteilt in 916 Häuser mit wenigen und 905 Häuser mit vielen Problemen. Farbschema durchgängig: Grün = wenige Probleme, Rot = viele Probleme.</w:t>
      </w:r>
    </w:p>
    <w:p>
      <w:pPr>
        <w:pStyle w:val="Heading2"/>
        <w:spacing w:before="280" w:after="120"/>
      </w:pPr>
      <w:r>
        <w:rPr>
          <w:color w:val="1F497D"/>
          <w:sz w:val="30"/>
        </w:rPr>
        <w:t>3.1  Jedes Merkmal einzeln betrachtet</w:t>
      </w:r>
    </w:p>
    <w:p>
      <w:pPr>
        <w:spacing w:after="160" w:line="276" w:lineRule="auto"/>
      </w:pPr>
      <w:r>
        <w:rPr>
          <w:b w:val="0"/>
          <w:i w:val="0"/>
          <w:sz w:val="22"/>
        </w:rPr>
        <w:t>Bevor man nach Zusammenhängen zwischen mehreren Merkmalen sucht, wird zunächst jedes Merkmal für sich geprüft: sinnvoll verteilt, Ausreißer, unterscheiden sich die Gruppen überhaupt sichtbar? 10 Grafiken decken alle Merkmale ab; die folgenden Abschnitte fassen die Befunde je Grafik zusammen.</w:t>
      </w:r>
    </w:p>
    <w:p>
      <w:pPr>
        <w:pStyle w:val="Heading3"/>
        <w:spacing w:before="200" w:after="80"/>
      </w:pPr>
      <w:r>
        <w:rPr>
          <w:color w:val="BF5A00"/>
          <w:sz w:val="25"/>
        </w:rPr>
        <w:t>Grafik 1 — Verteilung der auffällig-Quote</w:t>
      </w:r>
    </w:p>
    <w:p>
      <w:pPr>
        <w:spacing w:before="120" w:after="200"/>
        <w:jc w:val="center"/>
      </w:pPr>
      <w:r>
        <w:drawing>
          <wp:inline xmlns:a="http://schemas.openxmlformats.org/drawingml/2006/main" xmlns:pic="http://schemas.openxmlformats.org/drawingml/2006/picture">
            <wp:extent cx="5580000" cy="3257805"/>
            <wp:docPr id="1" name="Picture 1"/>
            <wp:cNvGraphicFramePr>
              <a:graphicFrameLocks noChangeAspect="1"/>
            </wp:cNvGraphicFramePr>
            <a:graphic>
              <a:graphicData uri="http://schemas.openxmlformats.org/drawingml/2006/picture">
                <pic:pic>
                  <pic:nvPicPr>
                    <pic:cNvPr id="0" name="g1_auffaellig_quote.png"/>
                    <pic:cNvPicPr/>
                  </pic:nvPicPr>
                  <pic:blipFill>
                    <a:blip r:embed="rId9"/>
                    <a:stretch>
                      <a:fillRect/>
                    </a:stretch>
                  </pic:blipFill>
                  <pic:spPr>
                    <a:xfrm>
                      <a:off x="0" y="0"/>
                      <a:ext cx="5580000" cy="3257805"/>
                    </a:xfrm>
                    <a:prstGeom prst="rect"/>
                  </pic:spPr>
                </pic:pic>
              </a:graphicData>
            </a:graphic>
          </wp:inline>
        </w:drawing>
      </w:r>
    </w:p>
    <w:p>
      <w:pPr>
        <w:spacing w:after="160" w:line="276" w:lineRule="auto"/>
      </w:pPr>
      <w:r>
        <w:rPr>
          <w:b w:val="0"/>
          <w:i w:val="0"/>
          <w:sz w:val="22"/>
        </w:rPr>
        <w:t>Die Verteilung ist rechtsschief: Die meisten Häuser liegen zwischen 0 % und 11 % (Q1–Q3), rund 28 % der Häuser haben sogar exakt 0 % auffällige Indikatoren. Nur ein dünner Ausläufer reicht bis 100 % — genau 8 Häuser (0,4 %) liegen dort, mit im Median nur 2 bewerteten Indikatoren (statt 36 üblicherweise): Bei so wenigen Indikatoren reicht es, dass beide zufällig auffällig sind, um auf 100 % zu kommen (kleine-Zahlen-Effekt, kein echtes Qualitätssignal). Die Kernaussage: „Viele Probleme“ ist eine relative, keine absolute Kategorie — der Median (6 %) ist zugleich der Trennwert für hat_viele_Probleme.</w:t>
      </w:r>
    </w:p>
    <w:p>
      <w:pPr>
        <w:pStyle w:val="Heading3"/>
        <w:spacing w:before="200" w:after="80"/>
      </w:pPr>
      <w:r>
        <w:rPr>
          <w:color w:val="BF5A00"/>
          <w:sz w:val="25"/>
        </w:rPr>
        <w:t>Grafik 2 — Bettenzahl</w:t>
      </w:r>
    </w:p>
    <w:p>
      <w:pPr>
        <w:spacing w:before="120" w:after="200"/>
        <w:jc w:val="center"/>
      </w:pPr>
      <w:r>
        <w:drawing>
          <wp:inline xmlns:a="http://schemas.openxmlformats.org/drawingml/2006/main" xmlns:pic="http://schemas.openxmlformats.org/drawingml/2006/picture">
            <wp:extent cx="5580000" cy="6592124"/>
            <wp:docPr id="2" name="Picture 2"/>
            <wp:cNvGraphicFramePr>
              <a:graphicFrameLocks noChangeAspect="1"/>
            </wp:cNvGraphicFramePr>
            <a:graphic>
              <a:graphicData uri="http://schemas.openxmlformats.org/drawingml/2006/picture">
                <pic:pic>
                  <pic:nvPicPr>
                    <pic:cNvPr id="0" name="g2_bettenzahl.png"/>
                    <pic:cNvPicPr/>
                  </pic:nvPicPr>
                  <pic:blipFill>
                    <a:blip r:embed="rId10"/>
                    <a:stretch>
                      <a:fillRect/>
                    </a:stretch>
                  </pic:blipFill>
                  <pic:spPr>
                    <a:xfrm>
                      <a:off x="0" y="0"/>
                      <a:ext cx="5580000" cy="6592124"/>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r>
          </w:p>
        </w:tc>
        <w:tc>
          <w:tcPr>
            <w:tcW w:type="dxa" w:w="3969"/>
            <w:shd w:fill="1F497D" w:val="clear"/>
          </w:tcPr>
          <w:p>
            <w:r/>
            <w:r>
              <w:rPr>
                <w:b/>
                <w:color w:val="FFFFFF"/>
                <w:sz w:val="19"/>
              </w:rPr>
              <w:t>Wenige Probleme (n=916)</w:t>
            </w:r>
          </w:p>
        </w:tc>
        <w:tc>
          <w:tcPr>
            <w:tcW w:type="dxa" w:w="3969"/>
            <w:shd w:fill="1F497D" w:val="clear"/>
          </w:tcPr>
          <w:p>
            <w:r/>
            <w:r>
              <w:rPr>
                <w:b/>
                <w:color w:val="FFFFFF"/>
                <w:sz w:val="19"/>
              </w:rPr>
              <w:t>Viele Probleme (n=905)</w:t>
            </w:r>
          </w:p>
        </w:tc>
      </w:tr>
      <w:tr>
        <w:tc>
          <w:tcPr>
            <w:tcW w:type="dxa" w:w="1984"/>
          </w:tcPr>
          <w:p>
            <w:r/>
            <w:r>
              <w:rPr>
                <w:sz w:val="19"/>
              </w:rPr>
              <w:t>Median</w:t>
            </w:r>
          </w:p>
        </w:tc>
        <w:tc>
          <w:tcPr>
            <w:tcW w:type="dxa" w:w="3969"/>
          </w:tcPr>
          <w:p>
            <w:r/>
            <w:r>
              <w:rPr>
                <w:sz w:val="19"/>
              </w:rPr>
              <w:t>166 Betten</w:t>
            </w:r>
          </w:p>
        </w:tc>
        <w:tc>
          <w:tcPr>
            <w:tcW w:type="dxa" w:w="3969"/>
          </w:tcPr>
          <w:p>
            <w:r/>
            <w:r>
              <w:rPr>
                <w:sz w:val="19"/>
              </w:rPr>
              <w:t>220 Betten</w:t>
            </w:r>
          </w:p>
        </w:tc>
      </w:tr>
      <w:tr>
        <w:tc>
          <w:tcPr>
            <w:tcW w:type="dxa" w:w="1984"/>
            <w:shd w:fill="F2F2F2" w:val="clear"/>
          </w:tcPr>
          <w:p>
            <w:r/>
            <w:r>
              <w:rPr>
                <w:sz w:val="19"/>
              </w:rPr>
              <w:t>Mittlere 50 %</w:t>
            </w:r>
          </w:p>
        </w:tc>
        <w:tc>
          <w:tcPr>
            <w:tcW w:type="dxa" w:w="3969"/>
            <w:shd w:fill="F2F2F2" w:val="clear"/>
          </w:tcPr>
          <w:p>
            <w:r/>
            <w:r>
              <w:rPr>
                <w:sz w:val="19"/>
              </w:rPr>
              <w:t>80–315</w:t>
            </w:r>
          </w:p>
        </w:tc>
        <w:tc>
          <w:tcPr>
            <w:tcW w:type="dxa" w:w="3969"/>
            <w:shd w:fill="F2F2F2" w:val="clear"/>
          </w:tcPr>
          <w:p>
            <w:r/>
            <w:r>
              <w:rPr>
                <w:sz w:val="19"/>
              </w:rPr>
              <w:t>126–390</w:t>
            </w:r>
          </w:p>
        </w:tc>
      </w:tr>
    </w:tbl>
    <w:p>
      <w:pPr>
        <w:spacing w:after="160" w:line="276" w:lineRule="auto"/>
      </w:pPr>
      <w:r>
        <w:rPr>
          <w:b w:val="0"/>
          <w:i w:val="0"/>
          <w:sz w:val="22"/>
        </w:rPr>
        <w:t>Größere Häuser tendieren zu mehr Qualitätsproblemen (Median 166 vs. 220 Betten, r=+0,14). Statistisch signifikant (T-Test t=−5,93, p&lt;0,0001), aber praktisch schwach: Beide Bereiche überlappen stark, ein 200-Betten-Haus ist in beiden Gruppen normal.</w:t>
      </w:r>
    </w:p>
    <w:p>
      <w:pPr>
        <w:pStyle w:val="Heading3"/>
        <w:spacing w:before="200" w:after="80"/>
      </w:pPr>
      <w:r>
        <w:rPr>
          <w:color w:val="BF5A00"/>
          <w:sz w:val="25"/>
        </w:rPr>
        <w:t>Grafik 3 — Trägerschaft</w:t>
      </w:r>
    </w:p>
    <w:p>
      <w:pPr>
        <w:spacing w:before="120" w:after="200"/>
        <w:jc w:val="center"/>
      </w:pPr>
      <w:r>
        <w:drawing>
          <wp:inline xmlns:a="http://schemas.openxmlformats.org/drawingml/2006/main" xmlns:pic="http://schemas.openxmlformats.org/drawingml/2006/picture">
            <wp:extent cx="5580000" cy="3808571"/>
            <wp:docPr id="3" name="Picture 3"/>
            <wp:cNvGraphicFramePr>
              <a:graphicFrameLocks noChangeAspect="1"/>
            </wp:cNvGraphicFramePr>
            <a:graphic>
              <a:graphicData uri="http://schemas.openxmlformats.org/drawingml/2006/picture">
                <pic:pic>
                  <pic:nvPicPr>
                    <pic:cNvPr id="0" name="g3_traegerschaft.png"/>
                    <pic:cNvPicPr/>
                  </pic:nvPicPr>
                  <pic:blipFill>
                    <a:blip r:embed="rId11"/>
                    <a:stretch>
                      <a:fillRect/>
                    </a:stretch>
                  </pic:blipFill>
                  <pic:spPr>
                    <a:xfrm>
                      <a:off x="0" y="0"/>
                      <a:ext cx="5580000" cy="3808571"/>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c>
          <w:tcPr>
            <w:tcW w:type="dxa" w:w="3402"/>
            <w:shd w:fill="1F497D" w:val="clear"/>
          </w:tcPr>
          <w:p>
            <w:r/>
            <w:r>
              <w:rPr>
                <w:b/>
                <w:color w:val="FFFFFF"/>
                <w:sz w:val="19"/>
              </w:rPr>
              <w:t>Trägerart</w:t>
            </w:r>
          </w:p>
        </w:tc>
        <w:tc>
          <w:tcPr>
            <w:tcW w:type="dxa" w:w="3969"/>
            <w:shd w:fill="1F497D" w:val="clear"/>
          </w:tcPr>
          <w:p>
            <w:r/>
            <w:r>
              <w:rPr>
                <w:b/>
                <w:color w:val="FFFFFF"/>
                <w:sz w:val="19"/>
              </w:rPr>
              <w:t>Anteil „viele Probleme“</w:t>
            </w:r>
          </w:p>
        </w:tc>
        <w:tc>
          <w:tcPr>
            <w:tcW w:type="dxa" w:w="2551"/>
            <w:shd w:fill="1F497D" w:val="clear"/>
          </w:tcPr>
          <w:p>
            <w:r/>
            <w:r>
              <w:rPr>
                <w:b/>
                <w:color w:val="FFFFFF"/>
                <w:sz w:val="19"/>
              </w:rPr>
              <w:t>n</w:t>
            </w:r>
          </w:p>
        </w:tc>
      </w:tr>
      <w:tr>
        <w:tc>
          <w:tcPr>
            <w:tcW w:type="dxa" w:w="3402"/>
          </w:tcPr>
          <w:p>
            <w:r/>
            <w:r>
              <w:rPr>
                <w:sz w:val="19"/>
              </w:rPr>
              <w:t>Privat</w:t>
            </w:r>
          </w:p>
        </w:tc>
        <w:tc>
          <w:tcPr>
            <w:tcW w:type="dxa" w:w="3969"/>
          </w:tcPr>
          <w:p>
            <w:r/>
            <w:r>
              <w:rPr>
                <w:sz w:val="19"/>
              </w:rPr>
              <w:t>43,8 %</w:t>
            </w:r>
          </w:p>
        </w:tc>
        <w:tc>
          <w:tcPr>
            <w:tcW w:type="dxa" w:w="2551"/>
          </w:tcPr>
          <w:p>
            <w:r/>
            <w:r>
              <w:rPr>
                <w:sz w:val="19"/>
              </w:rPr>
              <w:t>502</w:t>
            </w:r>
          </w:p>
        </w:tc>
      </w:tr>
      <w:tr>
        <w:tc>
          <w:tcPr>
            <w:tcW w:type="dxa" w:w="3402"/>
            <w:shd w:fill="F2F2F2" w:val="clear"/>
          </w:tcPr>
          <w:p>
            <w:r/>
            <w:r>
              <w:rPr>
                <w:sz w:val="19"/>
              </w:rPr>
              <w:t>Freigemeinnützig</w:t>
            </w:r>
          </w:p>
        </w:tc>
        <w:tc>
          <w:tcPr>
            <w:tcW w:type="dxa" w:w="3969"/>
            <w:shd w:fill="F2F2F2" w:val="clear"/>
          </w:tcPr>
          <w:p>
            <w:r/>
            <w:r>
              <w:rPr>
                <w:sz w:val="19"/>
              </w:rPr>
              <w:t>50,6 %</w:t>
            </w:r>
          </w:p>
        </w:tc>
        <w:tc>
          <w:tcPr>
            <w:tcW w:type="dxa" w:w="2551"/>
            <w:shd w:fill="F2F2F2" w:val="clear"/>
          </w:tcPr>
          <w:p>
            <w:r/>
            <w:r>
              <w:rPr>
                <w:sz w:val="19"/>
              </w:rPr>
              <w:t>607</w:t>
            </w:r>
          </w:p>
        </w:tc>
      </w:tr>
      <w:tr>
        <w:tc>
          <w:tcPr>
            <w:tcW w:type="dxa" w:w="3402"/>
          </w:tcPr>
          <w:p>
            <w:r/>
            <w:r>
              <w:rPr>
                <w:sz w:val="19"/>
              </w:rPr>
              <w:t>Öffentlich</w:t>
            </w:r>
          </w:p>
        </w:tc>
        <w:tc>
          <w:tcPr>
            <w:tcW w:type="dxa" w:w="3969"/>
          </w:tcPr>
          <w:p>
            <w:r/>
            <w:r>
              <w:rPr>
                <w:sz w:val="19"/>
              </w:rPr>
              <w:t>53,5 %</w:t>
            </w:r>
          </w:p>
        </w:tc>
        <w:tc>
          <w:tcPr>
            <w:tcW w:type="dxa" w:w="2551"/>
          </w:tcPr>
          <w:p>
            <w:r/>
            <w:r>
              <w:rPr>
                <w:sz w:val="19"/>
              </w:rPr>
              <w:t>684</w:t>
            </w:r>
          </w:p>
        </w:tc>
      </w:tr>
    </w:tbl>
    <w:p>
      <w:pPr>
        <w:spacing w:after="160" w:line="276" w:lineRule="auto"/>
      </w:pPr>
      <w:r>
        <w:rPr>
          <w:b w:val="0"/>
          <w:i w:val="0"/>
          <w:sz w:val="22"/>
        </w:rPr>
        <w:t>Wichtiger Vorbehalt schon an dieser Stelle: Die ANOVA in Abschnitt 3.4 zeigt, dass sich die zugrunde liegende stetige Quote zwischen den drei Trägerarten praktisch nicht unterscheidet — dieser optisch klare Balkendiagramm-Unterschied entsteht vermutlich erst durch den Median-Split bei sehr ähnlichen Werten, nicht durch einen echten Trägereffekt.</w:t>
      </w:r>
    </w:p>
    <w:p>
      <w:pPr>
        <w:pStyle w:val="Heading3"/>
        <w:spacing w:before="200" w:after="80"/>
      </w:pPr>
      <w:r>
        <w:rPr>
          <w:color w:val="BF5A00"/>
          <w:sz w:val="25"/>
        </w:rPr>
        <w:t>Grafik 4 — Uni-Kliniken vs. normale Häuser</w:t>
      </w:r>
    </w:p>
    <w:p>
      <w:pPr>
        <w:spacing w:before="120" w:after="200"/>
        <w:jc w:val="center"/>
      </w:pPr>
      <w:r>
        <w:drawing>
          <wp:inline xmlns:a="http://schemas.openxmlformats.org/drawingml/2006/main" xmlns:pic="http://schemas.openxmlformats.org/drawingml/2006/picture">
            <wp:extent cx="5580000" cy="4071276"/>
            <wp:docPr id="4" name="Picture 4"/>
            <wp:cNvGraphicFramePr>
              <a:graphicFrameLocks noChangeAspect="1"/>
            </wp:cNvGraphicFramePr>
            <a:graphic>
              <a:graphicData uri="http://schemas.openxmlformats.org/drawingml/2006/picture">
                <pic:pic>
                  <pic:nvPicPr>
                    <pic:cNvPr id="0" name="g4_uni.png"/>
                    <pic:cNvPicPr/>
                  </pic:nvPicPr>
                  <pic:blipFill>
                    <a:blip r:embed="rId12"/>
                    <a:stretch>
                      <a:fillRect/>
                    </a:stretch>
                  </pic:blipFill>
                  <pic:spPr>
                    <a:xfrm>
                      <a:off x="0" y="0"/>
                      <a:ext cx="5580000" cy="4071276"/>
                    </a:xfrm>
                    <a:prstGeom prst="rect"/>
                  </pic:spPr>
                </pic:pic>
              </a:graphicData>
            </a:graphic>
          </wp:inline>
        </w:drawing>
      </w:r>
    </w:p>
    <w:p>
      <w:pPr>
        <w:spacing w:after="160" w:line="276" w:lineRule="auto"/>
      </w:pPr>
      <w:r>
        <w:rPr>
          <w:b/>
          <w:i w:val="0"/>
          <w:sz w:val="22"/>
        </w:rPr>
        <w:t xml:space="preserve">Uni-Kliniken 68,5 % vs. normale Häuser 48,7 % — </w:t>
      </w:r>
      <w:r>
        <w:rPr>
          <w:b w:val="0"/>
          <w:i w:val="0"/>
          <w:sz w:val="22"/>
        </w:rPr>
        <w:t>ein deutlicher Unterschied. Bei nur 92 Uni-Kliniken (5,1 % aller Häuser) bleibt das Ergebnis wegen der kleinen Gruppengröße mit Vorsicht zu interpretieren.</w:t>
      </w:r>
    </w:p>
    <w:p>
      <w:pPr>
        <w:pStyle w:val="Heading3"/>
        <w:spacing w:before="200" w:after="80"/>
      </w:pPr>
      <w:r>
        <w:rPr>
          <w:color w:val="BF5A00"/>
          <w:sz w:val="25"/>
        </w:rPr>
        <w:t>Grafik 5+6 — Ärzte pro Bett &amp; Pflegekräfte pro Bett</w:t>
      </w:r>
    </w:p>
    <w:p>
      <w:pPr>
        <w:spacing w:before="120" w:after="200"/>
        <w:jc w:val="center"/>
      </w:pPr>
      <w:r>
        <w:drawing>
          <wp:inline xmlns:a="http://schemas.openxmlformats.org/drawingml/2006/main" xmlns:pic="http://schemas.openxmlformats.org/drawingml/2006/picture">
            <wp:extent cx="5580000" cy="2472316"/>
            <wp:docPr id="5" name="Picture 5"/>
            <wp:cNvGraphicFramePr>
              <a:graphicFrameLocks noChangeAspect="1"/>
            </wp:cNvGraphicFramePr>
            <a:graphic>
              <a:graphicData uri="http://schemas.openxmlformats.org/drawingml/2006/picture">
                <pic:pic>
                  <pic:nvPicPr>
                    <pic:cNvPr id="0" name="g5_6_aerzte_pflege.png"/>
                    <pic:cNvPicPr/>
                  </pic:nvPicPr>
                  <pic:blipFill>
                    <a:blip r:embed="rId13"/>
                    <a:stretch>
                      <a:fillRect/>
                    </a:stretch>
                  </pic:blipFill>
                  <pic:spPr>
                    <a:xfrm>
                      <a:off x="0" y="0"/>
                      <a:ext cx="5580000" cy="2472316"/>
                    </a:xfrm>
                    <a:prstGeom prst="rect"/>
                  </pic:spPr>
                </pic:pic>
              </a:graphicData>
            </a:graphic>
          </wp:inline>
        </w:drawing>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551"/>
            <w:shd w:fill="1F497D" w:val="clear"/>
          </w:tcPr>
          <w:p>
            <w:r/>
            <w:r>
              <w:rPr>
                <w:b/>
                <w:color w:val="FFFFFF"/>
                <w:sz w:val="19"/>
              </w:rPr>
              <w:t>Merkmal</w:t>
            </w:r>
          </w:p>
        </w:tc>
        <w:tc>
          <w:tcPr>
            <w:tcW w:type="dxa" w:w="2551"/>
            <w:shd w:fill="1F497D" w:val="clear"/>
          </w:tcPr>
          <w:p>
            <w:r/>
            <w:r>
              <w:rPr>
                <w:b/>
                <w:color w:val="FFFFFF"/>
                <w:sz w:val="19"/>
              </w:rPr>
              <w:t>Median wenige Probleme</w:t>
            </w:r>
          </w:p>
        </w:tc>
        <w:tc>
          <w:tcPr>
            <w:tcW w:type="dxa" w:w="2551"/>
            <w:shd w:fill="1F497D" w:val="clear"/>
          </w:tcPr>
          <w:p>
            <w:r/>
            <w:r>
              <w:rPr>
                <w:b/>
                <w:color w:val="FFFFFF"/>
                <w:sz w:val="19"/>
              </w:rPr>
              <w:t>Median viele Probleme</w:t>
            </w:r>
          </w:p>
        </w:tc>
        <w:tc>
          <w:tcPr>
            <w:tcW w:type="dxa" w:w="2268"/>
            <w:shd w:fill="1F497D" w:val="clear"/>
          </w:tcPr>
          <w:p>
            <w:r/>
            <w:r>
              <w:rPr>
                <w:b/>
                <w:color w:val="FFFFFF"/>
                <w:sz w:val="19"/>
              </w:rPr>
              <w:t>Unterschied?</w:t>
            </w:r>
          </w:p>
        </w:tc>
      </w:tr>
      <w:tr>
        <w:tc>
          <w:tcPr>
            <w:tcW w:type="dxa" w:w="2551"/>
          </w:tcPr>
          <w:p>
            <w:r/>
            <w:r>
              <w:rPr>
                <w:sz w:val="19"/>
              </w:rPr>
              <w:t>Ärzte pro Bett</w:t>
            </w:r>
          </w:p>
        </w:tc>
        <w:tc>
          <w:tcPr>
            <w:tcW w:type="dxa" w:w="2551"/>
          </w:tcPr>
          <w:p>
            <w:r/>
            <w:r>
              <w:rPr>
                <w:sz w:val="19"/>
              </w:rPr>
              <w:t>0,382</w:t>
            </w:r>
          </w:p>
        </w:tc>
        <w:tc>
          <w:tcPr>
            <w:tcW w:type="dxa" w:w="2551"/>
          </w:tcPr>
          <w:p>
            <w:r/>
            <w:r>
              <w:rPr>
                <w:sz w:val="19"/>
              </w:rPr>
              <w:t>0,470</w:t>
            </w:r>
          </w:p>
        </w:tc>
        <w:tc>
          <w:tcPr>
            <w:tcW w:type="dxa" w:w="2268"/>
          </w:tcPr>
          <w:p>
            <w:r/>
            <w:r>
              <w:rPr>
                <w:sz w:val="19"/>
              </w:rPr>
              <w:t>sichtbarer Unterschied</w:t>
            </w:r>
          </w:p>
        </w:tc>
      </w:tr>
      <w:tr>
        <w:tc>
          <w:tcPr>
            <w:tcW w:type="dxa" w:w="2551"/>
            <w:shd w:fill="F2F2F2" w:val="clear"/>
          </w:tcPr>
          <w:p>
            <w:r/>
            <w:r>
              <w:rPr>
                <w:sz w:val="19"/>
              </w:rPr>
              <w:t>Pflegekräfte pro Bett</w:t>
            </w:r>
          </w:p>
        </w:tc>
        <w:tc>
          <w:tcPr>
            <w:tcW w:type="dxa" w:w="2551"/>
            <w:shd w:fill="F2F2F2" w:val="clear"/>
          </w:tcPr>
          <w:p>
            <w:r/>
            <w:r>
              <w:rPr>
                <w:sz w:val="19"/>
              </w:rPr>
              <w:t>0,891</w:t>
            </w:r>
          </w:p>
        </w:tc>
        <w:tc>
          <w:tcPr>
            <w:tcW w:type="dxa" w:w="2551"/>
            <w:shd w:fill="F2F2F2" w:val="clear"/>
          </w:tcPr>
          <w:p>
            <w:r/>
            <w:r>
              <w:rPr>
                <w:sz w:val="19"/>
              </w:rPr>
              <w:t>1,047</w:t>
            </w:r>
          </w:p>
        </w:tc>
        <w:tc>
          <w:tcPr>
            <w:tcW w:type="dxa" w:w="2268"/>
            <w:shd w:fill="F2F2F2" w:val="clear"/>
          </w:tcPr>
          <w:p>
            <w:r/>
            <w:r>
              <w:rPr>
                <w:sz w:val="19"/>
              </w:rPr>
              <w:t>sichtbarer Unterschied, gleiches Muster</w:t>
            </w:r>
          </w:p>
        </w:tc>
      </w:tr>
    </w:tbl>
    <w:p>
      <w:pPr>
        <w:spacing w:after="160" w:line="276" w:lineRule="auto"/>
      </w:pPr>
      <w:r>
        <w:rPr>
          <w:b w:val="0"/>
          <w:i w:val="0"/>
          <w:sz w:val="22"/>
        </w:rPr>
        <w:t>Mehr Personal pro Bett geht mit mehr, nicht weniger, Qualitätsproblemen einher. Ein erster Hinweis darauf, dass beide Personal-Merkmale Ähnliches messen (bestätigt sich in Grafik 8 als Korrelation von r = 0,577 der beiden Merkmale untereinander).</w:t>
      </w:r>
    </w:p>
    <w:p>
      <w:pPr>
        <w:pStyle w:val="Heading3"/>
        <w:spacing w:before="200" w:after="80"/>
      </w:pPr>
      <w:r>
        <w:rPr>
          <w:color w:val="BF5A00"/>
          <w:sz w:val="25"/>
        </w:rPr>
        <w:t>Grafik 7 — Bundesland</w:t>
      </w:r>
    </w:p>
    <w:p>
      <w:pPr>
        <w:spacing w:before="120" w:after="200"/>
        <w:jc w:val="center"/>
      </w:pPr>
      <w:r>
        <w:drawing>
          <wp:inline xmlns:a="http://schemas.openxmlformats.org/drawingml/2006/main" xmlns:pic="http://schemas.openxmlformats.org/drawingml/2006/picture">
            <wp:extent cx="3240000" cy="4650492"/>
            <wp:docPr id="6" name="Picture 6"/>
            <wp:cNvGraphicFramePr>
              <a:graphicFrameLocks noChangeAspect="1"/>
            </wp:cNvGraphicFramePr>
            <a:graphic>
              <a:graphicData uri="http://schemas.openxmlformats.org/drawingml/2006/picture">
                <pic:pic>
                  <pic:nvPicPr>
                    <pic:cNvPr id="0" name="g7_bundesland_kachelkarte.png"/>
                    <pic:cNvPicPr/>
                  </pic:nvPicPr>
                  <pic:blipFill>
                    <a:blip r:embed="rId14"/>
                    <a:stretch>
                      <a:fillRect/>
                    </a:stretch>
                  </pic:blipFill>
                  <pic:spPr>
                    <a:xfrm>
                      <a:off x="0" y="0"/>
                      <a:ext cx="3240000" cy="4650492"/>
                    </a:xfrm>
                    <a:prstGeom prst="rect"/>
                  </pic:spPr>
                </pic:pic>
              </a:graphicData>
            </a:graphic>
          </wp:inline>
        </w:drawing>
      </w:r>
    </w:p>
    <w:p>
      <w:pPr>
        <w:spacing w:after="160" w:line="276" w:lineRule="auto"/>
      </w:pPr>
      <w:r>
        <w:rPr>
          <w:b w:val="0"/>
          <w:i w:val="0"/>
          <w:sz w:val="22"/>
        </w:rPr>
        <w:t>Rheinland-Pfalz (64,0 %, n=89) und Sachsen-Anhalt (61,8 %, n=55) haben jetzt den höchsten Anteil, Thüringen (36,0 %, n=50) und Baden-Württemberg (37,3 %, n=220) den niedrigsten.</w:t>
      </w:r>
    </w:p>
    <w:p>
      <w:pPr>
        <w:spacing w:after="160" w:line="276" w:lineRule="auto"/>
      </w:pPr>
      <w:r>
        <w:rPr>
          <w:b w:val="0"/>
          <w:i w:val="0"/>
          <w:sz w:val="22"/>
        </w:rPr>
        <w:t>Einschränkung: Manche Bundesländer haben nur wenige Häuser (Bremen: n=14) — ein einzelnes Haus kann den Landeswert stark verschieben.</w:t>
      </w:r>
    </w:p>
    <w:p>
      <w:pPr>
        <w:pStyle w:val="Heading3"/>
        <w:spacing w:before="200" w:after="80"/>
      </w:pPr>
      <w:r>
        <w:rPr>
          <w:color w:val="BF5A00"/>
          <w:sz w:val="25"/>
        </w:rPr>
        <w:t>Grafik 9 — Konzernvergleich</w:t>
      </w:r>
    </w:p>
    <w:p>
      <w:pPr>
        <w:spacing w:before="120" w:after="200"/>
        <w:jc w:val="center"/>
      </w:pPr>
      <w:r>
        <w:drawing>
          <wp:inline xmlns:a="http://schemas.openxmlformats.org/drawingml/2006/main" xmlns:pic="http://schemas.openxmlformats.org/drawingml/2006/picture">
            <wp:extent cx="5580000" cy="4071276"/>
            <wp:docPr id="7" name="Picture 7"/>
            <wp:cNvGraphicFramePr>
              <a:graphicFrameLocks noChangeAspect="1"/>
            </wp:cNvGraphicFramePr>
            <a:graphic>
              <a:graphicData uri="http://schemas.openxmlformats.org/drawingml/2006/picture">
                <pic:pic>
                  <pic:nvPicPr>
                    <pic:cNvPr id="0" name="g9_konzern_vergleich.png"/>
                    <pic:cNvPicPr/>
                  </pic:nvPicPr>
                  <pic:blipFill>
                    <a:blip r:embed="rId15"/>
                    <a:stretch>
                      <a:fillRect/>
                    </a:stretch>
                  </pic:blipFill>
                  <pic:spPr>
                    <a:xfrm>
                      <a:off x="0" y="0"/>
                      <a:ext cx="5580000" cy="4071276"/>
                    </a:xfrm>
                    <a:prstGeom prst="rect"/>
                  </pic:spPr>
                </pic:pic>
              </a:graphicData>
            </a:graphic>
          </wp:inline>
        </w:drawing>
      </w:r>
    </w:p>
    <w:p>
      <w:pPr>
        <w:spacing w:after="160" w:line="276" w:lineRule="auto"/>
      </w:pPr>
      <w:r>
        <w:rPr>
          <w:b w:val="0"/>
          <w:i w:val="0"/>
          <w:sz w:val="22"/>
        </w:rPr>
        <w:t>Konzernhäuser 52,5 % vs. unabhängige Häuser 49,0 % viele Probleme — praktisch kein Unterschied, formal bestätigt durch den Chi²-Test in Abschnitt 3.4.</w:t>
      </w:r>
    </w:p>
    <w:p>
      <w:pPr>
        <w:pStyle w:val="Heading3"/>
        <w:spacing w:before="200" w:after="80"/>
      </w:pPr>
      <w:r>
        <w:rPr>
          <w:color w:val="BF5A00"/>
          <w:sz w:val="25"/>
        </w:rPr>
        <w:t>Grafik 10 — Fortbildungsquote</w:t>
      </w:r>
    </w:p>
    <w:p>
      <w:pPr>
        <w:spacing w:before="120" w:after="200"/>
        <w:jc w:val="center"/>
      </w:pPr>
      <w:r>
        <w:drawing>
          <wp:inline xmlns:a="http://schemas.openxmlformats.org/drawingml/2006/main" xmlns:pic="http://schemas.openxmlformats.org/drawingml/2006/picture">
            <wp:extent cx="5580000" cy="4099123"/>
            <wp:docPr id="8" name="Picture 8"/>
            <wp:cNvGraphicFramePr>
              <a:graphicFrameLocks noChangeAspect="1"/>
            </wp:cNvGraphicFramePr>
            <a:graphic>
              <a:graphicData uri="http://schemas.openxmlformats.org/drawingml/2006/picture">
                <pic:pic>
                  <pic:nvPicPr>
                    <pic:cNvPr id="0" name="g10_fortbildungsquote.png"/>
                    <pic:cNvPicPr/>
                  </pic:nvPicPr>
                  <pic:blipFill>
                    <a:blip r:embed="rId16"/>
                    <a:stretch>
                      <a:fillRect/>
                    </a:stretch>
                  </pic:blipFill>
                  <pic:spPr>
                    <a:xfrm>
                      <a:off x="0" y="0"/>
                      <a:ext cx="5580000" cy="4099123"/>
                    </a:xfrm>
                    <a:prstGeom prst="rect"/>
                  </pic:spPr>
                </pic:pic>
              </a:graphicData>
            </a:graphic>
          </wp:inline>
        </w:drawing>
      </w:r>
    </w:p>
    <w:p>
      <w:pPr>
        <w:spacing w:after="160" w:line="276" w:lineRule="auto"/>
      </w:pPr>
      <w:r>
        <w:rPr>
          <w:b w:val="0"/>
          <w:i w:val="0"/>
          <w:sz w:val="22"/>
        </w:rPr>
        <w:t>Median in beiden Gruppen identisch (0,667) — anders als bei Ärzten und Pflegekräften zeigt die Fortbildungsquote keinen erkennbaren Zusammenhang mit Qualitätsproblemen.</w:t>
      </w:r>
    </w:p>
    <w:p>
      <w:pPr>
        <w:pStyle w:val="Heading2"/>
        <w:spacing w:before="280" w:after="120"/>
      </w:pPr>
      <w:r>
        <w:rPr>
          <w:color w:val="1F497D"/>
          <w:sz w:val="30"/>
        </w:rPr>
        <w:t>3.2  Zusammenhänge zwischen Merkmalen</w:t>
      </w:r>
    </w:p>
    <w:p>
      <w:pPr>
        <w:spacing w:after="160" w:line="276" w:lineRule="auto"/>
      </w:pPr>
      <w:r>
        <w:rPr>
          <w:b w:val="0"/>
          <w:i w:val="0"/>
          <w:sz w:val="22"/>
        </w:rPr>
        <w:t>Eine neue Frage: Welches Merkmal hängt am stärksten mit der Ziel-Variable zusammen — dargestellt in einer einzigen Korrelationsmatrix (Grafik 8)?</w:t>
      </w:r>
    </w:p>
    <w:p>
      <w:pPr>
        <w:pStyle w:val="Heading3"/>
        <w:spacing w:before="200" w:after="80"/>
      </w:pPr>
      <w:r>
        <w:rPr>
          <w:color w:val="BF5A00"/>
          <w:sz w:val="25"/>
        </w:rPr>
        <w:t>Grafik 8 — Korrelationsmatrix</w:t>
      </w:r>
    </w:p>
    <w:p>
      <w:pPr>
        <w:spacing w:before="120" w:after="200"/>
        <w:jc w:val="center"/>
      </w:pPr>
      <w:r>
        <w:drawing>
          <wp:inline xmlns:a="http://schemas.openxmlformats.org/drawingml/2006/main" xmlns:pic="http://schemas.openxmlformats.org/drawingml/2006/picture">
            <wp:extent cx="5580000" cy="4984138"/>
            <wp:docPr id="9" name="Picture 9"/>
            <wp:cNvGraphicFramePr>
              <a:graphicFrameLocks noChangeAspect="1"/>
            </wp:cNvGraphicFramePr>
            <a:graphic>
              <a:graphicData uri="http://schemas.openxmlformats.org/drawingml/2006/picture">
                <pic:pic>
                  <pic:nvPicPr>
                    <pic:cNvPr id="0" name="g8_korrelation.png"/>
                    <pic:cNvPicPr/>
                  </pic:nvPicPr>
                  <pic:blipFill>
                    <a:blip r:embed="rId17"/>
                    <a:stretch>
                      <a:fillRect/>
                    </a:stretch>
                  </pic:blipFill>
                  <pic:spPr>
                    <a:xfrm>
                      <a:off x="0" y="0"/>
                      <a:ext cx="5580000" cy="4984138"/>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c>
          <w:tcPr>
            <w:tcW w:type="dxa" w:w="2551"/>
            <w:shd w:fill="1F497D" w:val="clear"/>
          </w:tcPr>
          <w:p>
            <w:r/>
            <w:r>
              <w:rPr>
                <w:b/>
                <w:color w:val="FFFFFF"/>
                <w:sz w:val="19"/>
              </w:rPr>
              <w:t>Merkmal</w:t>
            </w:r>
          </w:p>
        </w:tc>
        <w:tc>
          <w:tcPr>
            <w:tcW w:type="dxa" w:w="3118"/>
            <w:shd w:fill="1F497D" w:val="clear"/>
          </w:tcPr>
          <w:p>
            <w:r/>
            <w:r>
              <w:rPr>
                <w:b/>
                <w:color w:val="FFFFFF"/>
                <w:sz w:val="19"/>
              </w:rPr>
              <w:t>r (mit hat_viele_Probleme)</w:t>
            </w:r>
          </w:p>
        </w:tc>
        <w:tc>
          <w:tcPr>
            <w:tcW w:type="dxa" w:w="4535"/>
            <w:shd w:fill="1F497D" w:val="clear"/>
          </w:tcPr>
          <w:p>
            <w:r/>
            <w:r>
              <w:rPr>
                <w:b/>
                <w:color w:val="FFFFFF"/>
                <w:sz w:val="19"/>
              </w:rPr>
              <w:t>Einordnung</w:t>
            </w:r>
          </w:p>
        </w:tc>
      </w:tr>
      <w:tr>
        <w:tc>
          <w:tcPr>
            <w:tcW w:type="dxa" w:w="2551"/>
          </w:tcPr>
          <w:p>
            <w:r/>
            <w:r>
              <w:rPr>
                <w:sz w:val="19"/>
              </w:rPr>
              <w:t>total_qi</w:t>
            </w:r>
          </w:p>
        </w:tc>
        <w:tc>
          <w:tcPr>
            <w:tcW w:type="dxa" w:w="3118"/>
          </w:tcPr>
          <w:p>
            <w:r/>
            <w:r>
              <w:rPr>
                <w:sz w:val="19"/>
              </w:rPr>
              <w:t>+0,241</w:t>
            </w:r>
          </w:p>
        </w:tc>
        <w:tc>
          <w:tcPr>
            <w:tcW w:type="dxa" w:w="4535"/>
          </w:tcPr>
          <w:p>
            <w:r/>
            <w:r>
              <w:rPr>
                <w:sz w:val="19"/>
              </w:rPr>
              <w:t>stärkste Korrelation — aber ein Struktur-, kein Qualitätsmerkmal</w:t>
            </w:r>
          </w:p>
        </w:tc>
      </w:tr>
      <w:tr>
        <w:tc>
          <w:tcPr>
            <w:tcW w:type="dxa" w:w="2551"/>
            <w:shd w:fill="F2F2F2" w:val="clear"/>
          </w:tcPr>
          <w:p>
            <w:r/>
            <w:r>
              <w:rPr>
                <w:sz w:val="19"/>
              </w:rPr>
              <w:t>aerzte_pro_bett</w:t>
            </w:r>
          </w:p>
        </w:tc>
        <w:tc>
          <w:tcPr>
            <w:tcW w:type="dxa" w:w="3118"/>
            <w:shd w:fill="F2F2F2" w:val="clear"/>
          </w:tcPr>
          <w:p>
            <w:r/>
            <w:r>
              <w:rPr>
                <w:sz w:val="19"/>
              </w:rPr>
              <w:t>+0,210</w:t>
            </w:r>
          </w:p>
        </w:tc>
        <w:tc>
          <w:tcPr>
            <w:tcW w:type="dxa" w:w="4535"/>
            <w:shd w:fill="F2F2F2" w:val="clear"/>
          </w:tcPr>
          <w:p>
            <w:r/>
            <w:r>
              <w:rPr>
                <w:sz w:val="19"/>
              </w:rPr>
              <w:t>schwach bis moderat</w:t>
            </w:r>
          </w:p>
        </w:tc>
      </w:tr>
      <w:tr>
        <w:tc>
          <w:tcPr>
            <w:tcW w:type="dxa" w:w="2551"/>
          </w:tcPr>
          <w:p>
            <w:r/>
            <w:r>
              <w:rPr>
                <w:sz w:val="19"/>
              </w:rPr>
              <w:t>pflege_pro_bett</w:t>
            </w:r>
          </w:p>
        </w:tc>
        <w:tc>
          <w:tcPr>
            <w:tcW w:type="dxa" w:w="3118"/>
          </w:tcPr>
          <w:p>
            <w:r/>
            <w:r>
              <w:rPr>
                <w:sz w:val="19"/>
              </w:rPr>
              <w:t>+0,174</w:t>
            </w:r>
          </w:p>
        </w:tc>
        <w:tc>
          <w:tcPr>
            <w:tcW w:type="dxa" w:w="4535"/>
          </w:tcPr>
          <w:p>
            <w:r/>
            <w:r>
              <w:rPr>
                <w:sz w:val="19"/>
              </w:rPr>
              <w:t>etwas schwächer als Ärzte/Bett</w:t>
            </w:r>
          </w:p>
        </w:tc>
      </w:tr>
      <w:tr>
        <w:tc>
          <w:tcPr>
            <w:tcW w:type="dxa" w:w="2551"/>
            <w:shd w:fill="F2F2F2" w:val="clear"/>
          </w:tcPr>
          <w:p>
            <w:r/>
            <w:r>
              <w:rPr>
                <w:sz w:val="19"/>
              </w:rPr>
              <w:t>SO.Betten</w:t>
            </w:r>
          </w:p>
        </w:tc>
        <w:tc>
          <w:tcPr>
            <w:tcW w:type="dxa" w:w="3118"/>
            <w:shd w:fill="F2F2F2" w:val="clear"/>
          </w:tcPr>
          <w:p>
            <w:r/>
            <w:r>
              <w:rPr>
                <w:sz w:val="19"/>
              </w:rPr>
              <w:t>+0,138</w:t>
            </w:r>
          </w:p>
        </w:tc>
        <w:tc>
          <w:tcPr>
            <w:tcW w:type="dxa" w:w="4535"/>
            <w:shd w:fill="F2F2F2" w:val="clear"/>
          </w:tcPr>
          <w:p>
            <w:r/>
            <w:r>
              <w:rPr>
                <w:sz w:val="19"/>
              </w:rPr>
              <w:t>schwach</w:t>
            </w:r>
          </w:p>
        </w:tc>
      </w:tr>
      <w:tr>
        <w:tc>
          <w:tcPr>
            <w:tcW w:type="dxa" w:w="2551"/>
          </w:tcPr>
          <w:p>
            <w:r/>
            <w:r>
              <w:rPr>
                <w:sz w:val="19"/>
              </w:rPr>
              <w:t>SO.Uni</w:t>
            </w:r>
          </w:p>
        </w:tc>
        <w:tc>
          <w:tcPr>
            <w:tcW w:type="dxa" w:w="3118"/>
          </w:tcPr>
          <w:p>
            <w:r/>
            <w:r>
              <w:rPr>
                <w:sz w:val="19"/>
              </w:rPr>
              <w:t>+0,087</w:t>
            </w:r>
          </w:p>
        </w:tc>
        <w:tc>
          <w:tcPr>
            <w:tcW w:type="dxa" w:w="4535"/>
          </w:tcPr>
          <w:p>
            <w:r/>
            <w:r>
              <w:rPr>
                <w:sz w:val="19"/>
              </w:rPr>
              <w:t>sehr schwach</w:t>
            </w:r>
          </w:p>
        </w:tc>
      </w:tr>
      <w:tr>
        <w:tc>
          <w:tcPr>
            <w:tcW w:type="dxa" w:w="2551"/>
            <w:shd w:fill="F2F2F2" w:val="clear"/>
          </w:tcPr>
          <w:p>
            <w:r/>
            <w:r>
              <w:rPr>
                <w:sz w:val="19"/>
              </w:rPr>
              <w:t>ist_konzern</w:t>
            </w:r>
          </w:p>
        </w:tc>
        <w:tc>
          <w:tcPr>
            <w:tcW w:type="dxa" w:w="3118"/>
            <w:shd w:fill="F2F2F2" w:val="clear"/>
          </w:tcPr>
          <w:p>
            <w:r/>
            <w:r>
              <w:rPr>
                <w:sz w:val="19"/>
              </w:rPr>
              <w:t>+0,028</w:t>
            </w:r>
          </w:p>
        </w:tc>
        <w:tc>
          <w:tcPr>
            <w:tcW w:type="dxa" w:w="4535"/>
            <w:shd w:fill="F2F2F2" w:val="clear"/>
          </w:tcPr>
          <w:p>
            <w:r/>
            <w:r>
              <w:rPr>
                <w:sz w:val="19"/>
              </w:rPr>
              <w:t>praktisch null</w:t>
            </w:r>
          </w:p>
        </w:tc>
      </w:tr>
      <w:tr>
        <w:tc>
          <w:tcPr>
            <w:tcW w:type="dxa" w:w="2551"/>
          </w:tcPr>
          <w:p>
            <w:r/>
            <w:r>
              <w:rPr>
                <w:sz w:val="19"/>
              </w:rPr>
              <w:t>fortbildungsquote</w:t>
            </w:r>
          </w:p>
        </w:tc>
        <w:tc>
          <w:tcPr>
            <w:tcW w:type="dxa" w:w="3118"/>
          </w:tcPr>
          <w:p>
            <w:r/>
            <w:r>
              <w:rPr>
                <w:sz w:val="19"/>
              </w:rPr>
              <w:t>+0,005</w:t>
            </w:r>
          </w:p>
        </w:tc>
        <w:tc>
          <w:tcPr>
            <w:tcW w:type="dxa" w:w="4535"/>
          </w:tcPr>
          <w:p>
            <w:r/>
            <w:r>
              <w:rPr>
                <w:sz w:val="19"/>
              </w:rPr>
              <w:t>praktisch null</w:t>
            </w:r>
          </w:p>
        </w:tc>
      </w:tr>
    </w:tbl>
    <w:p>
      <w:pPr>
        <w:spacing w:after="160" w:line="276" w:lineRule="auto"/>
      </w:pPr>
      <w:r>
        <w:rPr>
          <w:b w:val="0"/>
          <w:i w:val="0"/>
          <w:sz w:val="22"/>
        </w:rPr>
        <w:t>Alle Korrelationen mit hat_viele_Probleme sind positiv.</w:t>
      </w:r>
    </w:p>
    <w:p>
      <w:pPr>
        <w:spacing w:after="160" w:line="276" w:lineRule="auto"/>
      </w:pPr>
      <w:r>
        <w:rPr>
          <w:b w:val="0"/>
          <w:i w:val="0"/>
          <w:sz w:val="22"/>
        </w:rPr>
        <w:t>total_qi (Anzahl bewerteter Indikatoren pro Haus) korreliert zwar rechnerisch am stärksten, ist aber ein Strukturmerkmal, kein Qualitätsmerkmal: Mehr bewertete Indikatoren bedeuten mehr Gelegenheiten, dass einer davon auffällig ausfällt. Inhaltlich interessanter sind aerzte_pro_bett (+0,210) und pflege_pro_bett (+0,174) — beide korrelieren zudem stark untereinander (r = 0,577), ein Hinweis auf Multikollinearität: Beide Merkmale könnten teilweise dieselbe zugrunde liegende Eigenschaft „Personalausstattung“ messen.</w:t>
      </w:r>
    </w:p>
    <w:p>
      <w:pPr>
        <w:pStyle w:val="Heading2"/>
        <w:spacing w:before="280" w:after="120"/>
      </w:pPr>
      <w:r>
        <w:rPr>
          <w:color w:val="1F497D"/>
          <w:sz w:val="30"/>
        </w:rPr>
        <w:t>3.3  Kernbefunde auf einen Blick</w:t>
      </w:r>
    </w:p>
    <w:tbl>
      <w:tblPr>
        <w:tblStyle w:val="TableGrid"/>
        <w:tblW w:type="auto" w:w="0"/>
        <w:jc w:val="center"/>
        <w:tblLook w:firstColumn="1" w:firstRow="1" w:lastColumn="0" w:lastRow="0" w:noHBand="0" w:noVBand="1" w:val="04A0"/>
      </w:tblPr>
      <w:tblGrid>
        <w:gridCol w:w="4844"/>
        <w:gridCol w:w="4844"/>
      </w:tblGrid>
      <w:tr>
        <w:tc>
          <w:tcPr>
            <w:tcW w:type="dxa" w:w="2268"/>
            <w:shd w:fill="1F497D" w:val="clear"/>
          </w:tcPr>
          <w:p>
            <w:r/>
            <w:r>
              <w:rPr>
                <w:b/>
                <w:color w:val="FFFFFF"/>
                <w:sz w:val="19"/>
              </w:rPr>
              <w:t>Grafik / Merkmal</w:t>
            </w:r>
          </w:p>
        </w:tc>
        <w:tc>
          <w:tcPr>
            <w:tcW w:type="dxa" w:w="7654"/>
            <w:shd w:fill="1F497D" w:val="clear"/>
          </w:tcPr>
          <w:p>
            <w:r/>
            <w:r>
              <w:rPr>
                <w:b/>
                <w:color w:val="FFFFFF"/>
                <w:sz w:val="19"/>
              </w:rPr>
              <w:t>Aktueller Befund</w:t>
            </w:r>
          </w:p>
        </w:tc>
      </w:tr>
      <w:tr>
        <w:tc>
          <w:tcPr>
            <w:tcW w:type="dxa" w:w="2268"/>
          </w:tcPr>
          <w:p>
            <w:r/>
            <w:r>
              <w:rPr>
                <w:sz w:val="19"/>
              </w:rPr>
              <w:t>1 — auffällig-Quote</w:t>
            </w:r>
          </w:p>
        </w:tc>
        <w:tc>
          <w:tcPr>
            <w:tcW w:type="dxa" w:w="7654"/>
          </w:tcPr>
          <w:p>
            <w:r/>
            <w:r>
              <w:rPr>
                <w:sz w:val="19"/>
              </w:rPr>
              <w:t>rechtsschief, Median 5,88 %</w:t>
            </w:r>
          </w:p>
        </w:tc>
      </w:tr>
      <w:tr>
        <w:tc>
          <w:tcPr>
            <w:tcW w:type="dxa" w:w="2268"/>
            <w:shd w:fill="F2F2F2" w:val="clear"/>
          </w:tcPr>
          <w:p>
            <w:r/>
            <w:r>
              <w:rPr>
                <w:sz w:val="19"/>
              </w:rPr>
              <w:t>2 — Bettenzahl</w:t>
            </w:r>
          </w:p>
        </w:tc>
        <w:tc>
          <w:tcPr>
            <w:tcW w:type="dxa" w:w="7654"/>
            <w:shd w:fill="F2F2F2" w:val="clear"/>
          </w:tcPr>
          <w:p>
            <w:r/>
            <w:r>
              <w:rPr>
                <w:sz w:val="19"/>
              </w:rPr>
              <w:t>größer → mehr Probleme (schwach, r=+0,14)</w:t>
            </w:r>
          </w:p>
        </w:tc>
      </w:tr>
      <w:tr>
        <w:tc>
          <w:tcPr>
            <w:tcW w:type="dxa" w:w="2268"/>
          </w:tcPr>
          <w:p>
            <w:r/>
            <w:r>
              <w:rPr>
                <w:sz w:val="19"/>
              </w:rPr>
              <w:t>3 — Trägerschaft</w:t>
            </w:r>
          </w:p>
        </w:tc>
        <w:tc>
          <w:tcPr>
            <w:tcW w:type="dxa" w:w="7654"/>
          </w:tcPr>
          <w:p>
            <w:r/>
            <w:r>
              <w:rPr>
                <w:sz w:val="19"/>
              </w:rPr>
              <w:t>öffentlich höchster Anteil, aber ANOVA nicht signifikant</w:t>
            </w:r>
          </w:p>
        </w:tc>
      </w:tr>
      <w:tr>
        <w:tc>
          <w:tcPr>
            <w:tcW w:type="dxa" w:w="2268"/>
            <w:shd w:fill="F2F2F2" w:val="clear"/>
          </w:tcPr>
          <w:p>
            <w:r/>
            <w:r>
              <w:rPr>
                <w:sz w:val="19"/>
              </w:rPr>
              <w:t>4 — Uni-Klinik</w:t>
            </w:r>
          </w:p>
        </w:tc>
        <w:tc>
          <w:tcPr>
            <w:tcW w:type="dxa" w:w="7654"/>
            <w:shd w:fill="F2F2F2" w:val="clear"/>
          </w:tcPr>
          <w:p>
            <w:r/>
            <w:r>
              <w:rPr>
                <w:sz w:val="19"/>
              </w:rPr>
              <w:t>68,5 % vs. 48,7 %</w:t>
            </w:r>
          </w:p>
        </w:tc>
      </w:tr>
      <w:tr>
        <w:tc>
          <w:tcPr>
            <w:tcW w:type="dxa" w:w="2268"/>
          </w:tcPr>
          <w:p>
            <w:r/>
            <w:r>
              <w:rPr>
                <w:sz w:val="19"/>
              </w:rPr>
              <w:t>5+6 — Ärzte / Pflege pro Bett</w:t>
            </w:r>
          </w:p>
        </w:tc>
        <w:tc>
          <w:tcPr>
            <w:tcW w:type="dxa" w:w="7654"/>
          </w:tcPr>
          <w:p>
            <w:r/>
            <w:r>
              <w:rPr>
                <w:sz w:val="19"/>
              </w:rPr>
              <w:t>beide: mehr Personal → mehr Probleme, gleiches Muster</w:t>
            </w:r>
          </w:p>
        </w:tc>
      </w:tr>
      <w:tr>
        <w:tc>
          <w:tcPr>
            <w:tcW w:type="dxa" w:w="2268"/>
            <w:shd w:fill="F2F2F2" w:val="clear"/>
          </w:tcPr>
          <w:p>
            <w:r/>
            <w:r>
              <w:rPr>
                <w:sz w:val="19"/>
              </w:rPr>
              <w:t>7 — Bundesland</w:t>
            </w:r>
          </w:p>
        </w:tc>
        <w:tc>
          <w:tcPr>
            <w:tcW w:type="dxa" w:w="7654"/>
            <w:shd w:fill="F2F2F2" w:val="clear"/>
          </w:tcPr>
          <w:p>
            <w:r/>
            <w:r>
              <w:rPr>
                <w:sz w:val="19"/>
              </w:rPr>
              <w:t>Rheinland-Pfalz höchster, Thüringen niedrigster Anteil</w:t>
            </w:r>
          </w:p>
        </w:tc>
      </w:tr>
      <w:tr>
        <w:tc>
          <w:tcPr>
            <w:tcW w:type="dxa" w:w="2268"/>
          </w:tcPr>
          <w:p>
            <w:r/>
            <w:r>
              <w:rPr>
                <w:sz w:val="19"/>
              </w:rPr>
              <w:t>8 — Korrelationen</w:t>
            </w:r>
          </w:p>
        </w:tc>
        <w:tc>
          <w:tcPr>
            <w:tcW w:type="dxa" w:w="7654"/>
          </w:tcPr>
          <w:p>
            <w:r/>
            <w:r>
              <w:rPr>
                <w:sz w:val="19"/>
              </w:rPr>
              <w:t>alle Korrelationen positiv</w:t>
            </w:r>
          </w:p>
        </w:tc>
      </w:tr>
      <w:tr>
        <w:tc>
          <w:tcPr>
            <w:tcW w:type="dxa" w:w="2268"/>
            <w:shd w:fill="F2F2F2" w:val="clear"/>
          </w:tcPr>
          <w:p>
            <w:r/>
            <w:r>
              <w:rPr>
                <w:sz w:val="19"/>
              </w:rPr>
              <w:t>9 — Konzernvergleich</w:t>
            </w:r>
          </w:p>
        </w:tc>
        <w:tc>
          <w:tcPr>
            <w:tcW w:type="dxa" w:w="7654"/>
            <w:shd w:fill="F2F2F2" w:val="clear"/>
          </w:tcPr>
          <w:p>
            <w:r/>
            <w:r>
              <w:rPr>
                <w:sz w:val="19"/>
              </w:rPr>
              <w:t>kein Unterschied</w:t>
            </w:r>
          </w:p>
        </w:tc>
      </w:tr>
      <w:tr>
        <w:tc>
          <w:tcPr>
            <w:tcW w:type="dxa" w:w="2268"/>
          </w:tcPr>
          <w:p>
            <w:r/>
            <w:r>
              <w:rPr>
                <w:sz w:val="19"/>
              </w:rPr>
              <w:t>10 — Fortbildungsquote</w:t>
            </w:r>
          </w:p>
        </w:tc>
        <w:tc>
          <w:tcPr>
            <w:tcW w:type="dxa" w:w="7654"/>
          </w:tcPr>
          <w:p>
            <w:r/>
            <w:r>
              <w:rPr>
                <w:sz w:val="19"/>
              </w:rPr>
              <w:t>kein Zusammenhang</w:t>
            </w:r>
          </w:p>
        </w:tc>
      </w:tr>
    </w:tbl>
    <w:p>
      <w:pPr>
        <w:pStyle w:val="Heading2"/>
        <w:spacing w:before="280" w:after="120"/>
      </w:pPr>
      <w:r>
        <w:rPr>
          <w:color w:val="1F497D"/>
          <w:sz w:val="30"/>
        </w:rPr>
        <w:t>3.4  Inferenzstatistik — sind die Unterschiede „echt“?</w:t>
      </w:r>
    </w:p>
    <w:p>
      <w:pPr>
        <w:spacing w:after="160" w:line="276" w:lineRule="auto"/>
      </w:pPr>
      <w:r>
        <w:rPr>
          <w:b w:val="0"/>
          <w:i w:val="0"/>
          <w:sz w:val="22"/>
        </w:rPr>
        <w:t>Ein sichtbarer Unterschied in einer Grafik ist noch kein Beweis — er könnte durch Zufall entstanden sein. Inferenzstatistik beantwortet die Frage: Wie wahrscheinlich wäre der beobachtete Unterschied, wenn es in Wahrheit gar keinen gäbe? Ist diese Wahrscheinlichkeit (der p-Wert) sehr klein — üblicherweise unter 5 % —, gilt der Unterschied als statistisch signifikant.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fill="1F497D" w:val="clear"/>
          </w:tcPr>
          <w:p>
            <w:r/>
            <w:r>
              <w:rPr>
                <w:b/>
                <w:color w:val="FFFFFF"/>
                <w:sz w:val="19"/>
              </w:rPr>
              <w:t>Test</w:t>
            </w:r>
          </w:p>
        </w:tc>
        <w:tc>
          <w:tcPr>
            <w:tcW w:type="dxa" w:w="3402"/>
            <w:shd w:fill="1F497D" w:val="clear"/>
          </w:tcPr>
          <w:p>
            <w:r/>
            <w:r>
              <w:rPr>
                <w:b/>
                <w:color w:val="FFFFFF"/>
                <w:sz w:val="19"/>
              </w:rPr>
              <w:t>Merkmal</w:t>
            </w:r>
          </w:p>
        </w:tc>
        <w:tc>
          <w:tcPr>
            <w:tcW w:type="dxa" w:w="3402"/>
            <w:shd w:fill="1F497D" w:val="clear"/>
          </w:tcPr>
          <w:p>
            <w:r/>
            <w:r>
              <w:rPr>
                <w:b/>
                <w:color w:val="FFFFFF"/>
                <w:sz w:val="19"/>
              </w:rPr>
              <w:t>Ergebnis</w:t>
            </w:r>
          </w:p>
        </w:tc>
        <w:tc>
          <w:tcPr>
            <w:tcW w:type="dxa" w:w="1417"/>
            <w:shd w:fill="1F497D" w:val="clear"/>
          </w:tcPr>
          <w:p>
            <w:r/>
            <w:r>
              <w:rPr>
                <w:b/>
                <w:color w:val="FFFFFF"/>
                <w:sz w:val="19"/>
              </w:rPr>
              <w:t>Signifikant?</w:t>
            </w:r>
          </w:p>
        </w:tc>
      </w:tr>
      <w:tr>
        <w:tc>
          <w:tcPr>
            <w:tcW w:type="dxa" w:w="1701"/>
          </w:tcPr>
          <w:p>
            <w:r/>
            <w:r>
              <w:rPr>
                <w:sz w:val="19"/>
              </w:rPr>
              <w:t>T-Test</w:t>
            </w:r>
          </w:p>
        </w:tc>
        <w:tc>
          <w:tcPr>
            <w:tcW w:type="dxa" w:w="3402"/>
          </w:tcPr>
          <w:p>
            <w:r/>
            <w:r>
              <w:rPr>
                <w:sz w:val="19"/>
              </w:rPr>
              <w:t>Ärzte pro Bett</w:t>
            </w:r>
          </w:p>
        </w:tc>
        <w:tc>
          <w:tcPr>
            <w:tcW w:type="dxa" w:w="3402"/>
          </w:tcPr>
          <w:p>
            <w:r/>
            <w:r>
              <w:rPr>
                <w:sz w:val="19"/>
              </w:rPr>
              <w:t>t = −9,13, p &lt; 0,0001</w:t>
            </w:r>
          </w:p>
        </w:tc>
        <w:tc>
          <w:tcPr>
            <w:tcW w:type="dxa" w:w="1417"/>
          </w:tcPr>
          <w:p>
            <w:r/>
            <w:r>
              <w:rPr>
                <w:sz w:val="19"/>
              </w:rPr>
              <w:t>Ja</w:t>
            </w:r>
          </w:p>
        </w:tc>
      </w:tr>
      <w:tr>
        <w:tc>
          <w:tcPr>
            <w:tcW w:type="dxa" w:w="1701"/>
            <w:shd w:fill="F2F2F2" w:val="clear"/>
          </w:tcPr>
          <w:p>
            <w:r/>
            <w:r>
              <w:rPr>
                <w:sz w:val="19"/>
              </w:rPr>
              <w:t>T-Test</w:t>
            </w:r>
          </w:p>
        </w:tc>
        <w:tc>
          <w:tcPr>
            <w:tcW w:type="dxa" w:w="3402"/>
            <w:shd w:fill="F2F2F2" w:val="clear"/>
          </w:tcPr>
          <w:p>
            <w:r/>
            <w:r>
              <w:rPr>
                <w:sz w:val="19"/>
              </w:rPr>
              <w:t>Pflegekräfte pro Bett</w:t>
            </w:r>
          </w:p>
        </w:tc>
        <w:tc>
          <w:tcPr>
            <w:tcW w:type="dxa" w:w="3402"/>
            <w:shd w:fill="F2F2F2" w:val="clear"/>
          </w:tcPr>
          <w:p>
            <w:r/>
            <w:r>
              <w:rPr>
                <w:sz w:val="19"/>
              </w:rPr>
              <w:t>t = −7,51, p &lt; 0,0001</w:t>
            </w:r>
          </w:p>
        </w:tc>
        <w:tc>
          <w:tcPr>
            <w:tcW w:type="dxa" w:w="1417"/>
            <w:shd w:fill="F2F2F2" w:val="clear"/>
          </w:tcPr>
          <w:p>
            <w:r/>
            <w:r>
              <w:rPr>
                <w:sz w:val="19"/>
              </w:rPr>
              <w:t>Ja</w:t>
            </w:r>
          </w:p>
        </w:tc>
      </w:tr>
      <w:tr>
        <w:tc>
          <w:tcPr>
            <w:tcW w:type="dxa" w:w="1701"/>
          </w:tcPr>
          <w:p>
            <w:r/>
            <w:r>
              <w:rPr>
                <w:sz w:val="19"/>
              </w:rPr>
              <w:t>Chi²-Test</w:t>
            </w:r>
          </w:p>
        </w:tc>
        <w:tc>
          <w:tcPr>
            <w:tcW w:type="dxa" w:w="3402"/>
          </w:tcPr>
          <w:p>
            <w:r/>
            <w:r>
              <w:rPr>
                <w:sz w:val="19"/>
              </w:rPr>
              <w:t>Konzern ↔ viele Probleme</w:t>
            </w:r>
          </w:p>
        </w:tc>
        <w:tc>
          <w:tcPr>
            <w:tcW w:type="dxa" w:w="3402"/>
          </w:tcPr>
          <w:p>
            <w:r/>
            <w:r>
              <w:rPr>
                <w:sz w:val="19"/>
              </w:rPr>
              <w:t>χ² = 1,277, p = 0,2585</w:t>
            </w:r>
          </w:p>
        </w:tc>
        <w:tc>
          <w:tcPr>
            <w:tcW w:type="dxa" w:w="1417"/>
          </w:tcPr>
          <w:p>
            <w:r/>
            <w:r>
              <w:rPr>
                <w:sz w:val="19"/>
              </w:rPr>
              <w:t>Nein</w:t>
            </w:r>
          </w:p>
        </w:tc>
      </w:tr>
      <w:tr>
        <w:tc>
          <w:tcPr>
            <w:tcW w:type="dxa" w:w="1701"/>
            <w:shd w:fill="F2F2F2" w:val="clear"/>
          </w:tcPr>
          <w:p>
            <w:r/>
            <w:r>
              <w:rPr>
                <w:sz w:val="19"/>
              </w:rPr>
              <w:t>ANOVA</w:t>
            </w:r>
          </w:p>
        </w:tc>
        <w:tc>
          <w:tcPr>
            <w:tcW w:type="dxa" w:w="3402"/>
            <w:shd w:fill="F2F2F2" w:val="clear"/>
          </w:tcPr>
          <w:p>
            <w:r/>
            <w:r>
              <w:rPr>
                <w:sz w:val="19"/>
              </w:rPr>
              <w:t>Trägerschaft (3 Gruppen)</w:t>
            </w:r>
          </w:p>
        </w:tc>
        <w:tc>
          <w:tcPr>
            <w:tcW w:type="dxa" w:w="3402"/>
            <w:shd w:fill="F2F2F2" w:val="clear"/>
          </w:tcPr>
          <w:p>
            <w:r/>
            <w:r>
              <w:rPr>
                <w:sz w:val="19"/>
              </w:rPr>
              <w:t>F = 0,031, p = 0,969</w:t>
            </w:r>
          </w:p>
        </w:tc>
        <w:tc>
          <w:tcPr>
            <w:tcW w:type="dxa" w:w="1417"/>
            <w:shd w:fill="F2F2F2" w:val="clear"/>
          </w:tcPr>
          <w:p>
            <w:r/>
            <w:r>
              <w:rPr>
                <w:sz w:val="19"/>
              </w:rPr>
              <w:t>Nein</w:t>
            </w:r>
          </w:p>
        </w:tc>
      </w:tr>
    </w:tbl>
    <w:p>
      <w:pPr>
        <w:spacing w:after="200" w:line="276" w:lineRule="auto"/>
      </w:pPr>
      <w:r>
        <w:rPr>
          <w:b/>
          <w:i w:val="0"/>
          <w:color w:val="A52A2A"/>
          <w:sz w:val="22"/>
        </w:rPr>
        <w:t xml:space="preserve">Wichtiger Befund: </w:t>
      </w:r>
      <w:r>
        <w:rPr>
          <w:b w:val="0"/>
          <w:i w:val="0"/>
          <w:color w:val="555555"/>
          <w:sz w:val="22"/>
        </w:rPr>
        <w:t>Die drei Trägerarten-Mittelwerte auf der stetigen Quote sind praktisch identisch (0,0856 / 0,0857 / 0,0872) — die ANOVA findet keinen signifikanten Unterschied. Der in Grafik 3 sichtbare Balkendiagramm-Unterschied entsteht vermutlich erst durch den Median-Split auf einer praktisch identischen, stetigen Quote.</w:t>
      </w:r>
    </w:p>
    <w:p>
      <w:pPr>
        <w:spacing w:after="160" w:line="276" w:lineRule="auto"/>
      </w:pPr>
      <w:r>
        <w:rPr>
          <w:b w:val="0"/>
          <w:i w:val="0"/>
          <w:sz w:val="22"/>
        </w:rPr>
        <w:t>95 %-Konfidenzintervalle für Ärzte pro Bett: wenige Probleme [0,389; 0,416], viele Probleme [0,484; 0,516]. Die beiden Intervalle überlappen sich nicht — ein weiteres Indiz, dass der Unterschied real und nicht nur Stichprobenrauschen ist.</w:t>
      </w:r>
    </w:p>
    <w:p>
      <w:pPr>
        <w:pStyle w:val="Heading2"/>
        <w:spacing w:before="280" w:after="120"/>
      </w:pPr>
      <w:r>
        <w:rPr>
          <w:color w:val="1F497D"/>
          <w:sz w:val="30"/>
        </w:rPr>
        <w:t>3.5  Pivot-Tabelle: Trägerschaft × Uni-Status</w:t>
      </w:r>
    </w:p>
    <w:p>
      <w:pPr>
        <w:spacing w:after="160" w:line="276" w:lineRule="auto"/>
      </w:pPr>
      <w:r>
        <w:rPr>
          <w:b w:val="0"/>
          <w:i w:val="0"/>
          <w:sz w:val="22"/>
        </w:rPr>
        <w:t>Kreuztabelle der durchschnittlichen auffaellig_quote, aufgeschlüsselt nach Trägerart und Uni-Status. Prüft, ob sich der in Grafik 4 sichtbare Uni-Effekt innerhalb jeder Trägerart gleich verhält.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835"/>
            <w:shd w:fill="1F497D" w:val="clear"/>
          </w:tcPr>
          <w:p>
            <w:r/>
            <w:r>
              <w:rPr>
                <w:b/>
                <w:color w:val="FFFFFF"/>
                <w:sz w:val="19"/>
              </w:rPr>
              <w:t>Trägerart</w:t>
            </w:r>
          </w:p>
        </w:tc>
        <w:tc>
          <w:tcPr>
            <w:tcW w:type="dxa" w:w="2268"/>
            <w:shd w:fill="1F497D" w:val="clear"/>
          </w:tcPr>
          <w:p>
            <w:r/>
            <w:r>
              <w:rPr>
                <w:b/>
                <w:color w:val="FFFFFF"/>
                <w:sz w:val="19"/>
              </w:rPr>
              <w:t>Nicht-Uni</w:t>
            </w:r>
          </w:p>
        </w:tc>
        <w:tc>
          <w:tcPr>
            <w:tcW w:type="dxa" w:w="2268"/>
            <w:shd w:fill="1F497D" w:val="clear"/>
          </w:tcPr>
          <w:p>
            <w:r/>
            <w:r>
              <w:rPr>
                <w:b/>
                <w:color w:val="FFFFFF"/>
                <w:sz w:val="19"/>
              </w:rPr>
              <w:t>Uni-Klinik</w:t>
            </w:r>
          </w:p>
        </w:tc>
        <w:tc>
          <w:tcPr>
            <w:tcW w:type="dxa" w:w="2268"/>
            <w:shd w:fill="1F497D" w:val="clear"/>
          </w:tcPr>
          <w:p>
            <w:r/>
            <w:r>
              <w:rPr>
                <w:b/>
                <w:color w:val="FFFFFF"/>
                <w:sz w:val="19"/>
              </w:rPr>
              <w:t>Gesamt</w:t>
            </w:r>
          </w:p>
        </w:tc>
      </w:tr>
      <w:tr>
        <w:tc>
          <w:tcPr>
            <w:tcW w:type="dxa" w:w="2835"/>
          </w:tcPr>
          <w:p>
            <w:r/>
            <w:r>
              <w:rPr>
                <w:sz w:val="19"/>
              </w:rPr>
              <w:t>Freigemeinnützig</w:t>
            </w:r>
          </w:p>
        </w:tc>
        <w:tc>
          <w:tcPr>
            <w:tcW w:type="dxa" w:w="2268"/>
          </w:tcPr>
          <w:p>
            <w:r/>
            <w:r>
              <w:rPr>
                <w:sz w:val="19"/>
              </w:rPr>
              <w:t>0,0864</w:t>
            </w:r>
          </w:p>
        </w:tc>
        <w:tc>
          <w:tcPr>
            <w:tcW w:type="dxa" w:w="2268"/>
          </w:tcPr>
          <w:p>
            <w:r/>
            <w:r>
              <w:rPr>
                <w:sz w:val="19"/>
              </w:rPr>
              <w:t>0,0554</w:t>
            </w:r>
          </w:p>
        </w:tc>
        <w:tc>
          <w:tcPr>
            <w:tcW w:type="dxa" w:w="2268"/>
          </w:tcPr>
          <w:p>
            <w:r/>
            <w:r>
              <w:rPr>
                <w:sz w:val="19"/>
              </w:rPr>
              <w:t>0,0857</w:t>
            </w:r>
          </w:p>
        </w:tc>
      </w:tr>
      <w:tr>
        <w:tc>
          <w:tcPr>
            <w:tcW w:type="dxa" w:w="2835"/>
            <w:shd w:fill="F2F2F2" w:val="clear"/>
          </w:tcPr>
          <w:p>
            <w:r/>
            <w:r>
              <w:rPr>
                <w:sz w:val="19"/>
              </w:rPr>
              <w:t>Privat</w:t>
            </w:r>
          </w:p>
        </w:tc>
        <w:tc>
          <w:tcPr>
            <w:tcW w:type="dxa" w:w="2268"/>
            <w:shd w:fill="F2F2F2" w:val="clear"/>
          </w:tcPr>
          <w:p>
            <w:r/>
            <w:r>
              <w:rPr>
                <w:sz w:val="19"/>
              </w:rPr>
              <w:t>0,0860</w:t>
            </w:r>
          </w:p>
        </w:tc>
        <w:tc>
          <w:tcPr>
            <w:tcW w:type="dxa" w:w="2268"/>
            <w:shd w:fill="F2F2F2" w:val="clear"/>
          </w:tcPr>
          <w:p>
            <w:r/>
            <w:r>
              <w:rPr>
                <w:sz w:val="19"/>
              </w:rPr>
              <w:t>0,0605</w:t>
            </w:r>
          </w:p>
        </w:tc>
        <w:tc>
          <w:tcPr>
            <w:tcW w:type="dxa" w:w="2268"/>
            <w:shd w:fill="F2F2F2" w:val="clear"/>
          </w:tcPr>
          <w:p>
            <w:r/>
            <w:r>
              <w:rPr>
                <w:sz w:val="19"/>
              </w:rPr>
              <w:t>0,0856</w:t>
            </w:r>
          </w:p>
        </w:tc>
      </w:tr>
      <w:tr>
        <w:tc>
          <w:tcPr>
            <w:tcW w:type="dxa" w:w="2835"/>
          </w:tcPr>
          <w:p>
            <w:r/>
            <w:r>
              <w:rPr>
                <w:sz w:val="19"/>
              </w:rPr>
              <w:t>Öffentlich</w:t>
            </w:r>
          </w:p>
        </w:tc>
        <w:tc>
          <w:tcPr>
            <w:tcW w:type="dxa" w:w="2268"/>
          </w:tcPr>
          <w:p>
            <w:r/>
            <w:r>
              <w:rPr>
                <w:sz w:val="19"/>
              </w:rPr>
              <w:t>0,0862</w:t>
            </w:r>
          </w:p>
        </w:tc>
        <w:tc>
          <w:tcPr>
            <w:tcW w:type="dxa" w:w="2268"/>
          </w:tcPr>
          <w:p>
            <w:r/>
            <w:r>
              <w:rPr>
                <w:sz w:val="19"/>
              </w:rPr>
              <w:t>0,0957</w:t>
            </w:r>
          </w:p>
        </w:tc>
        <w:tc>
          <w:tcPr>
            <w:tcW w:type="dxa" w:w="2268"/>
          </w:tcPr>
          <w:p>
            <w:r/>
            <w:r>
              <w:rPr>
                <w:sz w:val="19"/>
              </w:rPr>
              <w:t>0,0872</w:t>
            </w:r>
          </w:p>
        </w:tc>
      </w:tr>
    </w:tbl>
    <w:p>
      <w:pPr>
        <w:spacing w:after="160" w:line="276" w:lineRule="auto"/>
      </w:pPr>
      <w:r>
        <w:rPr>
          <w:b w:val="0"/>
          <w:i w:val="0"/>
          <w:sz w:val="22"/>
        </w:rPr>
        <w:t>Das Bild ist gemischt: Bei freigemeinnützigen und privaten Häusern haben Uni-Kliniken eine niedrigere Quote als vergleichbare Nicht-Uni-Häuser, bei öffentlichen Häusern dagegen eine höhere. Der in Grafik 4 sichtbare Gesamtunterschied wird also nicht gleichmäßig von allen drei Trägerarten getragen.</w:t>
      </w:r>
    </w:p>
    <w:p>
      <w:pPr>
        <w:pStyle w:val="Heading2"/>
        <w:spacing w:before="280" w:after="120"/>
      </w:pPr>
      <w:r>
        <w:rPr>
          <w:color w:val="1F497D"/>
          <w:sz w:val="30"/>
        </w:rPr>
        <w:t>3.6  Gesamtfazit Baustein 2</w:t>
      </w:r>
    </w:p>
    <w:p>
      <w:pPr>
        <w:spacing w:after="160" w:line="276" w:lineRule="auto"/>
      </w:pPr>
      <w:r>
        <w:rPr>
          <w:b w:val="0"/>
          <w:i w:val="0"/>
          <w:sz w:val="22"/>
        </w:rPr>
        <w:t>Insgesamt zeigen sich überwiegend positive Zusammenhänge: Größere Häuser mit mehr Personal (aerzte_pro_bett, pflege_pro_bett) und mehr bewerteten Indikatoren (total_qi) haben tendenziell mehr, nicht weniger, Qualitätsprobleme (alle T-Tests p &lt; 0,0001). Uni-Kliniken zeigen einen deutlichen Unterschied. Der optisch sichtbare Trägerschafts-Unterschied ist dagegen statistisch nicht signifikant — er ist vermutlich ein Artefakt des Median-Splits auf einer praktisch identischen Quote, kein echter Trägereffekt. ist_konzern und fortbildungsquote zeigen weiterhin klar keinen Zusammenhang.</w:t>
      </w:r>
    </w:p>
    <w:p>
      <w:pPr>
        <w:spacing w:after="200" w:line="276" w:lineRule="auto"/>
      </w:pPr>
      <w:r>
        <w:rPr>
          <w:b/>
          <w:i w:val="0"/>
          <w:color w:val="555555"/>
          <w:sz w:val="22"/>
        </w:rPr>
        <w:t xml:space="preserve">Warum das kein Scheitern ist: </w:t>
      </w:r>
      <w:r>
        <w:rPr>
          <w:b w:val="0"/>
          <w:i w:val="0"/>
          <w:color w:val="555555"/>
          <w:sz w:val="22"/>
        </w:rPr>
        <w:t>Ein Qualitätsbericht-„auffällig“ ist kein automatisches Qualitätsurteil, und viele Faktoren, die wirklich zählen könnten (Patientenmix, Spezialisierung, Dokumentationsqualität), stehen gar nicht im Datensatz. „Kein Zusammenhang ist ein valides Ergebnis“. Ob die Stärke der gefundenen Zusammenhänge praktisch bedeutsam ist, wird in Kapitel 4 mit einem Machine-Learning-Modell weiter geprüft.</w:t>
      </w:r>
    </w:p>
    <w:p>
      <w:r>
        <w:br w:type="page"/>
      </w:r>
    </w:p>
    <w:p>
      <w:pPr>
        <w:pStyle w:val="Heading1"/>
        <w:spacing w:before="360" w:after="200"/>
      </w:pPr>
      <w:r>
        <w:rPr>
          <w:color w:val="1F497D"/>
          <w:sz w:val="40"/>
        </w:rPr>
        <w:t>4  Machine-Learning-Modell</w:t>
      </w:r>
    </w:p>
    <w:p>
      <w:pPr>
        <w:spacing w:after="160" w:line="276" w:lineRule="auto"/>
      </w:pPr>
      <w:r>
        <w:rPr>
          <w:b w:val="0"/>
          <w:i w:val="0"/>
          <w:sz w:val="22"/>
        </w:rPr>
        <w:t>Dieses Kapitel fasst zusammen, was Notebooks/03_Decision_Tree.ipynb ergeben hat. Kapitel 3 hat gezeigt, welche einzelnen Merkmale mit Qualitätsproblemen zusammenhängen (Ärzte pro Bett, Pflege pro Bett) und welche nicht (Fortbildungsquote, Uni-Status). Dieses Kapitel geht einen Schritt weiter: Statt einzelne Merkmale isoliert zu testen, werden alle sieben Merkmale gleichzeitig in einem Machine-Learning-Modell kombiniert — mit der Frage: Wie gut lässt sich damit ein Krankenhaus tatsächlich korrekt klassifizieren?</w:t>
      </w:r>
    </w:p>
    <w:p>
      <w:pPr>
        <w:pStyle w:val="Heading2"/>
        <w:spacing w:before="280" w:after="120"/>
      </w:pPr>
      <w:r>
        <w:rPr>
          <w:color w:val="1F497D"/>
          <w:sz w:val="30"/>
        </w:rPr>
        <w:t>4.1  Warum Decision Tree — und warum zusätzlich lineare Regression?</w:t>
      </w:r>
    </w:p>
    <w:p>
      <w:pPr>
        <w:spacing w:after="160" w:line="276" w:lineRule="auto"/>
      </w:pPr>
      <w:r>
        <w:rPr>
          <w:b w:val="0"/>
          <w:i w:val="0"/>
          <w:sz w:val="22"/>
        </w:rPr>
        <w:t>Das Projekt nutzt Supervised Learning (überwachtes Lernen): Jedes Krankenhaus hat ein bekanntes Label — hat_viele_Probleme = 0 oder 1, berechnet aus den echten IQTIG-Bewertungen. Das Modell lernt aus 1.821 beschrifteten Beispielen, um anschließend neue, unbekannte Häuser einzuordnen. Konkret handelt es sich um binäre Klassifikation (zwei Klassen).</w:t>
      </w:r>
    </w:p>
    <w:p>
      <w:pPr>
        <w:spacing w:after="160" w:line="276" w:lineRule="auto"/>
      </w:pPr>
      <w:r>
        <w:rPr>
          <w:b w:val="0"/>
          <w:i w:val="0"/>
          <w:sz w:val="22"/>
        </w:rPr>
        <w:t>Von den vielen verfügbaren ML-Modellen (Random Forest, logistische Regression, SVM, neuronale Netze, k-Nearest Neighbors) wurde der Decision Tree aus fünf Gründen gewählt:</w:t>
      </w:r>
    </w:p>
    <w:p>
      <w:pPr>
        <w:pStyle w:val="ListBullet"/>
        <w:spacing w:after="80"/>
      </w:pPr>
      <w:r>
        <w:rPr>
          <w:sz w:val="22"/>
        </w:rPr>
        <w:t>Interpretierbarkeit — das wichtigste Argument: Ein Decision Tree trifft Entscheidungen über eine Kette von Wenn-Dann-Regeln, die sich direkt ablesen und in einfacher Sprache erklären lassen. Ein Random Forest oder neuronales Netz wäre eine „Black Box“.</w:t>
      </w:r>
    </w:p>
    <w:p>
      <w:pPr>
        <w:pStyle w:val="ListBullet"/>
        <w:spacing w:after="80"/>
      </w:pPr>
      <w:r>
        <w:rPr>
          <w:sz w:val="22"/>
        </w:rPr>
        <w:t>Passend zum Datensatz: Ein flacher, einfacher Baum ist ehrlich darüber, was mit diesen Daten überhaupt lernbar ist, statt Overfitting durch unnötige Komplexität zu riskieren.</w:t>
      </w:r>
    </w:p>
    <w:p>
      <w:pPr>
        <w:pStyle w:val="ListBullet"/>
        <w:spacing w:after="80"/>
      </w:pPr>
      <w:r>
        <w:rPr>
          <w:sz w:val="22"/>
        </w:rPr>
        <w:t>Keine Vorverarbeitung nötig: Anders als SVM oder neuronale Netze benötigt der Decision Tree keine skalierten Merkmale.</w:t>
      </w:r>
    </w:p>
    <w:p>
      <w:pPr>
        <w:pStyle w:val="ListBullet"/>
        <w:spacing w:after="80"/>
      </w:pPr>
      <w:r>
        <w:rPr>
          <w:sz w:val="22"/>
        </w:rPr>
        <w:t>Vollständige Bewertbarkeit: Liefert Accuracy, Precision, Recall, F1-Score, Confusion Matrix und Feature Importance auf einen Blick — Letzteres ermöglicht eine direkte Rückkopplung zur Analyse aus Kapitel 3.</w:t>
      </w:r>
    </w:p>
    <w:p>
      <w:pPr>
        <w:pStyle w:val="ListBullet"/>
        <w:spacing w:after="80"/>
      </w:pPr>
      <w:r>
        <w:rPr>
          <w:sz w:val="22"/>
        </w:rPr>
        <w:t>Ergänzung durch lineare Regression: Eine parallele lineare Regression liefert mit R² eine zweite, unabhängige Perspektive auf die Erklärungskraft der Merkmale.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fill="1F497D" w:val="clear"/>
          </w:tcPr>
          <w:p>
            <w:r/>
            <w:r>
              <w:rPr>
                <w:b/>
                <w:color w:val="FFFFFF"/>
                <w:sz w:val="19"/>
              </w:rPr>
              <w:t>Modell</w:t>
            </w:r>
          </w:p>
        </w:tc>
        <w:tc>
          <w:tcPr>
            <w:tcW w:type="dxa" w:w="3118"/>
            <w:shd w:fill="1F497D" w:val="clear"/>
          </w:tcPr>
          <w:p>
            <w:r/>
            <w:r>
              <w:rPr>
                <w:b/>
                <w:color w:val="FFFFFF"/>
                <w:sz w:val="19"/>
              </w:rPr>
              <w:t>Vorteile</w:t>
            </w:r>
          </w:p>
        </w:tc>
        <w:tc>
          <w:tcPr>
            <w:tcW w:type="dxa" w:w="2835"/>
            <w:shd w:fill="1F497D" w:val="clear"/>
          </w:tcPr>
          <w:p>
            <w:r/>
            <w:r>
              <w:rPr>
                <w:b/>
                <w:color w:val="FFFFFF"/>
                <w:sz w:val="19"/>
              </w:rPr>
              <w:t>Nachteile</w:t>
            </w:r>
          </w:p>
        </w:tc>
        <w:tc>
          <w:tcPr>
            <w:tcW w:type="dxa" w:w="1701"/>
            <w:shd w:fill="1F497D" w:val="clear"/>
          </w:tcPr>
          <w:p>
            <w:r/>
            <w:r>
              <w:rPr>
                <w:b/>
                <w:color w:val="FFFFFF"/>
                <w:sz w:val="19"/>
              </w:rPr>
              <w:t>Verwendung</w:t>
            </w:r>
          </w:p>
        </w:tc>
      </w:tr>
      <w:tr>
        <w:tc>
          <w:tcPr>
            <w:tcW w:type="dxa" w:w="1984"/>
          </w:tcPr>
          <w:p>
            <w:r/>
            <w:r>
              <w:rPr>
                <w:sz w:val="19"/>
              </w:rPr>
              <w:t>Decision Tree</w:t>
            </w:r>
          </w:p>
        </w:tc>
        <w:tc>
          <w:tcPr>
            <w:tcW w:type="dxa" w:w="3118"/>
          </w:tcPr>
          <w:p>
            <w:r/>
            <w:r>
              <w:rPr>
                <w:sz w:val="19"/>
              </w:rPr>
              <w:t>Interpretierbar, kein Scaling nötig, Feature Importance</w:t>
            </w:r>
          </w:p>
        </w:tc>
        <w:tc>
          <w:tcPr>
            <w:tcW w:type="dxa" w:w="2835"/>
          </w:tcPr>
          <w:p>
            <w:r/>
            <w:r>
              <w:rPr>
                <w:sz w:val="19"/>
              </w:rPr>
              <w:t>Overfitting-anfällig ohne max_depth</w:t>
            </w:r>
          </w:p>
        </w:tc>
        <w:tc>
          <w:tcPr>
            <w:tcW w:type="dxa" w:w="1701"/>
          </w:tcPr>
          <w:p>
            <w:r/>
            <w:r>
              <w:rPr>
                <w:sz w:val="19"/>
              </w:rPr>
              <w:t>✅ Hauptmodell</w:t>
            </w:r>
          </w:p>
        </w:tc>
      </w:tr>
      <w:tr>
        <w:tc>
          <w:tcPr>
            <w:tcW w:type="dxa" w:w="1984"/>
            <w:shd w:fill="F2F2F2" w:val="clear"/>
          </w:tcPr>
          <w:p>
            <w:r/>
            <w:r>
              <w:rPr>
                <w:sz w:val="19"/>
              </w:rPr>
              <w:t>Lineare Regression</w:t>
            </w:r>
          </w:p>
        </w:tc>
        <w:tc>
          <w:tcPr>
            <w:tcW w:type="dxa" w:w="3118"/>
            <w:shd w:fill="F2F2F2" w:val="clear"/>
          </w:tcPr>
          <w:p>
            <w:r/>
            <w:r>
              <w:rPr>
                <w:sz w:val="19"/>
              </w:rPr>
              <w:t>R²-Metrik, Koeffizienten zeigen Richtung</w:t>
            </w:r>
          </w:p>
        </w:tc>
        <w:tc>
          <w:tcPr>
            <w:tcW w:type="dxa" w:w="2835"/>
            <w:shd w:fill="F2F2F2" w:val="clear"/>
          </w:tcPr>
          <w:p>
            <w:r/>
            <w:r>
              <w:rPr>
                <w:sz w:val="19"/>
              </w:rPr>
              <w:t>Nur lineare Zusammenhänge</w:t>
            </w:r>
          </w:p>
        </w:tc>
        <w:tc>
          <w:tcPr>
            <w:tcW w:type="dxa" w:w="1701"/>
            <w:shd w:fill="F2F2F2" w:val="clear"/>
          </w:tcPr>
          <w:p>
            <w:r/>
            <w:r>
              <w:rPr>
                <w:sz w:val="19"/>
              </w:rPr>
              <w:t>✅ Ergänzung</w:t>
            </w:r>
          </w:p>
        </w:tc>
      </w:tr>
      <w:tr>
        <w:tc>
          <w:tcPr>
            <w:tcW w:type="dxa" w:w="1984"/>
          </w:tcPr>
          <w:p>
            <w:r/>
            <w:r>
              <w:rPr>
                <w:sz w:val="19"/>
              </w:rPr>
              <w:t>Random Forest</w:t>
            </w:r>
          </w:p>
        </w:tc>
        <w:tc>
          <w:tcPr>
            <w:tcW w:type="dxa" w:w="3118"/>
          </w:tcPr>
          <w:p>
            <w:r/>
            <w:r>
              <w:rPr>
                <w:sz w:val="19"/>
              </w:rPr>
              <w:t>Bessere Accuracy, robust</w:t>
            </w:r>
          </w:p>
        </w:tc>
        <w:tc>
          <w:tcPr>
            <w:tcW w:type="dxa" w:w="2835"/>
          </w:tcPr>
          <w:p>
            <w:r/>
            <w:r>
              <w:rPr>
                <w:sz w:val="19"/>
              </w:rPr>
              <w:t>Black Box, kein klares Regelwerk</w:t>
            </w:r>
          </w:p>
        </w:tc>
        <w:tc>
          <w:tcPr>
            <w:tcW w:type="dxa" w:w="1701"/>
          </w:tcPr>
          <w:p>
            <w:r/>
            <w:r>
              <w:rPr>
                <w:sz w:val="19"/>
              </w:rPr>
              <w:t>❌ Nicht gewählt</w:t>
            </w:r>
          </w:p>
        </w:tc>
      </w:tr>
      <w:tr>
        <w:tc>
          <w:tcPr>
            <w:tcW w:type="dxa" w:w="1984"/>
            <w:shd w:fill="F2F2F2" w:val="clear"/>
          </w:tcPr>
          <w:p>
            <w:r/>
            <w:r>
              <w:rPr>
                <w:sz w:val="19"/>
              </w:rPr>
              <w:t>SVM / Neuronales Netz</w:t>
            </w:r>
          </w:p>
        </w:tc>
        <w:tc>
          <w:tcPr>
            <w:tcW w:type="dxa" w:w="3118"/>
            <w:shd w:fill="F2F2F2" w:val="clear"/>
          </w:tcPr>
          <w:p>
            <w:r/>
            <w:r>
              <w:rPr>
                <w:sz w:val="19"/>
              </w:rPr>
              <w:t>Sehr flexibel</w:t>
            </w:r>
          </w:p>
        </w:tc>
        <w:tc>
          <w:tcPr>
            <w:tcW w:type="dxa" w:w="2835"/>
            <w:shd w:fill="F2F2F2" w:val="clear"/>
          </w:tcPr>
          <w:p>
            <w:r/>
            <w:r>
              <w:rPr>
                <w:sz w:val="19"/>
              </w:rPr>
              <w:t>Black Box, benötigt Skalierung, komplex</w:t>
            </w:r>
          </w:p>
        </w:tc>
        <w:tc>
          <w:tcPr>
            <w:tcW w:type="dxa" w:w="1701"/>
            <w:shd w:fill="F2F2F2" w:val="clear"/>
          </w:tcPr>
          <w:p>
            <w:r/>
            <w:r>
              <w:rPr>
                <w:sz w:val="19"/>
              </w:rPr>
              <w:t>❌ Nicht gewählt</w:t>
            </w:r>
          </w:p>
        </w:tc>
      </w:tr>
    </w:tbl>
    <w:p>
      <w:pPr>
        <w:pStyle w:val="Heading2"/>
        <w:spacing w:before="280" w:after="120"/>
      </w:pPr>
      <w:r>
        <w:rPr>
          <w:color w:val="1F497D"/>
          <w:sz w:val="30"/>
        </w:rPr>
        <w:t>4.2  Datenaufbereitung fürs Modell</w:t>
      </w:r>
    </w:p>
    <w:p>
      <w:pPr>
        <w:spacing w:after="160" w:line="276" w:lineRule="auto"/>
      </w:pPr>
      <w:r>
        <w:rPr>
          <w:b w:val="0"/>
          <w:i w:val="0"/>
          <w:sz w:val="22"/>
        </w:rPr>
        <w:t>Die gesamte ML-Pipeline ist als eigenständige Python-Klasse KrankenhausModell in model/modell_klasse.py ausgelagert (Methoden: __init__, prepare, fit, evaluate, save, load). Der praktische Nutzen einer eigenen Klasse: Dieselbe Definition wird sowohl beim Training hier als auch im Streamlit-Dashboard zum Laden und Vorhersagen verwendet — eine einzige Quelle der Wahrheit, kein doppelter Code.</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F497D" w:val="clear"/>
          </w:tcPr>
          <w:p>
            <w:r/>
            <w:r>
              <w:rPr>
                <w:b/>
                <w:color w:val="FFFFFF"/>
                <w:sz w:val="19"/>
              </w:rPr>
              <w:t>Feature</w:t>
            </w:r>
          </w:p>
        </w:tc>
        <w:tc>
          <w:tcPr>
            <w:tcW w:type="dxa" w:w="3685"/>
            <w:shd w:fill="1F497D" w:val="clear"/>
          </w:tcPr>
          <w:p>
            <w:r/>
            <w:r>
              <w:rPr>
                <w:b/>
                <w:color w:val="FFFFFF"/>
                <w:sz w:val="19"/>
              </w:rPr>
              <w:t>Quelle</w:t>
            </w:r>
          </w:p>
        </w:tc>
        <w:tc>
          <w:tcPr>
            <w:tcW w:type="dxa" w:w="3685"/>
            <w:shd w:fill="1F497D" w:val="clear"/>
          </w:tcPr>
          <w:p>
            <w:r/>
            <w:r>
              <w:rPr>
                <w:b/>
                <w:color w:val="FFFFFF"/>
                <w:sz w:val="19"/>
              </w:rPr>
              <w:t>Bedeutung</w:t>
            </w:r>
          </w:p>
        </w:tc>
      </w:tr>
      <w:tr>
        <w:tc>
          <w:tcPr>
            <w:tcW w:type="dxa" w:w="2268"/>
          </w:tcPr>
          <w:p>
            <w:r/>
            <w:r>
              <w:rPr>
                <w:sz w:val="19"/>
              </w:rPr>
              <w:t>SO.Betten</w:t>
            </w:r>
          </w:p>
        </w:tc>
        <w:tc>
          <w:tcPr>
            <w:tcW w:type="dxa" w:w="3685"/>
          </w:tcPr>
          <w:p>
            <w:r/>
            <w:r>
              <w:rPr>
                <w:sz w:val="19"/>
              </w:rPr>
              <w:t>SO.csv</w:t>
            </w:r>
          </w:p>
        </w:tc>
        <w:tc>
          <w:tcPr>
            <w:tcW w:type="dxa" w:w="3685"/>
          </w:tcPr>
          <w:p>
            <w:r/>
            <w:r>
              <w:rPr>
                <w:sz w:val="19"/>
              </w:rPr>
              <w:t>Krankenhausgröße</w:t>
            </w:r>
          </w:p>
        </w:tc>
      </w:tr>
      <w:tr>
        <w:tc>
          <w:tcPr>
            <w:tcW w:type="dxa" w:w="2268"/>
            <w:shd w:fill="F2F2F2" w:val="clear"/>
          </w:tcPr>
          <w:p>
            <w:r/>
            <w:r>
              <w:rPr>
                <w:sz w:val="19"/>
              </w:rPr>
              <w:t>SO.Uni</w:t>
            </w:r>
          </w:p>
        </w:tc>
        <w:tc>
          <w:tcPr>
            <w:tcW w:type="dxa" w:w="3685"/>
            <w:shd w:fill="F2F2F2" w:val="clear"/>
          </w:tcPr>
          <w:p>
            <w:r/>
            <w:r>
              <w:rPr>
                <w:sz w:val="19"/>
              </w:rPr>
              <w:t>SO.csv</w:t>
            </w:r>
          </w:p>
        </w:tc>
        <w:tc>
          <w:tcPr>
            <w:tcW w:type="dxa" w:w="3685"/>
            <w:shd w:fill="F2F2F2" w:val="clear"/>
          </w:tcPr>
          <w:p>
            <w:r/>
            <w:r>
              <w:rPr>
                <w:sz w:val="19"/>
              </w:rPr>
              <w:t>Uni-Klinik (0/1)</w:t>
            </w:r>
          </w:p>
        </w:tc>
      </w:tr>
      <w:tr>
        <w:tc>
          <w:tcPr>
            <w:tcW w:type="dxa" w:w="2268"/>
          </w:tcPr>
          <w:p>
            <w:r/>
            <w:r>
              <w:rPr>
                <w:sz w:val="19"/>
              </w:rPr>
              <w:t>fortbildungsquote</w:t>
            </w:r>
          </w:p>
        </w:tc>
        <w:tc>
          <w:tcPr>
            <w:tcW w:type="dxa" w:w="3685"/>
          </w:tcPr>
          <w:p>
            <w:r/>
            <w:r>
              <w:rPr>
                <w:sz w:val="19"/>
              </w:rPr>
              <w:t>QS.Fortbildung.csv</w:t>
            </w:r>
          </w:p>
        </w:tc>
        <w:tc>
          <w:tcPr>
            <w:tcW w:type="dxa" w:w="3685"/>
          </w:tcPr>
          <w:p>
            <w:r/>
            <w:r>
              <w:rPr>
                <w:sz w:val="19"/>
              </w:rPr>
              <w:t>Anteil fortgebildeter Ärzte</w:t>
            </w:r>
          </w:p>
        </w:tc>
      </w:tr>
      <w:tr>
        <w:tc>
          <w:tcPr>
            <w:tcW w:type="dxa" w:w="2268"/>
            <w:shd w:fill="F2F2F2" w:val="clear"/>
          </w:tcPr>
          <w:p>
            <w:r/>
            <w:r>
              <w:rPr>
                <w:sz w:val="19"/>
              </w:rPr>
              <w:t>aerzte_pro_bett</w:t>
            </w:r>
          </w:p>
        </w:tc>
        <w:tc>
          <w:tcPr>
            <w:tcW w:type="dxa" w:w="3685"/>
            <w:shd w:fill="F2F2F2" w:val="clear"/>
          </w:tcPr>
          <w:p>
            <w:r/>
            <w:r>
              <w:rPr>
                <w:sz w:val="19"/>
              </w:rPr>
              <w:t>FA.Personalliste.csv × FA.csv</w:t>
            </w:r>
          </w:p>
        </w:tc>
        <w:tc>
          <w:tcPr>
            <w:tcW w:type="dxa" w:w="3685"/>
            <w:shd w:fill="F2F2F2" w:val="clear"/>
          </w:tcPr>
          <w:p>
            <w:r/>
            <w:r>
              <w:rPr>
                <w:sz w:val="19"/>
              </w:rPr>
              <w:t>Ärzte-Personalstärke relativ zur Größe</w:t>
            </w:r>
          </w:p>
        </w:tc>
      </w:tr>
      <w:tr>
        <w:tc>
          <w:tcPr>
            <w:tcW w:type="dxa" w:w="2268"/>
          </w:tcPr>
          <w:p>
            <w:r/>
            <w:r>
              <w:rPr>
                <w:sz w:val="19"/>
              </w:rPr>
              <w:t>pflege_pro_bett</w:t>
            </w:r>
          </w:p>
        </w:tc>
        <w:tc>
          <w:tcPr>
            <w:tcW w:type="dxa" w:w="3685"/>
          </w:tcPr>
          <w:p>
            <w:r/>
            <w:r>
              <w:rPr>
                <w:sz w:val="19"/>
              </w:rPr>
              <w:t>SO.Personalliste.csv</w:t>
            </w:r>
          </w:p>
        </w:tc>
        <w:tc>
          <w:tcPr>
            <w:tcW w:type="dxa" w:w="3685"/>
          </w:tcPr>
          <w:p>
            <w:r/>
            <w:r>
              <w:rPr>
                <w:sz w:val="19"/>
              </w:rPr>
              <w:t>Pflege-Personalstärke relativ zur Größe</w:t>
            </w:r>
          </w:p>
        </w:tc>
      </w:tr>
      <w:tr>
        <w:tc>
          <w:tcPr>
            <w:tcW w:type="dxa" w:w="2268"/>
            <w:shd w:fill="F2F2F2" w:val="clear"/>
          </w:tcPr>
          <w:p>
            <w:r/>
            <w:r>
              <w:rPr>
                <w:sz w:val="19"/>
              </w:rPr>
              <w:t>ist_konzern</w:t>
            </w:r>
          </w:p>
        </w:tc>
        <w:tc>
          <w:tcPr>
            <w:tcW w:type="dxa" w:w="3685"/>
            <w:shd w:fill="F2F2F2" w:val="clear"/>
          </w:tcPr>
          <w:p>
            <w:r/>
            <w:r>
              <w:rPr>
                <w:sz w:val="19"/>
              </w:rPr>
              <w:t>Konzern.csv</w:t>
            </w:r>
          </w:p>
        </w:tc>
        <w:tc>
          <w:tcPr>
            <w:tcW w:type="dxa" w:w="3685"/>
            <w:shd w:fill="F2F2F2" w:val="clear"/>
          </w:tcPr>
          <w:p>
            <w:r/>
            <w:r>
              <w:rPr>
                <w:sz w:val="19"/>
              </w:rPr>
              <w:t>Teil eines Krankenhauskonzerns (0/1)</w:t>
            </w:r>
          </w:p>
        </w:tc>
      </w:tr>
      <w:tr>
        <w:tc>
          <w:tcPr>
            <w:tcW w:type="dxa" w:w="2268"/>
          </w:tcPr>
          <w:p>
            <w:r/>
            <w:r>
              <w:rPr>
                <w:sz w:val="19"/>
              </w:rPr>
              <w:t>traeger_enc</w:t>
            </w:r>
          </w:p>
        </w:tc>
        <w:tc>
          <w:tcPr>
            <w:tcW w:type="dxa" w:w="3685"/>
          </w:tcPr>
          <w:p>
            <w:r/>
            <w:r>
              <w:rPr>
                <w:sz w:val="19"/>
              </w:rPr>
              <w:t>SO.csv</w:t>
            </w:r>
          </w:p>
        </w:tc>
        <w:tc>
          <w:tcPr>
            <w:tcW w:type="dxa" w:w="3685"/>
          </w:tcPr>
          <w:p>
            <w:r/>
            <w:r>
              <w:rPr>
                <w:sz w:val="19"/>
              </w:rPr>
              <w:t>Trägerart codiert (freigemeinnützig=0, öffentlich=1, privat=2)</w:t>
            </w:r>
          </w:p>
        </w:tc>
      </w:tr>
    </w:tbl>
    <w:p>
      <w:pPr>
        <w:spacing w:after="160" w:line="276" w:lineRule="auto"/>
      </w:pPr>
      <w:r>
        <w:rPr>
          <w:b w:val="0"/>
          <w:i w:val="0"/>
          <w:sz w:val="22"/>
        </w:rPr>
        <w:t>Der Datensatz wurde 80/20 in Trainings- und Testdaten aufgeteilt, stratifiziert nach der Ziel-Variable — das garantiert, dass beide Teile dieselbe Klassenverteilung aufweisen wie der Gesamtdatensatz, was die Testergebnisse stabiler und vergleichbarer macht. random_state=42 sorgt für Reproduzierbarkeit.</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r>
          </w:p>
        </w:tc>
        <w:tc>
          <w:tcPr>
            <w:tcW w:type="dxa" w:w="2835"/>
            <w:shd w:fill="1F497D" w:val="clear"/>
          </w:tcPr>
          <w:p>
            <w:r/>
            <w:r>
              <w:rPr>
                <w:b/>
                <w:color w:val="FFFFFF"/>
                <w:sz w:val="19"/>
              </w:rPr>
              <w:t>Häuser</w:t>
            </w:r>
          </w:p>
        </w:tc>
        <w:tc>
          <w:tcPr>
            <w:tcW w:type="dxa" w:w="2835"/>
            <w:shd w:fill="1F497D" w:val="clear"/>
          </w:tcPr>
          <w:p>
            <w:r/>
            <w:r>
              <w:rPr>
                <w:b/>
                <w:color w:val="FFFFFF"/>
                <w:sz w:val="19"/>
              </w:rPr>
              <w:t>Anteil</w:t>
            </w:r>
          </w:p>
        </w:tc>
      </w:tr>
      <w:tr>
        <w:tc>
          <w:tcPr>
            <w:tcW w:type="dxa" w:w="1984"/>
          </w:tcPr>
          <w:p>
            <w:r/>
            <w:r>
              <w:rPr>
                <w:sz w:val="19"/>
              </w:rPr>
              <w:t>Training</w:t>
            </w:r>
          </w:p>
        </w:tc>
        <w:tc>
          <w:tcPr>
            <w:tcW w:type="dxa" w:w="2835"/>
          </w:tcPr>
          <w:p>
            <w:r/>
            <w:r>
              <w:rPr>
                <w:sz w:val="19"/>
              </w:rPr>
              <w:t>1.456</w:t>
            </w:r>
          </w:p>
        </w:tc>
        <w:tc>
          <w:tcPr>
            <w:tcW w:type="dxa" w:w="2835"/>
          </w:tcPr>
          <w:p>
            <w:r/>
            <w:r>
              <w:rPr>
                <w:sz w:val="19"/>
              </w:rPr>
              <w:t>80 %</w:t>
            </w:r>
          </w:p>
        </w:tc>
      </w:tr>
      <w:tr>
        <w:tc>
          <w:tcPr>
            <w:tcW w:type="dxa" w:w="1984"/>
            <w:shd w:fill="F2F2F2" w:val="clear"/>
          </w:tcPr>
          <w:p>
            <w:r/>
            <w:r>
              <w:rPr>
                <w:sz w:val="19"/>
              </w:rPr>
              <w:t>Test</w:t>
            </w:r>
          </w:p>
        </w:tc>
        <w:tc>
          <w:tcPr>
            <w:tcW w:type="dxa" w:w="2835"/>
            <w:shd w:fill="F2F2F2" w:val="clear"/>
          </w:tcPr>
          <w:p>
            <w:r/>
            <w:r>
              <w:rPr>
                <w:sz w:val="19"/>
              </w:rPr>
              <w:t>365</w:t>
            </w:r>
          </w:p>
        </w:tc>
        <w:tc>
          <w:tcPr>
            <w:tcW w:type="dxa" w:w="2835"/>
            <w:shd w:fill="F2F2F2" w:val="clear"/>
          </w:tcPr>
          <w:p>
            <w:r/>
            <w:r>
              <w:rPr>
                <w:sz w:val="19"/>
              </w:rPr>
              <w:t>20 %</w:t>
            </w:r>
          </w:p>
        </w:tc>
      </w:tr>
    </w:tbl>
    <w:p>
      <w:pPr>
        <w:spacing w:after="160" w:line="276" w:lineRule="auto"/>
      </w:pPr>
      <w:r>
        <w:rPr>
          <w:b w:val="0"/>
          <w:i w:val="0"/>
          <w:sz w:val="22"/>
        </w:rPr>
        <w:t>Basislinie (naiver Vergleichswert): 50,4 %. Würde man für jedes Krankenhaus blind immer „Wenige Probleme“ tippen, läge man bei 916 von 1.821 Häusern (50,4 %) zufällig richtig — das Modell muss besser sein als dieser blinde Tipp, sonst wäre es nutzlos.</w:t>
      </w:r>
    </w:p>
    <w:p>
      <w:pPr>
        <w:pStyle w:val="Heading2"/>
        <w:spacing w:before="280" w:after="120"/>
      </w:pPr>
      <w:r>
        <w:rPr>
          <w:color w:val="1F497D"/>
          <w:sz w:val="30"/>
        </w:rPr>
        <w:t>4.3  Der Entscheidungsbaum: Training und Metriken</w:t>
      </w:r>
    </w:p>
    <w:p>
      <w:pPr>
        <w:spacing w:after="160" w:line="276" w:lineRule="auto"/>
      </w:pPr>
      <w:r>
        <w:rPr>
          <w:b w:val="0"/>
          <w:i w:val="0"/>
          <w:sz w:val="22"/>
        </w:rPr>
        <w:t>Hyperparameter: max_depth=3 — der Baum darf maximal drei Ebenen tief verzweigen (bis zu 8 Endknoten). Mit jeder zusätzlichen Ebene lernt der Baum feinere Details des Trainingsdatensatzes auswendig (Overfitting), ohne auf neuen Daten wirklich besser zu werden — die 5-Fold Cross-Validation (61,6 %) bestätigt, dass die generelle Vorhersagekraft der Daten ohnehin begrenzt ist. Ein flacher Baum bleibt zusätzlich vollständig interpretierbar: Jede Verzweigung lässt sich direkt ablesen und vorlesen.</w:t>
      </w:r>
    </w:p>
    <w:p>
      <w:pPr>
        <w:spacing w:before="120" w:after="200"/>
        <w:jc w:val="center"/>
      </w:pPr>
      <w:r>
        <w:drawing>
          <wp:inline xmlns:a="http://schemas.openxmlformats.org/drawingml/2006/main" xmlns:pic="http://schemas.openxmlformats.org/drawingml/2006/picture">
            <wp:extent cx="5580000" cy="2092500"/>
            <wp:docPr id="10" name="Picture 10"/>
            <wp:cNvGraphicFramePr>
              <a:graphicFrameLocks noChangeAspect="1"/>
            </wp:cNvGraphicFramePr>
            <a:graphic>
              <a:graphicData uri="http://schemas.openxmlformats.org/drawingml/2006/picture">
                <pic:pic>
                  <pic:nvPicPr>
                    <pic:cNvPr id="0" name="g12_decision_tree.png"/>
                    <pic:cNvPicPr/>
                  </pic:nvPicPr>
                  <pic:blipFill>
                    <a:blip r:embed="rId18"/>
                    <a:stretch>
                      <a:fillRect/>
                    </a:stretch>
                  </pic:blipFill>
                  <pic:spPr>
                    <a:xfrm>
                      <a:off x="0" y="0"/>
                      <a:ext cx="5580000" cy="2092500"/>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t>Metrik</w:t>
            </w:r>
          </w:p>
        </w:tc>
        <w:tc>
          <w:tcPr>
            <w:tcW w:type="dxa" w:w="1701"/>
            <w:shd w:fill="1F497D" w:val="clear"/>
          </w:tcPr>
          <w:p>
            <w:r/>
            <w:r>
              <w:rPr>
                <w:b/>
                <w:color w:val="FFFFFF"/>
                <w:sz w:val="19"/>
              </w:rPr>
              <w:t>Wert</w:t>
            </w:r>
          </w:p>
        </w:tc>
        <w:tc>
          <w:tcPr>
            <w:tcW w:type="dxa" w:w="5669"/>
            <w:shd w:fill="1F497D" w:val="clear"/>
          </w:tcPr>
          <w:p>
            <w:r/>
            <w:r>
              <w:rPr>
                <w:b/>
                <w:color w:val="FFFFFF"/>
                <w:sz w:val="19"/>
              </w:rPr>
              <w:t>Interpretation</w:t>
            </w:r>
          </w:p>
        </w:tc>
      </w:tr>
      <w:tr>
        <w:tc>
          <w:tcPr>
            <w:tcW w:type="dxa" w:w="1984"/>
          </w:tcPr>
          <w:p>
            <w:r/>
            <w:r>
              <w:rPr>
                <w:sz w:val="19"/>
              </w:rPr>
              <w:t>Accuracy</w:t>
            </w:r>
          </w:p>
        </w:tc>
        <w:tc>
          <w:tcPr>
            <w:tcW w:type="dxa" w:w="1701"/>
          </w:tcPr>
          <w:p>
            <w:r/>
            <w:r>
              <w:rPr>
                <w:sz w:val="19"/>
              </w:rPr>
              <w:t>57,0 %</w:t>
            </w:r>
          </w:p>
        </w:tc>
        <w:tc>
          <w:tcPr>
            <w:tcW w:type="dxa" w:w="5669"/>
          </w:tcPr>
          <w:p>
            <w:r/>
            <w:r>
              <w:rPr>
                <w:sz w:val="19"/>
              </w:rPr>
              <w:t>Anteil korrekt klassifizierter Häuser</w:t>
            </w:r>
          </w:p>
        </w:tc>
      </w:tr>
      <w:tr>
        <w:tc>
          <w:tcPr>
            <w:tcW w:type="dxa" w:w="1984"/>
            <w:shd w:fill="F2F2F2" w:val="clear"/>
          </w:tcPr>
          <w:p>
            <w:r/>
            <w:r>
              <w:rPr>
                <w:sz w:val="19"/>
              </w:rPr>
              <w:t>Precision</w:t>
            </w:r>
          </w:p>
        </w:tc>
        <w:tc>
          <w:tcPr>
            <w:tcW w:type="dxa" w:w="1701"/>
            <w:shd w:fill="F2F2F2" w:val="clear"/>
          </w:tcPr>
          <w:p>
            <w:r/>
            <w:r>
              <w:rPr>
                <w:sz w:val="19"/>
              </w:rPr>
              <w:t>55,2 %</w:t>
            </w:r>
          </w:p>
        </w:tc>
        <w:tc>
          <w:tcPr>
            <w:tcW w:type="dxa" w:w="5669"/>
            <w:shd w:fill="F2F2F2" w:val="clear"/>
          </w:tcPr>
          <w:p>
            <w:r/>
            <w:r>
              <w:rPr>
                <w:sz w:val="19"/>
              </w:rPr>
              <w:t>Von den als „viele Probleme“ vorhergesagten Häusern stimmen 55,2 %</w:t>
            </w:r>
          </w:p>
        </w:tc>
      </w:tr>
      <w:tr>
        <w:tc>
          <w:tcPr>
            <w:tcW w:type="dxa" w:w="1984"/>
          </w:tcPr>
          <w:p>
            <w:r/>
            <w:r>
              <w:rPr>
                <w:sz w:val="19"/>
              </w:rPr>
              <w:t>Recall</w:t>
            </w:r>
          </w:p>
        </w:tc>
        <w:tc>
          <w:tcPr>
            <w:tcW w:type="dxa" w:w="1701"/>
          </w:tcPr>
          <w:p>
            <w:r/>
            <w:r>
              <w:rPr>
                <w:sz w:val="19"/>
              </w:rPr>
              <w:t>70,2 %</w:t>
            </w:r>
          </w:p>
        </w:tc>
        <w:tc>
          <w:tcPr>
            <w:tcW w:type="dxa" w:w="5669"/>
          </w:tcPr>
          <w:p>
            <w:r/>
            <w:r>
              <w:rPr>
                <w:sz w:val="19"/>
              </w:rPr>
              <w:t>Von den echten „viele Probleme“-Häusern werden 70,2 % erkannt</w:t>
            </w:r>
          </w:p>
        </w:tc>
      </w:tr>
      <w:tr>
        <w:tc>
          <w:tcPr>
            <w:tcW w:type="dxa" w:w="1984"/>
            <w:shd w:fill="F2F2F2" w:val="clear"/>
          </w:tcPr>
          <w:p>
            <w:r/>
            <w:r>
              <w:rPr>
                <w:sz w:val="19"/>
              </w:rPr>
              <w:t>F1-Score</w:t>
            </w:r>
          </w:p>
        </w:tc>
        <w:tc>
          <w:tcPr>
            <w:tcW w:type="dxa" w:w="1701"/>
            <w:shd w:fill="F2F2F2" w:val="clear"/>
          </w:tcPr>
          <w:p>
            <w:r/>
            <w:r>
              <w:rPr>
                <w:sz w:val="19"/>
              </w:rPr>
              <w:t>61,8 %</w:t>
            </w:r>
          </w:p>
        </w:tc>
        <w:tc>
          <w:tcPr>
            <w:tcW w:type="dxa" w:w="5669"/>
            <w:shd w:fill="F2F2F2" w:val="clear"/>
          </w:tcPr>
          <w:p>
            <w:r/>
            <w:r>
              <w:rPr>
                <w:sz w:val="19"/>
              </w:rPr>
              <w:t>Harmonisches Mittel aus Precision und Recall</w:t>
            </w:r>
          </w:p>
        </w:tc>
      </w:tr>
      <w:tr>
        <w:tc>
          <w:tcPr>
            <w:tcW w:type="dxa" w:w="1984"/>
          </w:tcPr>
          <w:p>
            <w:r/>
            <w:r>
              <w:rPr>
                <w:sz w:val="19"/>
              </w:rPr>
              <w:t>Basislinie</w:t>
            </w:r>
          </w:p>
        </w:tc>
        <w:tc>
          <w:tcPr>
            <w:tcW w:type="dxa" w:w="1701"/>
          </w:tcPr>
          <w:p>
            <w:r/>
            <w:r>
              <w:rPr>
                <w:sz w:val="19"/>
              </w:rPr>
              <w:t>50,4 %</w:t>
            </w:r>
          </w:p>
        </w:tc>
        <w:tc>
          <w:tcPr>
            <w:tcW w:type="dxa" w:w="5669"/>
          </w:tcPr>
          <w:p>
            <w:r/>
            <w:r>
              <w:rPr>
                <w:sz w:val="19"/>
              </w:rPr>
              <w:t>Naiver Klassifikator: immer die Mehrheitsklasse</w:t>
            </w:r>
          </w:p>
        </w:tc>
      </w:tr>
      <w:tr>
        <w:tc>
          <w:tcPr>
            <w:tcW w:type="dxa" w:w="1984"/>
            <w:shd w:fill="F2F2F2" w:val="clear"/>
          </w:tcPr>
          <w:p>
            <w:r/>
            <w:r>
              <w:rPr>
                <w:sz w:val="19"/>
              </w:rPr>
              <w:t>Verbesserung</w:t>
            </w:r>
          </w:p>
        </w:tc>
        <w:tc>
          <w:tcPr>
            <w:tcW w:type="dxa" w:w="1701"/>
            <w:shd w:fill="F2F2F2" w:val="clear"/>
          </w:tcPr>
          <w:p>
            <w:r/>
            <w:r>
              <w:rPr>
                <w:sz w:val="19"/>
              </w:rPr>
              <w:t>+6,6 Pp.</w:t>
            </w:r>
          </w:p>
        </w:tc>
        <w:tc>
          <w:tcPr>
            <w:tcW w:type="dxa" w:w="5669"/>
            <w:shd w:fill="F2F2F2" w:val="clear"/>
          </w:tcPr>
          <w:p>
            <w:r/>
            <w:r>
              <w:rPr>
                <w:sz w:val="19"/>
              </w:rPr>
              <w:t>Mehrwert gegenüber dem naiven Ansatz</w:t>
            </w:r>
          </w:p>
        </w:tc>
      </w:tr>
    </w:tbl>
    <w:p>
      <w:pPr>
        <w:spacing w:after="160" w:line="276" w:lineRule="auto"/>
      </w:pPr>
      <w:r>
        <w:rPr>
          <w:b w:val="0"/>
          <w:i w:val="0"/>
          <w:sz w:val="22"/>
        </w:rPr>
        <w:t>Recall (70,2 %) liegt hier höher als Precision (55,2 %): Das Modell ist „großzügig“ — es sagt eher „Viele Probleme“, auch ohne ganz sicher zu sein. Dadurch findet es die meisten echten Problemfälle, schlägt dafür aber auch relativ viele falsche Alarme. Bei 365 Testhäusern lag das Modell bei 208 richtig und bei 157 falsch.</w:t>
      </w:r>
    </w:p>
    <w:p>
      <w:pPr>
        <w:spacing w:after="160" w:line="276" w:lineRule="auto"/>
      </w:pPr>
      <w:r>
        <w:rPr>
          <w:b w:val="0"/>
          <w:i w:val="0"/>
          <w:sz w:val="22"/>
        </w:rPr>
        <w:t>5-Fold Cross-Validation (Ergebnis: 61,6 % ± 3,7 %) bestätigt die Stabilität: Der Datensatz wird in fünf gleich große Teile aufgeteilt, das Modell fünfmal trainiert und getestet. Die geringe Schwankung von ±3,7 % zeigt, dass das Ergebnis nicht von einer günstigen Zufallsaufteilung abhängt.</w:t>
      </w:r>
    </w:p>
    <w:p>
      <w:pPr>
        <w:pStyle w:val="Heading3"/>
        <w:spacing w:before="200" w:after="80"/>
      </w:pPr>
      <w:r>
        <w:rPr>
          <w:color w:val="BF5A00"/>
          <w:sz w:val="25"/>
        </w:rPr>
        <w:t>Confusion Matrix</w:t>
      </w:r>
    </w:p>
    <w:p>
      <w:pPr>
        <w:spacing w:before="120" w:after="200"/>
        <w:jc w:val="center"/>
      </w:pPr>
      <w:r>
        <w:drawing>
          <wp:inline xmlns:a="http://schemas.openxmlformats.org/drawingml/2006/main" xmlns:pic="http://schemas.openxmlformats.org/drawingml/2006/picture">
            <wp:extent cx="3600000" cy="3000000"/>
            <wp:docPr id="11" name="Picture 11"/>
            <wp:cNvGraphicFramePr>
              <a:graphicFrameLocks noChangeAspect="1"/>
            </wp:cNvGraphicFramePr>
            <a:graphic>
              <a:graphicData uri="http://schemas.openxmlformats.org/drawingml/2006/picture">
                <pic:pic>
                  <pic:nvPicPr>
                    <pic:cNvPr id="0" name="g11_confusion_matrix.png"/>
                    <pic:cNvPicPr/>
                  </pic:nvPicPr>
                  <pic:blipFill>
                    <a:blip r:embed="rId19"/>
                    <a:stretch>
                      <a:fillRect/>
                    </a:stretch>
                  </pic:blipFill>
                  <pic:spPr>
                    <a:xfrm>
                      <a:off x="0" y="0"/>
                      <a:ext cx="3600000" cy="3000000"/>
                    </a:xfrm>
                    <a:prstGeom prst="rect"/>
                  </pic:spPr>
                </pic:pic>
              </a:graphicData>
            </a:graphic>
          </wp:inline>
        </w:drawing>
      </w:r>
    </w:p>
    <w:p>
      <w:pPr>
        <w:spacing w:after="160" w:line="276" w:lineRule="auto"/>
      </w:pPr>
      <w:r>
        <w:rPr>
          <w:b w:val="0"/>
          <w:i w:val="0"/>
          <w:sz w:val="22"/>
        </w:rPr>
        <w:t>Die Confusion Matrix schlüsselt auf, welche Art von Fehlern das Modell macht — nicht nur, wie oft es insgesamt richtig lag. Auf den 365 Testhäusern: TN (korrekt „wenige“) = 81, FP (falscher Alarm) = 103, FN (verpasster Fall) = 54, TP (korrekt „viele“) = 127. Der vergleichsweise niedrige FN-Wert spiegelt den hohen Recall wider — die meisten echten Problemhäuser werden erkannt; der hohe FP-Wert spiegelt die niedrigere Precision wider — dafür gibt es relativ viele falsche Alarme.</w:t>
      </w:r>
    </w:p>
    <w:p>
      <w:pPr>
        <w:pStyle w:val="Heading2"/>
        <w:spacing w:before="280" w:after="120"/>
      </w:pPr>
      <w:r>
        <w:rPr>
          <w:color w:val="1F497D"/>
          <w:sz w:val="30"/>
        </w:rPr>
        <w:t>4.4  Feature Importance</w:t>
      </w:r>
    </w:p>
    <w:p>
      <w:pPr>
        <w:spacing w:after="160" w:line="276" w:lineRule="auto"/>
      </w:pPr>
      <w:r>
        <w:rPr>
          <w:b w:val="0"/>
          <w:i w:val="0"/>
          <w:sz w:val="22"/>
        </w:rPr>
        <w:t>Nach dem Training berechnet der Decision Tree automatisch, wie stark jedes Merkmal zu seinen Entscheidungen beigetragen hat (alle Werte zusammen ergeben 100 %). Das ist eine direkte Rückkopplung zur Analyse aus Kapitel 3: Stuft das Modell dieselben Merkmale als wichtig ein, die auch statistisch herausstachen, stärkt das die Glaubwürdigkeit des Ergebnisses.</w:t>
      </w:r>
    </w:p>
    <w:p>
      <w:pPr>
        <w:spacing w:before="120" w:after="200"/>
        <w:jc w:val="center"/>
      </w:pPr>
      <w:r>
        <w:drawing>
          <wp:inline xmlns:a="http://schemas.openxmlformats.org/drawingml/2006/main" xmlns:pic="http://schemas.openxmlformats.org/drawingml/2006/picture">
            <wp:extent cx="5580000" cy="3188571"/>
            <wp:docPr id="12" name="Picture 12"/>
            <wp:cNvGraphicFramePr>
              <a:graphicFrameLocks noChangeAspect="1"/>
            </wp:cNvGraphicFramePr>
            <a:graphic>
              <a:graphicData uri="http://schemas.openxmlformats.org/drawingml/2006/picture">
                <pic:pic>
                  <pic:nvPicPr>
                    <pic:cNvPr id="0" name="g13_feature_importance.png"/>
                    <pic:cNvPicPr/>
                  </pic:nvPicPr>
                  <pic:blipFill>
                    <a:blip r:embed="rId20"/>
                    <a:stretch>
                      <a:fillRect/>
                    </a:stretch>
                  </pic:blipFill>
                  <pic:spPr>
                    <a:xfrm>
                      <a:off x="0" y="0"/>
                      <a:ext cx="5580000" cy="3188571"/>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F497D" w:val="clear"/>
          </w:tcPr>
          <w:p>
            <w:r/>
            <w:r>
              <w:rPr>
                <w:b/>
                <w:color w:val="FFFFFF"/>
                <w:sz w:val="19"/>
              </w:rPr>
              <w:t>Feature</w:t>
            </w:r>
          </w:p>
        </w:tc>
        <w:tc>
          <w:tcPr>
            <w:tcW w:type="dxa" w:w="1701"/>
            <w:shd w:fill="1F497D" w:val="clear"/>
          </w:tcPr>
          <w:p>
            <w:r/>
            <w:r>
              <w:rPr>
                <w:b/>
                <w:color w:val="FFFFFF"/>
                <w:sz w:val="19"/>
              </w:rPr>
              <w:t>Importance</w:t>
            </w:r>
          </w:p>
        </w:tc>
        <w:tc>
          <w:tcPr>
            <w:tcW w:type="dxa" w:w="5669"/>
            <w:shd w:fill="1F497D" w:val="clear"/>
          </w:tcPr>
          <w:p>
            <w:r/>
            <w:r>
              <w:rPr>
                <w:b/>
                <w:color w:val="FFFFFF"/>
                <w:sz w:val="19"/>
              </w:rPr>
              <w:t>Bedeutung</w:t>
            </w:r>
          </w:p>
        </w:tc>
      </w:tr>
      <w:tr>
        <w:tc>
          <w:tcPr>
            <w:tcW w:type="dxa" w:w="2268"/>
          </w:tcPr>
          <w:p>
            <w:r/>
            <w:r>
              <w:rPr>
                <w:sz w:val="19"/>
              </w:rPr>
              <w:t>aerzte_pro_bett</w:t>
            </w:r>
          </w:p>
        </w:tc>
        <w:tc>
          <w:tcPr>
            <w:tcW w:type="dxa" w:w="1701"/>
          </w:tcPr>
          <w:p>
            <w:r/>
            <w:r>
              <w:rPr>
                <w:sz w:val="19"/>
              </w:rPr>
              <w:t>72,77 %</w:t>
            </w:r>
          </w:p>
        </w:tc>
        <w:tc>
          <w:tcPr>
            <w:tcW w:type="dxa" w:w="5669"/>
          </w:tcPr>
          <w:p>
            <w:r/>
            <w:r>
              <w:rPr>
                <w:sz w:val="19"/>
              </w:rPr>
              <w:t>Wichtigstes Merkmal — bestätigt den Befund aus Kapitel 3</w:t>
            </w:r>
          </w:p>
        </w:tc>
      </w:tr>
      <w:tr>
        <w:tc>
          <w:tcPr>
            <w:tcW w:type="dxa" w:w="2268"/>
            <w:shd w:fill="F2F2F2" w:val="clear"/>
          </w:tcPr>
          <w:p>
            <w:r/>
            <w:r>
              <w:rPr>
                <w:sz w:val="19"/>
              </w:rPr>
              <w:t>SO.Betten</w:t>
            </w:r>
          </w:p>
        </w:tc>
        <w:tc>
          <w:tcPr>
            <w:tcW w:type="dxa" w:w="1701"/>
            <w:shd w:fill="F2F2F2" w:val="clear"/>
          </w:tcPr>
          <w:p>
            <w:r/>
            <w:r>
              <w:rPr>
                <w:sz w:val="19"/>
              </w:rPr>
              <w:t>16,48 %</w:t>
            </w:r>
          </w:p>
        </w:tc>
        <w:tc>
          <w:tcPr>
            <w:tcW w:type="dxa" w:w="5669"/>
            <w:shd w:fill="F2F2F2" w:val="clear"/>
          </w:tcPr>
          <w:p>
            <w:r/>
            <w:r>
              <w:rPr>
                <w:sz w:val="19"/>
              </w:rPr>
              <w:t>Krankenhausgröße</w:t>
            </w:r>
          </w:p>
        </w:tc>
      </w:tr>
      <w:tr>
        <w:tc>
          <w:tcPr>
            <w:tcW w:type="dxa" w:w="2268"/>
          </w:tcPr>
          <w:p>
            <w:r/>
            <w:r>
              <w:rPr>
                <w:sz w:val="19"/>
              </w:rPr>
              <w:t>pflege_pro_bett</w:t>
            </w:r>
          </w:p>
        </w:tc>
        <w:tc>
          <w:tcPr>
            <w:tcW w:type="dxa" w:w="1701"/>
          </w:tcPr>
          <w:p>
            <w:r/>
            <w:r>
              <w:rPr>
                <w:sz w:val="19"/>
              </w:rPr>
              <w:t>10,75 %</w:t>
            </w:r>
          </w:p>
        </w:tc>
        <w:tc>
          <w:tcPr>
            <w:tcW w:type="dxa" w:w="5669"/>
          </w:tcPr>
          <w:p>
            <w:r/>
            <w:r>
              <w:rPr>
                <w:sz w:val="19"/>
              </w:rPr>
              <w:t>Zweites Personalstärke-Merkmal</w:t>
            </w:r>
          </w:p>
        </w:tc>
      </w:tr>
      <w:tr>
        <w:tc>
          <w:tcPr>
            <w:tcW w:type="dxa" w:w="2268"/>
            <w:shd w:fill="F2F2F2" w:val="clear"/>
          </w:tcPr>
          <w:p>
            <w:r/>
            <w:r>
              <w:rPr>
                <w:sz w:val="19"/>
              </w:rPr>
              <w:t>traeger_enc</w:t>
            </w:r>
          </w:p>
        </w:tc>
        <w:tc>
          <w:tcPr>
            <w:tcW w:type="dxa" w:w="1701"/>
            <w:shd w:fill="F2F2F2" w:val="clear"/>
          </w:tcPr>
          <w:p>
            <w:r/>
            <w:r>
              <w:rPr>
                <w:sz w:val="19"/>
              </w:rPr>
              <w:t>0,00 %</w:t>
            </w:r>
          </w:p>
        </w:tc>
        <w:tc>
          <w:tcPr>
            <w:tcW w:type="dxa" w:w="5669"/>
            <w:shd w:fill="F2F2F2" w:val="clear"/>
          </w:tcPr>
          <w:p>
            <w:r/>
            <w:r>
              <w:rPr>
                <w:sz w:val="19"/>
              </w:rPr>
              <w:t>Bei max_depth=3 nicht genutzt</w:t>
            </w:r>
          </w:p>
        </w:tc>
      </w:tr>
      <w:tr>
        <w:tc>
          <w:tcPr>
            <w:tcW w:type="dxa" w:w="2268"/>
          </w:tcPr>
          <w:p>
            <w:r/>
            <w:r>
              <w:rPr>
                <w:sz w:val="19"/>
              </w:rPr>
              <w:t>fortbildungsquote</w:t>
            </w:r>
          </w:p>
        </w:tc>
        <w:tc>
          <w:tcPr>
            <w:tcW w:type="dxa" w:w="1701"/>
          </w:tcPr>
          <w:p>
            <w:r/>
            <w:r>
              <w:rPr>
                <w:sz w:val="19"/>
              </w:rPr>
              <w:t>0,00 %</w:t>
            </w:r>
          </w:p>
        </w:tc>
        <w:tc>
          <w:tcPr>
            <w:tcW w:type="dxa" w:w="5669"/>
          </w:tcPr>
          <w:p>
            <w:r/>
            <w:r>
              <w:rPr>
                <w:sz w:val="19"/>
              </w:rPr>
              <w:t>Kein Einfluss</w:t>
            </w:r>
          </w:p>
        </w:tc>
      </w:tr>
      <w:tr>
        <w:tc>
          <w:tcPr>
            <w:tcW w:type="dxa" w:w="2268"/>
            <w:shd w:fill="F2F2F2" w:val="clear"/>
          </w:tcPr>
          <w:p>
            <w:r/>
            <w:r>
              <w:rPr>
                <w:sz w:val="19"/>
              </w:rPr>
              <w:t>SO.Uni</w:t>
            </w:r>
          </w:p>
        </w:tc>
        <w:tc>
          <w:tcPr>
            <w:tcW w:type="dxa" w:w="1701"/>
            <w:shd w:fill="F2F2F2" w:val="clear"/>
          </w:tcPr>
          <w:p>
            <w:r/>
            <w:r>
              <w:rPr>
                <w:sz w:val="19"/>
              </w:rPr>
              <w:t>0,00 %</w:t>
            </w:r>
          </w:p>
        </w:tc>
        <w:tc>
          <w:tcPr>
            <w:tcW w:type="dxa" w:w="5669"/>
            <w:shd w:fill="F2F2F2" w:val="clear"/>
          </w:tcPr>
          <w:p>
            <w:r/>
            <w:r>
              <w:rPr>
                <w:sz w:val="19"/>
              </w:rPr>
              <w:t>Kein Einfluss</w:t>
            </w:r>
          </w:p>
        </w:tc>
      </w:tr>
      <w:tr>
        <w:tc>
          <w:tcPr>
            <w:tcW w:type="dxa" w:w="2268"/>
          </w:tcPr>
          <w:p>
            <w:r/>
            <w:r>
              <w:rPr>
                <w:sz w:val="19"/>
              </w:rPr>
              <w:t>ist_konzern</w:t>
            </w:r>
          </w:p>
        </w:tc>
        <w:tc>
          <w:tcPr>
            <w:tcW w:type="dxa" w:w="1701"/>
          </w:tcPr>
          <w:p>
            <w:r/>
            <w:r>
              <w:rPr>
                <w:sz w:val="19"/>
              </w:rPr>
              <w:t>0,00 %</w:t>
            </w:r>
          </w:p>
        </w:tc>
        <w:tc>
          <w:tcPr>
            <w:tcW w:type="dxa" w:w="5669"/>
          </w:tcPr>
          <w:p>
            <w:r/>
            <w:r>
              <w:rPr>
                <w:sz w:val="19"/>
              </w:rPr>
              <w:t>Kein Einfluss</w:t>
            </w:r>
          </w:p>
        </w:tc>
      </w:tr>
    </w:tbl>
    <w:p>
      <w:pPr>
        <w:spacing w:after="160" w:line="276" w:lineRule="auto"/>
      </w:pPr>
      <w:r>
        <w:rPr>
          <w:b w:val="0"/>
          <w:i w:val="0"/>
          <w:sz w:val="22"/>
        </w:rPr>
        <w:t>traeger_enc trägt 0 % zur Vorhersage bei — passend dazu findet die ANOVA aus Kapitel 3 für die Trägerschaft keinen statistisch signifikanten Zusammenhang (F = 0,031, p = 0,969). Beide unabhängigen Methoden — Decision Tree und ANOVA — kommen also zum selben Schluss: Auf Ebene der stetigen Auffälligkeitsquote spielt die Trägerschaft keine messbare Rolle.</w:t>
      </w:r>
    </w:p>
    <w:p>
      <w:pPr>
        <w:pStyle w:val="Heading2"/>
        <w:spacing w:before="280" w:after="120"/>
      </w:pPr>
      <w:r>
        <w:rPr>
          <w:color w:val="1F497D"/>
          <w:sz w:val="30"/>
        </w:rPr>
        <w:t>4.5  R²-Metrik: Lineare Regression zum Vergleich</w:t>
      </w:r>
    </w:p>
    <w:p>
      <w:pPr>
        <w:spacing w:after="160" w:line="276" w:lineRule="auto"/>
      </w:pPr>
      <w:r>
        <w:rPr>
          <w:b w:val="0"/>
          <w:i w:val="0"/>
          <w:sz w:val="22"/>
        </w:rPr>
        <w:t>Parallel zum Decision Tree wurde eine lineare Regression auf denselben sieben Features trainiert — einmal auf die binäre Ziel-Variable, einmal auf die kontinuierliche auffaellig_quote. R² gibt an, wie viel Prozent der Unterschiede zwischen den Häusern durch die Merkmale erklärt werden: R²=1,0 wäre perfekte Erklärung, R²=0 bedeutet „genauso gut könnte man den Durchschnittswert vorhersagen“.</w:t>
      </w:r>
    </w:p>
    <w:tbl>
      <w:tblPr>
        <w:tblStyle w:val="TableGrid"/>
        <w:tblW w:type="auto" w:w="0"/>
        <w:jc w:val="center"/>
        <w:tblLook w:firstColumn="1" w:firstRow="1" w:lastColumn="0" w:lastRow="0" w:noHBand="0" w:noVBand="1" w:val="04A0"/>
      </w:tblPr>
      <w:tblGrid>
        <w:gridCol w:w="4844"/>
        <w:gridCol w:w="4844"/>
      </w:tblGrid>
      <w:tr>
        <w:tc>
          <w:tcPr>
            <w:tcW w:type="dxa" w:w="5102"/>
            <w:shd w:fill="1F497D" w:val="clear"/>
          </w:tcPr>
          <w:p>
            <w:r/>
            <w:r>
              <w:rPr>
                <w:b/>
                <w:color w:val="FFFFFF"/>
                <w:sz w:val="19"/>
              </w:rPr>
              <w:t>Ziel-Variable</w:t>
            </w:r>
          </w:p>
        </w:tc>
        <w:tc>
          <w:tcPr>
            <w:tcW w:type="dxa" w:w="3118"/>
            <w:shd w:fill="1F497D" w:val="clear"/>
          </w:tcPr>
          <w:p>
            <w:r/>
            <w:r>
              <w:rPr>
                <w:b/>
                <w:color w:val="FFFFFF"/>
                <w:sz w:val="19"/>
              </w:rPr>
              <w:t>R²-Wert</w:t>
            </w:r>
          </w:p>
        </w:tc>
      </w:tr>
      <w:tr>
        <w:tc>
          <w:tcPr>
            <w:tcW w:type="dxa" w:w="5102"/>
          </w:tcPr>
          <w:p>
            <w:r/>
            <w:r>
              <w:rPr>
                <w:sz w:val="19"/>
              </w:rPr>
              <w:t>hat_viele_Probleme (0/1)</w:t>
            </w:r>
          </w:p>
        </w:tc>
        <w:tc>
          <w:tcPr>
            <w:tcW w:type="dxa" w:w="3118"/>
          </w:tcPr>
          <w:p>
            <w:r/>
            <w:r>
              <w:rPr>
                <w:sz w:val="19"/>
              </w:rPr>
              <w:t>0,024</w:t>
            </w:r>
          </w:p>
        </w:tc>
      </w:tr>
      <w:tr>
        <w:tc>
          <w:tcPr>
            <w:tcW w:type="dxa" w:w="5102"/>
            <w:shd w:fill="F2F2F2" w:val="clear"/>
          </w:tcPr>
          <w:p>
            <w:r/>
            <w:r>
              <w:rPr>
                <w:sz w:val="19"/>
              </w:rPr>
              <w:t>auffaellig_quote (0–1, stetig)</w:t>
            </w:r>
          </w:p>
        </w:tc>
        <w:tc>
          <w:tcPr>
            <w:tcW w:type="dxa" w:w="3118"/>
            <w:shd w:fill="F2F2F2" w:val="clear"/>
          </w:tcPr>
          <w:p>
            <w:r/>
            <w:r>
              <w:rPr>
                <w:sz w:val="19"/>
              </w:rPr>
              <w:t>−0,007</w:t>
            </w:r>
          </w:p>
        </w:tc>
      </w:tr>
    </w:tbl>
    <w:p>
      <w:pPr>
        <w:spacing w:after="200" w:line="276" w:lineRule="auto"/>
      </w:pPr>
      <w:r>
        <w:rPr>
          <w:b/>
          <w:i w:val="0"/>
          <w:color w:val="A52A2A"/>
          <w:sz w:val="22"/>
        </w:rPr>
        <w:t xml:space="preserve">⚠️ Negatives R² — das zentrale Ergebnis dieses Kapitels: </w:t>
      </w:r>
      <w:r>
        <w:rPr>
          <w:b w:val="0"/>
          <w:i w:val="0"/>
          <w:color w:val="555555"/>
          <w:sz w:val="22"/>
        </w:rPr>
        <w:t>R² = −0,007 bedeutet: Die lineare Regression auf der stetigen Auffälligkeitsquote ist schlechter als der einfachste denkbare Vergleichswert — einfach für jedes Haus den Durchschnittswert aller Häuser vorherzusagen. Ein negatives R² ist möglich (anders als bei Accuracy gibt es hier keine Untergrenze bei 0) und bedeutet: Die sieben Strukturmerkmale liefern in einem linearen Modell keinen brauchbaren Erklärungsbeitrag für die Höhe der Auffälligkeitsquote.</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F497D" w:val="clear"/>
          </w:tcPr>
          <w:p>
            <w:r/>
            <w:r>
              <w:rPr>
                <w:b/>
                <w:color w:val="FFFFFF"/>
                <w:sz w:val="19"/>
              </w:rPr>
              <w:t>Feature</w:t>
            </w:r>
          </w:p>
        </w:tc>
        <w:tc>
          <w:tcPr>
            <w:tcW w:type="dxa" w:w="1984"/>
            <w:shd w:fill="1F497D" w:val="clear"/>
          </w:tcPr>
          <w:p>
            <w:r/>
            <w:r>
              <w:rPr>
                <w:b/>
                <w:color w:val="FFFFFF"/>
                <w:sz w:val="19"/>
              </w:rPr>
              <w:t>Koeffizient</w:t>
            </w:r>
          </w:p>
        </w:tc>
        <w:tc>
          <w:tcPr>
            <w:tcW w:type="dxa" w:w="5386"/>
            <w:shd w:fill="1F497D" w:val="clear"/>
          </w:tcPr>
          <w:p>
            <w:r/>
            <w:r>
              <w:rPr>
                <w:b/>
                <w:color w:val="FFFFFF"/>
                <w:sz w:val="19"/>
              </w:rPr>
              <w:t>Richtung</w:t>
            </w:r>
          </w:p>
        </w:tc>
      </w:tr>
      <w:tr>
        <w:tc>
          <w:tcPr>
            <w:tcW w:type="dxa" w:w="2268"/>
          </w:tcPr>
          <w:p>
            <w:r/>
            <w:r>
              <w:rPr>
                <w:sz w:val="19"/>
              </w:rPr>
              <w:t>aerzte_pro_bett</w:t>
            </w:r>
          </w:p>
        </w:tc>
        <w:tc>
          <w:tcPr>
            <w:tcW w:type="dxa" w:w="1984"/>
          </w:tcPr>
          <w:p>
            <w:r/>
            <w:r>
              <w:rPr>
                <w:sz w:val="19"/>
              </w:rPr>
              <w:t>−0,0487</w:t>
            </w:r>
          </w:p>
        </w:tc>
        <w:tc>
          <w:tcPr>
            <w:tcW w:type="dxa" w:w="5386"/>
          </w:tcPr>
          <w:p>
            <w:r/>
            <w:r>
              <w:rPr>
                <w:sz w:val="19"/>
              </w:rPr>
              <w:t>Mehr Ärzte → tendenziell niedrigere Quote</w:t>
            </w:r>
          </w:p>
        </w:tc>
      </w:tr>
      <w:tr>
        <w:tc>
          <w:tcPr>
            <w:tcW w:type="dxa" w:w="2268"/>
            <w:shd w:fill="F2F2F2" w:val="clear"/>
          </w:tcPr>
          <w:p>
            <w:r/>
            <w:r>
              <w:rPr>
                <w:sz w:val="19"/>
              </w:rPr>
              <w:t>pflege_pro_bett</w:t>
            </w:r>
          </w:p>
        </w:tc>
        <w:tc>
          <w:tcPr>
            <w:tcW w:type="dxa" w:w="1984"/>
            <w:shd w:fill="F2F2F2" w:val="clear"/>
          </w:tcPr>
          <w:p>
            <w:r/>
            <w:r>
              <w:rPr>
                <w:sz w:val="19"/>
              </w:rPr>
              <w:t>+0,0178</w:t>
            </w:r>
          </w:p>
        </w:tc>
        <w:tc>
          <w:tcPr>
            <w:tcW w:type="dxa" w:w="5386"/>
            <w:shd w:fill="F2F2F2" w:val="clear"/>
          </w:tcPr>
          <w:p>
            <w:r/>
            <w:r>
              <w:rPr>
                <w:sz w:val="19"/>
              </w:rPr>
              <w:t>Mehr Pflegekräfte → tendenziell höhere Quote</w:t>
            </w:r>
          </w:p>
        </w:tc>
      </w:tr>
      <w:tr>
        <w:tc>
          <w:tcPr>
            <w:tcW w:type="dxa" w:w="2268"/>
          </w:tcPr>
          <w:p>
            <w:r/>
            <w:r>
              <w:rPr>
                <w:sz w:val="19"/>
              </w:rPr>
              <w:t>SO.Uni</w:t>
            </w:r>
          </w:p>
        </w:tc>
        <w:tc>
          <w:tcPr>
            <w:tcW w:type="dxa" w:w="1984"/>
          </w:tcPr>
          <w:p>
            <w:r/>
            <w:r>
              <w:rPr>
                <w:sz w:val="19"/>
              </w:rPr>
              <w:t>+0,0126</w:t>
            </w:r>
          </w:p>
        </w:tc>
        <w:tc>
          <w:tcPr>
            <w:tcW w:type="dxa" w:w="5386"/>
          </w:tcPr>
          <w:p>
            <w:r/>
            <w:r>
              <w:rPr>
                <w:sz w:val="19"/>
              </w:rPr>
              <w:t>Uni-Klinik → minimal höhere Quote</w:t>
            </w:r>
          </w:p>
        </w:tc>
      </w:tr>
      <w:tr>
        <w:tc>
          <w:tcPr>
            <w:tcW w:type="dxa" w:w="2268"/>
            <w:shd w:fill="F2F2F2" w:val="clear"/>
          </w:tcPr>
          <w:p>
            <w:r/>
            <w:r>
              <w:rPr>
                <w:sz w:val="19"/>
              </w:rPr>
              <w:t>fortbildungsquote</w:t>
            </w:r>
          </w:p>
        </w:tc>
        <w:tc>
          <w:tcPr>
            <w:tcW w:type="dxa" w:w="1984"/>
            <w:shd w:fill="F2F2F2" w:val="clear"/>
          </w:tcPr>
          <w:p>
            <w:r/>
            <w:r>
              <w:rPr>
                <w:sz w:val="19"/>
              </w:rPr>
              <w:t>+0,0111</w:t>
            </w:r>
          </w:p>
        </w:tc>
        <w:tc>
          <w:tcPr>
            <w:tcW w:type="dxa" w:w="5386"/>
            <w:shd w:fill="F2F2F2" w:val="clear"/>
          </w:tcPr>
          <w:p>
            <w:r/>
            <w:r>
              <w:rPr>
                <w:sz w:val="19"/>
              </w:rPr>
              <w:t>Mehr Fortbildung → minimal höhere Quote</w:t>
            </w:r>
          </w:p>
        </w:tc>
      </w:tr>
      <w:tr>
        <w:tc>
          <w:tcPr>
            <w:tcW w:type="dxa" w:w="2268"/>
          </w:tcPr>
          <w:p>
            <w:r/>
            <w:r>
              <w:rPr>
                <w:sz w:val="19"/>
              </w:rPr>
              <w:t>ist_konzern</w:t>
            </w:r>
          </w:p>
        </w:tc>
        <w:tc>
          <w:tcPr>
            <w:tcW w:type="dxa" w:w="1984"/>
          </w:tcPr>
          <w:p>
            <w:r/>
            <w:r>
              <w:rPr>
                <w:sz w:val="19"/>
              </w:rPr>
              <w:t>+0,0053</w:t>
            </w:r>
          </w:p>
        </w:tc>
        <w:tc>
          <w:tcPr>
            <w:tcW w:type="dxa" w:w="5386"/>
          </w:tcPr>
          <w:p>
            <w:r/>
            <w:r>
              <w:rPr>
                <w:sz w:val="19"/>
              </w:rPr>
              <w:t>Praktisch kein Effekt</w:t>
            </w:r>
          </w:p>
        </w:tc>
      </w:tr>
      <w:tr>
        <w:tc>
          <w:tcPr>
            <w:tcW w:type="dxa" w:w="2268"/>
            <w:shd w:fill="F2F2F2" w:val="clear"/>
          </w:tcPr>
          <w:p>
            <w:r/>
            <w:r>
              <w:rPr>
                <w:sz w:val="19"/>
              </w:rPr>
              <w:t>traeger_enc</w:t>
            </w:r>
          </w:p>
        </w:tc>
        <w:tc>
          <w:tcPr>
            <w:tcW w:type="dxa" w:w="1984"/>
            <w:shd w:fill="F2F2F2" w:val="clear"/>
          </w:tcPr>
          <w:p>
            <w:r/>
            <w:r>
              <w:rPr>
                <w:sz w:val="19"/>
              </w:rPr>
              <w:t>+0,0028</w:t>
            </w:r>
          </w:p>
        </w:tc>
        <w:tc>
          <w:tcPr>
            <w:tcW w:type="dxa" w:w="5386"/>
            <w:shd w:fill="F2F2F2" w:val="clear"/>
          </w:tcPr>
          <w:p>
            <w:r/>
            <w:r>
              <w:rPr>
                <w:sz w:val="19"/>
              </w:rPr>
              <w:t>Praktisch kein Effekt</w:t>
            </w:r>
          </w:p>
        </w:tc>
      </w:tr>
      <w:tr>
        <w:tc>
          <w:tcPr>
            <w:tcW w:type="dxa" w:w="2268"/>
          </w:tcPr>
          <w:p>
            <w:r/>
            <w:r>
              <w:rPr>
                <w:sz w:val="19"/>
              </w:rPr>
              <w:t>SO.Betten</w:t>
            </w:r>
          </w:p>
        </w:tc>
        <w:tc>
          <w:tcPr>
            <w:tcW w:type="dxa" w:w="1984"/>
          </w:tcPr>
          <w:p>
            <w:r/>
            <w:r>
              <w:rPr>
                <w:sz w:val="19"/>
              </w:rPr>
              <w:t>−0,00001</w:t>
            </w:r>
          </w:p>
        </w:tc>
        <w:tc>
          <w:tcPr>
            <w:tcW w:type="dxa" w:w="5386"/>
          </w:tcPr>
          <w:p>
            <w:r/>
            <w:r>
              <w:rPr>
                <w:sz w:val="19"/>
              </w:rPr>
              <w:t>Praktisch kein Effekt</w:t>
            </w:r>
          </w:p>
        </w:tc>
      </w:tr>
    </w:tbl>
    <w:p>
      <w:pPr>
        <w:spacing w:after="160" w:line="276" w:lineRule="auto"/>
      </w:pPr>
      <w:r>
        <w:rPr>
          <w:b w:val="0"/>
          <w:i w:val="0"/>
          <w:sz w:val="22"/>
        </w:rPr>
        <w:t>Bei einem R² nahe 0 sind einzelne Vorzeichen nicht verlässlich interpretierbar, da das Modell insgesamt keinen belastbaren linearen Zusammenhang gefunden hat — die Koeffizienten dienen hier eher der Vollständigkeit als einer verlässlichen inhaltlichen Aussage.</w:t>
      </w:r>
    </w:p>
    <w:p>
      <w:pPr>
        <w:spacing w:after="200" w:line="276" w:lineRule="auto"/>
      </w:pPr>
      <w:r>
        <w:rPr>
          <w:b/>
          <w:i w:val="0"/>
          <w:color w:val="555555"/>
          <w:sz w:val="22"/>
        </w:rPr>
        <w:t xml:space="preserve">Kein Zusammenhang ist ein valides Ergebnis: </w:t>
      </w:r>
      <w:r>
        <w:rPr>
          <w:b w:val="0"/>
          <w:i w:val="0"/>
          <w:color w:val="555555"/>
          <w:sz w:val="22"/>
        </w:rPr>
        <w:t>Ein negatives R² bedeutet nicht, dass die Analyse gescheitert ist — es bedeutet, dass die verfügbaren Strukturdaten die Höhe der Auffälligkeitsquote linear nicht vorhersagen können. Die Ursachen für eine hohe oder niedrige Auffälligkeitsquote liegen offenbar überwiegend außerhalb der hier erfassten Strukturmerkmale.</w:t>
      </w:r>
    </w:p>
    <w:p>
      <w:pPr>
        <w:pStyle w:val="Heading2"/>
        <w:spacing w:before="280" w:after="120"/>
      </w:pPr>
      <w:r>
        <w:rPr>
          <w:color w:val="1F497D"/>
          <w:sz w:val="30"/>
        </w:rPr>
        <w:t>4.6  Modell speichern und Beispielvorhersage</w:t>
      </w:r>
    </w:p>
    <w:p>
      <w:pPr>
        <w:spacing w:after="160" w:line="276" w:lineRule="auto"/>
      </w:pPr>
      <w:r>
        <w:rPr>
          <w:b w:val="0"/>
          <w:i w:val="0"/>
          <w:sz w:val="22"/>
        </w:rPr>
        <w:t>Das trainierte KrankenhausModell-Objekt wird mit joblib.dump() als Data/modell_krankenhaus.pkl gespeichert (joblib ist gegenüber pickle für NumPy-Arrays und sklearn-Objekte effizienter). Für ein Beispiel-Krankenhaus mit 300 Betten, keiner Uni-Anbindung, 80 % Fortbildungsquote, 0,4 Ärzten pro Bett, 1,0 Pflegekräften pro Bett, ohne Konzernzugehörigkeit und privater Trägerschaft sagt das Modell „Viele Probleme“ vorher, mit einer Wahrscheinlichkeit von 60,09 % (gegenüber 39,91 % für „Wenige Probleme“). Das geladene Modell liefert sowohl die binäre Vorhersage als auch Wahrscheinlichkeiten für beide Klassen — Grundlage für die Einzelvorhersage im Streamlit-Dashboard.</w:t>
      </w:r>
    </w:p>
    <w:p>
      <w:pPr>
        <w:pStyle w:val="Heading2"/>
        <w:spacing w:before="280" w:after="120"/>
      </w:pPr>
      <w:r>
        <w:rPr>
          <w:color w:val="1F497D"/>
          <w:sz w:val="30"/>
        </w:rPr>
        <w:t>4.7  Gesamtfazit Baustein 4</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t>Metrik</w:t>
            </w:r>
          </w:p>
        </w:tc>
        <w:tc>
          <w:tcPr>
            <w:tcW w:type="dxa" w:w="2551"/>
            <w:shd w:fill="1F497D" w:val="clear"/>
          </w:tcPr>
          <w:p>
            <w:r/>
            <w:r>
              <w:rPr>
                <w:b/>
                <w:color w:val="FFFFFF"/>
                <w:sz w:val="19"/>
              </w:rPr>
              <w:t>Wert</w:t>
            </w:r>
          </w:p>
        </w:tc>
        <w:tc>
          <w:tcPr>
            <w:tcW w:type="dxa" w:w="5102"/>
            <w:shd w:fill="1F497D" w:val="clear"/>
          </w:tcPr>
          <w:p>
            <w:r/>
            <w:r>
              <w:rPr>
                <w:b/>
                <w:color w:val="FFFFFF"/>
                <w:sz w:val="19"/>
              </w:rPr>
              <w:t>Einordnung</w:t>
            </w:r>
          </w:p>
        </w:tc>
      </w:tr>
      <w:tr>
        <w:tc>
          <w:tcPr>
            <w:tcW w:type="dxa" w:w="1984"/>
          </w:tcPr>
          <w:p>
            <w:r/>
            <w:r>
              <w:rPr>
                <w:sz w:val="19"/>
              </w:rPr>
              <w:t>Accuracy</w:t>
            </w:r>
          </w:p>
        </w:tc>
        <w:tc>
          <w:tcPr>
            <w:tcW w:type="dxa" w:w="2551"/>
          </w:tcPr>
          <w:p>
            <w:r/>
            <w:r>
              <w:rPr>
                <w:sz w:val="19"/>
              </w:rPr>
              <w:t>57,0 %</w:t>
            </w:r>
          </w:p>
        </w:tc>
        <w:tc>
          <w:tcPr>
            <w:tcW w:type="dxa" w:w="5102"/>
          </w:tcPr>
          <w:p>
            <w:r/>
            <w:r>
              <w:rPr>
                <w:sz w:val="19"/>
              </w:rPr>
              <w:t>+6,6 Prozentpunkte über Basislinie (50,4 %)</w:t>
            </w:r>
          </w:p>
        </w:tc>
      </w:tr>
      <w:tr>
        <w:tc>
          <w:tcPr>
            <w:tcW w:type="dxa" w:w="1984"/>
            <w:shd w:fill="F2F2F2" w:val="clear"/>
          </w:tcPr>
          <w:p>
            <w:r/>
            <w:r>
              <w:rPr>
                <w:sz w:val="19"/>
              </w:rPr>
              <w:t>Precision</w:t>
            </w:r>
          </w:p>
        </w:tc>
        <w:tc>
          <w:tcPr>
            <w:tcW w:type="dxa" w:w="2551"/>
            <w:shd w:fill="F2F2F2" w:val="clear"/>
          </w:tcPr>
          <w:p>
            <w:r/>
            <w:r>
              <w:rPr>
                <w:sz w:val="19"/>
              </w:rPr>
              <w:t>55,2 %</w:t>
            </w:r>
          </w:p>
        </w:tc>
        <w:tc>
          <w:tcPr>
            <w:tcW w:type="dxa" w:w="5102"/>
            <w:shd w:fill="F2F2F2" w:val="clear"/>
          </w:tcPr>
          <w:p>
            <w:r/>
            <w:r>
              <w:rPr>
                <w:sz w:val="19"/>
              </w:rPr>
              <w:t>Vorhersage „viele Probleme“ stimmt etwas öfter als der Zufall</w:t>
            </w:r>
          </w:p>
        </w:tc>
      </w:tr>
      <w:tr>
        <w:tc>
          <w:tcPr>
            <w:tcW w:type="dxa" w:w="1984"/>
          </w:tcPr>
          <w:p>
            <w:r/>
            <w:r>
              <w:rPr>
                <w:sz w:val="19"/>
              </w:rPr>
              <w:t>Recall</w:t>
            </w:r>
          </w:p>
        </w:tc>
        <w:tc>
          <w:tcPr>
            <w:tcW w:type="dxa" w:w="2551"/>
          </w:tcPr>
          <w:p>
            <w:r/>
            <w:r>
              <w:rPr>
                <w:sz w:val="19"/>
              </w:rPr>
              <w:t>70,2 %</w:t>
            </w:r>
          </w:p>
        </w:tc>
        <w:tc>
          <w:tcPr>
            <w:tcW w:type="dxa" w:w="5102"/>
          </w:tcPr>
          <w:p>
            <w:r/>
            <w:r>
              <w:rPr>
                <w:sz w:val="19"/>
              </w:rPr>
              <w:t>Die meisten echten Fälle werden erkannt</w:t>
            </w:r>
          </w:p>
        </w:tc>
      </w:tr>
      <w:tr>
        <w:tc>
          <w:tcPr>
            <w:tcW w:type="dxa" w:w="1984"/>
            <w:shd w:fill="F2F2F2" w:val="clear"/>
          </w:tcPr>
          <w:p>
            <w:r/>
            <w:r>
              <w:rPr>
                <w:sz w:val="19"/>
              </w:rPr>
              <w:t>F1-Score</w:t>
            </w:r>
          </w:p>
        </w:tc>
        <w:tc>
          <w:tcPr>
            <w:tcW w:type="dxa" w:w="2551"/>
            <w:shd w:fill="F2F2F2" w:val="clear"/>
          </w:tcPr>
          <w:p>
            <w:r/>
            <w:r>
              <w:rPr>
                <w:sz w:val="19"/>
              </w:rPr>
              <w:t>61,8 %</w:t>
            </w:r>
          </w:p>
        </w:tc>
        <w:tc>
          <w:tcPr>
            <w:tcW w:type="dxa" w:w="5102"/>
            <w:shd w:fill="F2F2F2" w:val="clear"/>
          </w:tcPr>
          <w:p>
            <w:r/>
            <w:r>
              <w:rPr>
                <w:sz w:val="19"/>
              </w:rPr>
              <w:t>Ausgewogener Gesamtwert</w:t>
            </w:r>
          </w:p>
        </w:tc>
      </w:tr>
      <w:tr>
        <w:tc>
          <w:tcPr>
            <w:tcW w:type="dxa" w:w="1984"/>
          </w:tcPr>
          <w:p>
            <w:r/>
            <w:r>
              <w:rPr>
                <w:sz w:val="19"/>
              </w:rPr>
              <w:t>CV-Accuracy</w:t>
            </w:r>
          </w:p>
        </w:tc>
        <w:tc>
          <w:tcPr>
            <w:tcW w:type="dxa" w:w="2551"/>
          </w:tcPr>
          <w:p>
            <w:r/>
            <w:r>
              <w:rPr>
                <w:sz w:val="19"/>
              </w:rPr>
              <w:t>61,6 % ± 3,7 %</w:t>
            </w:r>
          </w:p>
        </w:tc>
        <w:tc>
          <w:tcPr>
            <w:tcW w:type="dxa" w:w="5102"/>
          </w:tcPr>
          <w:p>
            <w:r/>
            <w:r>
              <w:rPr>
                <w:sz w:val="19"/>
              </w:rPr>
              <w:t>Stabil, kein Overfitting</w:t>
            </w:r>
          </w:p>
        </w:tc>
      </w:tr>
      <w:tr>
        <w:tc>
          <w:tcPr>
            <w:tcW w:type="dxa" w:w="1984"/>
            <w:shd w:fill="F2F2F2" w:val="clear"/>
          </w:tcPr>
          <w:p>
            <w:r/>
            <w:r>
              <w:rPr>
                <w:sz w:val="19"/>
              </w:rPr>
              <w:t>R²</w:t>
            </w:r>
          </w:p>
        </w:tc>
        <w:tc>
          <w:tcPr>
            <w:tcW w:type="dxa" w:w="2551"/>
            <w:shd w:fill="F2F2F2" w:val="clear"/>
          </w:tcPr>
          <w:p>
            <w:r/>
            <w:r>
              <w:rPr>
                <w:sz w:val="19"/>
              </w:rPr>
              <w:t>−0,7 %</w:t>
            </w:r>
          </w:p>
        </w:tc>
        <w:tc>
          <w:tcPr>
            <w:tcW w:type="dxa" w:w="5102"/>
            <w:shd w:fill="F2F2F2" w:val="clear"/>
          </w:tcPr>
          <w:p>
            <w:r/>
            <w:r>
              <w:rPr>
                <w:sz w:val="19"/>
              </w:rPr>
              <w:t>Strukturmerkmale erklären die Quote linear nicht</w:t>
            </w:r>
          </w:p>
        </w:tc>
      </w:tr>
      <w:tr>
        <w:tc>
          <w:tcPr>
            <w:tcW w:type="dxa" w:w="1984"/>
          </w:tcPr>
          <w:p>
            <w:r/>
            <w:r>
              <w:rPr>
                <w:sz w:val="19"/>
              </w:rPr>
              <w:t>Wichtigstes Merkmal</w:t>
            </w:r>
          </w:p>
        </w:tc>
        <w:tc>
          <w:tcPr>
            <w:tcW w:type="dxa" w:w="2551"/>
          </w:tcPr>
          <w:p>
            <w:r/>
            <w:r>
              <w:rPr>
                <w:sz w:val="19"/>
              </w:rPr>
              <w:t>aerzte_pro_bett</w:t>
            </w:r>
          </w:p>
        </w:tc>
        <w:tc>
          <w:tcPr>
            <w:tcW w:type="dxa" w:w="5102"/>
          </w:tcPr>
          <w:p>
            <w:r/>
            <w:r>
              <w:rPr>
                <w:sz w:val="19"/>
              </w:rPr>
              <w:t>72,8 % Feature Importance</w:t>
            </w:r>
          </w:p>
        </w:tc>
      </w:tr>
    </w:tbl>
    <w:p>
      <w:pPr>
        <w:spacing w:after="160" w:line="276" w:lineRule="auto"/>
      </w:pPr>
      <w:r>
        <w:rPr>
          <w:b w:val="0"/>
          <w:i w:val="0"/>
          <w:sz w:val="22"/>
        </w:rPr>
        <w:t>Wichtigste Erkenntnisse:</w:t>
      </w:r>
    </w:p>
    <w:p>
      <w:pPr>
        <w:pStyle w:val="ListBullet"/>
        <w:spacing w:after="80"/>
      </w:pPr>
      <w:r>
        <w:rPr>
          <w:sz w:val="22"/>
        </w:rPr>
        <w:t>Der Baum übertrifft die Basislinie nur knapp (57,0 % vs. 50,4 %) — besser als zufälliges Raten, aber weit von einer zuverlässigen Vorhersage entfernt.</w:t>
      </w:r>
    </w:p>
    <w:p>
      <w:pPr>
        <w:pStyle w:val="ListBullet"/>
        <w:spacing w:after="80"/>
      </w:pPr>
      <w:r>
        <w:rPr>
          <w:sz w:val="22"/>
        </w:rPr>
        <w:t>aerzte_pro_bett ist mit großem Abstand das wichtigste Merkmal (72,8 %) — konsistent mit dem T-Test aus Kapitel 3 (p &lt; 0,0001).</w:t>
      </w:r>
    </w:p>
    <w:p>
      <w:pPr>
        <w:pStyle w:val="ListBullet"/>
        <w:spacing w:after="80"/>
      </w:pPr>
      <w:r>
        <w:rPr>
          <w:sz w:val="22"/>
        </w:rPr>
        <w:t>Trägerschaft spielt weder im Baum noch in der ANOVA aus Kapitel 3 eine Rolle — zwei unabhängige Methoden kommen zum selben Schluss.</w:t>
      </w:r>
    </w:p>
    <w:p>
      <w:pPr>
        <w:pStyle w:val="ListBullet"/>
        <w:spacing w:after="80"/>
      </w:pPr>
      <w:r>
        <w:rPr>
          <w:sz w:val="22"/>
        </w:rPr>
        <w:t>Negatives R² ist das zentrale Ergebnis: Krankenhausstruktur allein kann die Höhe der Auffälligkeitsquote linear nicht vorhersagen — eine relevante, eher ernüchternde Aussage für die Projektfrage.</w:t>
      </w:r>
    </w:p>
    <w:p>
      <w:pPr>
        <w:pStyle w:val="ListBullet"/>
        <w:spacing w:after="80"/>
      </w:pPr>
      <w:r>
        <w:rPr>
          <w:sz w:val="22"/>
        </w:rPr>
        <w:t>Das Modell ist einsatzbereit: Data/modell_krankenhaus.pkl wird direkt vom Streamlit-Dashboard für Live-Einzelvorhersagen geladen.</w:t>
      </w:r>
    </w:p>
    <w:p>
      <w:r>
        <w:br w:type="page"/>
      </w:r>
    </w:p>
    <w:p>
      <w:pPr>
        <w:pStyle w:val="Heading1"/>
        <w:spacing w:before="360" w:after="200"/>
      </w:pPr>
      <w:r>
        <w:rPr>
          <w:color w:val="1F497D"/>
          <w:sz w:val="40"/>
        </w:rPr>
        <w:t>5  Dashboard</w:t>
      </w:r>
    </w:p>
    <w:p>
      <w:pPr>
        <w:spacing w:after="160" w:line="276" w:lineRule="auto"/>
      </w:pPr>
      <w:r>
        <w:rPr>
          <w:b w:val="0"/>
          <w:i w:val="0"/>
          <w:sz w:val="22"/>
        </w:rPr>
        <w:t>Dieses Kapitel beschreibt Aufbau und Technologie sowie alle vier Seiten des Dashboards (Gesamtüberblick, Einflussfaktoren, Häuser vergleichen, Qualitäts-Vorhersage). Eine vollständige technische Referenz inklusive Code-Beispielen steht zusätzlich in Doku/MD/05_Dashboard.md.</w:t>
      </w:r>
    </w:p>
    <w:p>
      <w:pPr>
        <w:pStyle w:val="Heading2"/>
        <w:spacing w:before="280" w:after="120"/>
      </w:pPr>
      <w:r>
        <w:rPr>
          <w:color w:val="1F497D"/>
          <w:sz w:val="30"/>
        </w:rPr>
        <w:t>5.1  Aufbau und Technologie</w:t>
      </w:r>
    </w:p>
    <w:p>
      <w:pPr>
        <w:spacing w:after="160" w:line="276" w:lineRule="auto"/>
      </w:pPr>
      <w:r>
        <w:rPr>
          <w:b w:val="0"/>
          <w:i w:val="0"/>
          <w:sz w:val="22"/>
        </w:rPr>
        <w:t>Das Dashboard ist eine Streamlit-App (Dashboard/streamlit_dashboard.py) mit Plotly für alle Grafiken, live auf Streamlit Cloud deployt. Datengrundlage ist Data/analysetabelle.csv, für Live-Vorhersagen wird das in Kapitel 4 trainierte Modell (Data/modell_krankenhaus.pkl) direkt geladen.</w:t>
      </w:r>
    </w:p>
    <w:p>
      <w:pPr>
        <w:spacing w:after="160" w:line="276" w:lineRule="auto"/>
      </w:pPr>
      <w:r>
        <w:rPr>
          <w:b w:val="0"/>
          <w:i w:val="0"/>
          <w:sz w:val="22"/>
        </w:rPr>
        <w:t>Der Code ist bewusst auf drei Dateien mit klar getrennter Verantwortung aufgeteilt: streamlit_dashboard.py (UI-Layout, Widgets), dashboard_utils.py (Datenlogik, Berechnungen, Plot-Erstellung — ohne jeden Streamlit-Aufruf) und model/modell_klasse.py (die KrankenhausModell-Klasse, identisch genutzt beim Training in Kapitel 4 und beim Laden im Dashboard). Diese Trennung macht dashboard_utils.py eigenständig testbar, ohne den Streamlit-Server zu starten.</w:t>
      </w:r>
    </w:p>
    <w:p>
      <w:pPr>
        <w:spacing w:after="160" w:line="276" w:lineRule="auto"/>
      </w:pPr>
      <w:r>
        <w:rPr>
          <w:b w:val="0"/>
          <w:i w:val="0"/>
          <w:sz w:val="22"/>
        </w:rPr>
        <w:t>Die vier Seiten (Gesamtüberblick, Einflussfaktoren, Häuser vergleichen, Qualitäts-Vorhersage) hängen an einer einzigen if/elif-Verzweigung; welche Seite aktiv ist, hält die URL selbst fest (st.query_params), damit ein Browser-Reload nicht auf die Startseite zurückspringt. Die Navigation besteht aus echten Streamlit-Buttons statt HTML-Links — ein früherer Ansatz mit &lt;a href="?seite=..."&gt; öffnete jeden Klick in einem neuen Browser-Tab, weil Streamlits Markdown-Renderer bei jedem &lt;a href&gt;-Tag automatisch target="_blank" injiziert. Das ist eine Plattform-Eigenheit von Streamlit, nicht per HTML-Attribut abschaltbar — st.button() mit einem on_click-Callback, der st.query_params setzt, behebt es vollständig.</w:t>
      </w:r>
    </w:p>
    <w:p>
      <w:pPr>
        <w:pStyle w:val="Heading2"/>
        <w:spacing w:before="280" w:after="120"/>
      </w:pPr>
      <w:r>
        <w:rPr>
          <w:color w:val="1F497D"/>
          <w:sz w:val="30"/>
        </w:rPr>
        <w:t>5.2  Die Kennzahlen (KPIs) der Übersichtsseite</w:t>
      </w:r>
    </w:p>
    <w:p>
      <w:pPr>
        <w:spacing w:after="160" w:line="276" w:lineRule="auto"/>
      </w:pPr>
      <w:r>
        <w:rPr>
          <w:b w:val="0"/>
          <w:i w:val="0"/>
          <w:sz w:val="22"/>
        </w:rPr>
        <w:t>Die Startseite „Gesamtüberblick“ zeigt fünf Kennzahlen in einer Kachelreihe, berechnet über den aktuell gefilterten Datensatz (Bundesland/Trägerschaft/Klinik-Typ optional einschränkbar).</w:t>
      </w:r>
    </w:p>
    <w:tbl>
      <w:tblPr>
        <w:tblStyle w:val="TableGrid"/>
        <w:tblW w:type="auto" w:w="0"/>
        <w:jc w:val="center"/>
        <w:tblLook w:firstColumn="1" w:firstRow="1" w:lastColumn="0" w:lastRow="0" w:noHBand="0" w:noVBand="1" w:val="04A0"/>
      </w:tblPr>
      <w:tblGrid>
        <w:gridCol w:w="3230"/>
        <w:gridCol w:w="3230"/>
        <w:gridCol w:w="3230"/>
      </w:tblGrid>
      <w:tr>
        <w:tc>
          <w:tcPr>
            <w:tcW w:type="dxa" w:w="3118"/>
            <w:shd w:fill="1F497D" w:val="clear"/>
          </w:tcPr>
          <w:p>
            <w:r/>
            <w:r>
              <w:rPr>
                <w:b/>
                <w:color w:val="FFFFFF"/>
                <w:sz w:val="19"/>
              </w:rPr>
              <w:t>Kennzahl</w:t>
            </w:r>
          </w:p>
        </w:tc>
        <w:tc>
          <w:tcPr>
            <w:tcW w:type="dxa" w:w="3118"/>
            <w:shd w:fill="1F497D" w:val="clear"/>
          </w:tcPr>
          <w:p>
            <w:r/>
            <w:r>
              <w:rPr>
                <w:b/>
                <w:color w:val="FFFFFF"/>
                <w:sz w:val="19"/>
              </w:rPr>
              <w:t>Formel</w:t>
            </w:r>
          </w:p>
        </w:tc>
        <w:tc>
          <w:tcPr>
            <w:tcW w:type="dxa" w:w="1984"/>
            <w:shd w:fill="1F497D" w:val="clear"/>
          </w:tcPr>
          <w:p>
            <w:r/>
            <w:r>
              <w:rPr>
                <w:b/>
                <w:color w:val="FFFFFF"/>
                <w:sz w:val="19"/>
              </w:rPr>
              <w:t>Aktueller Wert (ungefiltert)</w:t>
            </w:r>
          </w:p>
        </w:tc>
      </w:tr>
      <w:tr>
        <w:tc>
          <w:tcPr>
            <w:tcW w:type="dxa" w:w="3118"/>
          </w:tcPr>
          <w:p>
            <w:r/>
            <w:r>
              <w:rPr>
                <w:sz w:val="19"/>
              </w:rPr>
              <w:t>Krankenhäuser gesamt</w:t>
            </w:r>
          </w:p>
        </w:tc>
        <w:tc>
          <w:tcPr>
            <w:tcW w:type="dxa" w:w="3118"/>
          </w:tcPr>
          <w:p>
            <w:r/>
            <w:r>
              <w:rPr>
                <w:sz w:val="19"/>
              </w:rPr>
              <w:t>len(df)</w:t>
            </w:r>
          </w:p>
        </w:tc>
        <w:tc>
          <w:tcPr>
            <w:tcW w:type="dxa" w:w="1984"/>
          </w:tcPr>
          <w:p>
            <w:r/>
            <w:r>
              <w:rPr>
                <w:sz w:val="19"/>
              </w:rPr>
              <w:t>1.821</w:t>
            </w:r>
          </w:p>
        </w:tc>
      </w:tr>
      <w:tr>
        <w:tc>
          <w:tcPr>
            <w:tcW w:type="dxa" w:w="3118"/>
            <w:shd w:fill="F2F2F2" w:val="clear"/>
          </w:tcPr>
          <w:p>
            <w:r/>
            <w:r>
              <w:rPr>
                <w:sz w:val="19"/>
              </w:rPr>
              <w:t>Anteil mit vielen Qualitätsproblemen</w:t>
            </w:r>
          </w:p>
        </w:tc>
        <w:tc>
          <w:tcPr>
            <w:tcW w:type="dxa" w:w="3118"/>
            <w:shd w:fill="F2F2F2" w:val="clear"/>
          </w:tcPr>
          <w:p>
            <w:r/>
            <w:r>
              <w:rPr>
                <w:sz w:val="19"/>
              </w:rPr>
              <w:t>hat_viele_Probleme.mean()</w:t>
            </w:r>
          </w:p>
        </w:tc>
        <w:tc>
          <w:tcPr>
            <w:tcW w:type="dxa" w:w="1984"/>
            <w:shd w:fill="F2F2F2" w:val="clear"/>
          </w:tcPr>
          <w:p>
            <w:r/>
            <w:r>
              <w:rPr>
                <w:sz w:val="19"/>
              </w:rPr>
              <w:t>49,7 %</w:t>
            </w:r>
          </w:p>
        </w:tc>
      </w:tr>
      <w:tr>
        <w:tc>
          <w:tcPr>
            <w:tcW w:type="dxa" w:w="3118"/>
          </w:tcPr>
          <w:p>
            <w:r/>
            <w:r>
              <w:rPr>
                <w:sz w:val="19"/>
              </w:rPr>
              <w:t>Ø auffällig-Quote pro Haus</w:t>
            </w:r>
          </w:p>
        </w:tc>
        <w:tc>
          <w:tcPr>
            <w:tcW w:type="dxa" w:w="3118"/>
          </w:tcPr>
          <w:p>
            <w:r/>
            <w:r>
              <w:rPr>
                <w:sz w:val="19"/>
              </w:rPr>
              <w:t>auffaellig_quote.mean()</w:t>
            </w:r>
          </w:p>
        </w:tc>
        <w:tc>
          <w:tcPr>
            <w:tcW w:type="dxa" w:w="1984"/>
          </w:tcPr>
          <w:p>
            <w:r/>
            <w:r>
              <w:rPr>
                <w:sz w:val="19"/>
              </w:rPr>
              <w:t>8,6 %</w:t>
            </w:r>
          </w:p>
        </w:tc>
      </w:tr>
      <w:tr>
        <w:tc>
          <w:tcPr>
            <w:tcW w:type="dxa" w:w="3118"/>
            <w:shd w:fill="F2F2F2" w:val="clear"/>
          </w:tcPr>
          <w:p>
            <w:r/>
            <w:r>
              <w:rPr>
                <w:sz w:val="19"/>
              </w:rPr>
              <w:t>Gesamtquote</w:t>
            </w:r>
          </w:p>
        </w:tc>
        <w:tc>
          <w:tcPr>
            <w:tcW w:type="dxa" w:w="3118"/>
            <w:shd w:fill="F2F2F2" w:val="clear"/>
          </w:tcPr>
          <w:p>
            <w:r/>
            <w:r>
              <w:rPr>
                <w:sz w:val="19"/>
              </w:rPr>
              <w:t>auffaellig_n.sum() / total_qi.sum()</w:t>
            </w:r>
          </w:p>
        </w:tc>
        <w:tc>
          <w:tcPr>
            <w:tcW w:type="dxa" w:w="1984"/>
            <w:shd w:fill="F2F2F2" w:val="clear"/>
          </w:tcPr>
          <w:p>
            <w:r/>
            <w:r>
              <w:rPr>
                <w:sz w:val="19"/>
              </w:rPr>
              <w:t>7,7 %</w:t>
            </w:r>
          </w:p>
        </w:tc>
      </w:tr>
      <w:tr>
        <w:tc>
          <w:tcPr>
            <w:tcW w:type="dxa" w:w="3118"/>
          </w:tcPr>
          <w:p>
            <w:r/>
            <w:r>
              <w:rPr>
                <w:sz w:val="19"/>
              </w:rPr>
              <w:t>Ø Ärzte pro Bett</w:t>
            </w:r>
          </w:p>
        </w:tc>
        <w:tc>
          <w:tcPr>
            <w:tcW w:type="dxa" w:w="3118"/>
          </w:tcPr>
          <w:p>
            <w:r/>
            <w:r>
              <w:rPr>
                <w:sz w:val="19"/>
              </w:rPr>
              <w:t>aerzte_pro_bett.mean()</w:t>
            </w:r>
          </w:p>
        </w:tc>
        <w:tc>
          <w:tcPr>
            <w:tcW w:type="dxa" w:w="1984"/>
          </w:tcPr>
          <w:p>
            <w:r/>
            <w:r>
              <w:rPr>
                <w:sz w:val="19"/>
              </w:rPr>
              <w:t>0,451</w:t>
            </w:r>
          </w:p>
        </w:tc>
      </w:tr>
    </w:tbl>
    <w:p>
      <w:pPr>
        <w:spacing w:after="160" w:line="276" w:lineRule="auto"/>
      </w:pPr>
      <w:r>
        <w:rPr>
          <w:b w:val="0"/>
          <w:i w:val="0"/>
          <w:sz w:val="22"/>
        </w:rPr>
        <w:t>Bei „Anteil mit vielen Qualitätsproblemen“ zeigt die Kachel zusätzlich den Abstand zur 50-%-Marke (z. B. „0,3 % unter 50 %“) — die Zahl ist nahe 50 %, weil der Median genau als Trennwert für hat_viele_Probleme diente (Kapitel 2.2): Der Median teilt eine Stichprobe per Definition in zwei etwa gleich große Hälften.</w:t>
      </w:r>
    </w:p>
    <w:p>
      <w:pPr>
        <w:pStyle w:val="Heading3"/>
        <w:spacing w:before="200" w:after="80"/>
      </w:pPr>
      <w:r>
        <w:rPr>
          <w:color w:val="BF5A00"/>
          <w:sz w:val="25"/>
        </w:rPr>
        <w:t>Zwei verschiedene Durchschnittswerte: Ø auffällig-Quote vs. Gesamtquote</w:t>
      </w:r>
    </w:p>
    <w:p>
      <w:pPr>
        <w:spacing w:after="160" w:line="276" w:lineRule="auto"/>
      </w:pPr>
      <w:r>
        <w:rPr>
          <w:b w:val="0"/>
          <w:i w:val="0"/>
          <w:sz w:val="22"/>
        </w:rPr>
        <w:t>Ø auffällig-Quote pro Haus (8,6 %) und Gesamtquote (7,7 %) messen denselben Sachverhalt — den Anteil auffälliger Indikatoren —, aber mit unterschiedlicher Gewichtung. Diese Unterscheidung stand ursprünglich nicht im Dashboard; sie wurde ergänzt, nachdem beim Vergleich mit einer zuvor angenommenen Zahl von „etwa 9 %“ auffiel, dass die reine Ø-Kachel je nach Betrachtungsweise unterschiedlich interpretiert werden kann.</w:t>
      </w:r>
    </w:p>
    <w:p>
      <w:pPr>
        <w:pStyle w:val="ListBullet"/>
        <w:spacing w:after="80"/>
      </w:pPr>
      <w:r>
        <w:rPr>
          <w:sz w:val="22"/>
        </w:rPr>
        <w:t>Ø auffällig-Quote pro Haus — häusergewichtet: Für jedes Haus wird zuerst seine eigene Quote (auffaellig_n / total_qi für dieses eine Haus) berechnet, danach wird über diese 1.821 Einzelquoten gemittelt. Jedes Haus zählt als ein Wert — unabhängig davon, ob es 2 oder 80 bewertete Indikatoren hatte.</w:t>
      </w:r>
    </w:p>
    <w:p>
      <w:pPr>
        <w:pStyle w:val="ListBullet"/>
        <w:spacing w:after="80"/>
      </w:pPr>
      <w:r>
        <w:rPr>
          <w:sz w:val="22"/>
        </w:rPr>
        <w:t>Gesamtquote — indikatorgewichtet: Alle auffälligen und alle bewerteten Indikatoren werden zuerst über den gesamten Datensatz aufsummiert, erst danach wird geteilt (Σ auffaellig_n / Σ total_qi). Hier zählt jeder einzelne Indikator gleich viel, unabhängig davon, zu welchem Haus er gehört.</w:t>
      </w:r>
    </w:p>
    <w:p>
      <w:pPr>
        <w:spacing w:after="200" w:line="276" w:lineRule="auto"/>
      </w:pPr>
      <w:r>
        <w:rPr>
          <w:b/>
          <w:i w:val="0"/>
          <w:color w:val="1F497D"/>
          <w:sz w:val="22"/>
        </w:rPr>
        <w:t xml:space="preserve">Beispiel: </w:t>
      </w:r>
      <w:r>
        <w:rPr>
          <w:b w:val="0"/>
          <w:i w:val="0"/>
          <w:color w:val="555555"/>
          <w:sz w:val="22"/>
        </w:rPr>
        <w:t>Haus A hat 2 bewertete Indikatoren, davon 1 auffällig → Quote = 50 %. Haus B hat 80 bewertete Indikatoren, davon 4 auffällig → Quote = 5 %. Ø je Haus: (50 % + 5 %) / 2 = 27,5 % — Haus A mit nur 2 Indikatoren zieht den Durchschnitt stark nach oben, obwohl es kaum Datenbasis hat. Gesamtquote: (1 + 4) / (2 + 80) = 6,1 % — hier dominiert Haus B, weil es tatsächlich 80 der insgesamt 82 Indikatoren beisteuert.</w:t>
      </w:r>
    </w:p>
    <w:p>
      <w:pPr>
        <w:spacing w:after="160" w:line="276" w:lineRule="auto"/>
      </w:pPr>
      <w:r>
        <w:rPr>
          <w:b w:val="0"/>
          <w:i w:val="0"/>
          <w:sz w:val="22"/>
        </w:rPr>
        <w:t>Übertragen auf den echten Datensatz: Kleine Häuser mit wenigen bewerteten Indikatoren haben tendenziell eine volatilere — und im Mittel etwas höhere — Einzelquote als große Häuser mit vielen Indikatoren. Das ist derselbe kleine-Zahlen-Effekt, der in Kapitel 3.1 die kleine Spitze bei 100 % in Grafik 1 erklärt: 8 Häuser mit im Median nur 2 bewerteten Indikatoren, bei denen schon ein einziger auffälliger Wert die Quote auf 50 % oder 100 % springen lässt. Weil die Ø auffällig-Quote jedes Haus gleich gewichtet, schlagen diese kleinen Häuser dort stärker durch als in der Gesamtquote, die stattdessen von den wenigen sehr großen Häusern mit vielen Indikatoren dominiert wird. Die Differenz von 8,6 % zu 7,7 % ist damit kein Rechenfehler, sondern der sichtbare Abdruck genau dieses Effekts.</w:t>
      </w:r>
    </w:p>
    <w:p>
      <w:pPr>
        <w:spacing w:after="160" w:line="276" w:lineRule="auto"/>
      </w:pPr>
      <w:r>
        <w:rPr>
          <w:b w:val="0"/>
          <w:i/>
          <w:color w:val="555555"/>
          <w:sz w:val="22"/>
        </w:rPr>
        <w:t>Im Dashboard selbst ist diese Erklärung als Hover-Tooltip direkt an den beiden Kacheln hinterlegt (natives HTML-title-Attribut, sichtbar beim Überfahren mit der Maus) — wer die Zahl im Kontext nachschlagen möchte, muss dafür nicht in dieses Dokument wechseln.</w:t>
      </w:r>
    </w:p>
    <w:p>
      <w:pPr>
        <w:spacing w:before="120" w:after="200"/>
        <w:jc w:val="center"/>
      </w:pPr>
      <w:r>
        <w:drawing>
          <wp:inline xmlns:a="http://schemas.openxmlformats.org/drawingml/2006/main" xmlns:pic="http://schemas.openxmlformats.org/drawingml/2006/picture">
            <wp:extent cx="3780000" cy="4134375"/>
            <wp:docPr id="13" name="Picture 13"/>
            <wp:cNvGraphicFramePr>
              <a:graphicFrameLocks noChangeAspect="1"/>
            </wp:cNvGraphicFramePr>
            <a:graphic>
              <a:graphicData uri="http://schemas.openxmlformats.org/drawingml/2006/picture">
                <pic:pic>
                  <pic:nvPicPr>
                    <pic:cNvPr id="0" name="gesamtuberblick.png"/>
                    <pic:cNvPicPr/>
                  </pic:nvPicPr>
                  <pic:blipFill>
                    <a:blip r:embed="rId21"/>
                    <a:stretch>
                      <a:fillRect/>
                    </a:stretch>
                  </pic:blipFill>
                  <pic:spPr>
                    <a:xfrm>
                      <a:off x="0" y="0"/>
                      <a:ext cx="3780000" cy="4134375"/>
                    </a:xfrm>
                    <a:prstGeom prst="rect"/>
                  </pic:spPr>
                </pic:pic>
              </a:graphicData>
            </a:graphic>
          </wp:inline>
        </w:drawing>
      </w:r>
    </w:p>
    <w:p>
      <w:pPr>
        <w:pStyle w:val="Heading2"/>
        <w:spacing w:before="280" w:after="120"/>
      </w:pPr>
      <w:r>
        <w:rPr>
          <w:color w:val="1F497D"/>
          <w:sz w:val="30"/>
        </w:rPr>
        <w:t>5.3  Seite 2 — Einflussfaktoren</w:t>
      </w:r>
    </w:p>
    <w:p>
      <w:pPr>
        <w:spacing w:after="160" w:line="276" w:lineRule="auto"/>
      </w:pPr>
      <w:r>
        <w:rPr>
          <w:b w:val="0"/>
          <w:i w:val="0"/>
          <w:sz w:val="22"/>
        </w:rPr>
        <w:t>Diese Seite zeigt in vier Tabs, wie die wichtigsten Strukturmerkmale mit der Auffälligkeitsquote zusammenhängen. Anders als auf der Übersichtsseite gelten hier keine Filter — jeder Tab arbeitet immer auf dem vollständigen Datensatz von 1.821 Häusern.</w:t>
      </w:r>
    </w:p>
    <w:p>
      <w:pPr>
        <w:pStyle w:val="ListBullet"/>
        <w:spacing w:after="80"/>
      </w:pPr>
      <w:r>
        <w:rPr>
          <w:sz w:val="22"/>
        </w:rPr>
        <w:t>Tab 1 — Trägerschaft: Gruppiertes Balkendiagramm plus Erklärungstext. Trotz optisch sichtbarem Unterschied findet die ANOVA keinen statistisch signifikanten Zusammenhang (p = 0,969) — mit dem Hinweis, dass die Hausgröße als Störfaktor mitwirken könnte.</w:t>
      </w:r>
    </w:p>
    <w:p>
      <w:pPr>
        <w:pStyle w:val="ListBullet"/>
        <w:spacing w:after="80"/>
      </w:pPr>
      <w:r>
        <w:rPr>
          <w:sz w:val="22"/>
        </w:rPr>
        <w:t>Tab 2 — Ärzte pro Bett: Zwei Boxplots (wenige/viele Probleme) mit gestrichelter Linie am Decision-Tree-Split (0,271) und Erklärungstext zu T-Test-Ergebnis und Feature Importance (72,8 %).</w:t>
      </w:r>
    </w:p>
    <w:p>
      <w:pPr>
        <w:pStyle w:val="ListBullet"/>
        <w:spacing w:after="80"/>
      </w:pPr>
      <w:r>
        <w:rPr>
          <w:sz w:val="22"/>
        </w:rPr>
        <w:t>Tab 3 — Streudiagramm: Dropdown mit lesbaren Merkmalsbezeichnungen (z. B. „aerzte_pro_bett (Ärzte je Bett — Personalintensität)“), zwei OLS-Regressionslinien (eine je Gruppe) und ein Erklärungstext, der sich automatisch dem gewählten Merkmal anpasst.</w:t>
      </w:r>
    </w:p>
    <w:p>
      <w:pPr>
        <w:pStyle w:val="ListBullet"/>
        <w:spacing w:after="80"/>
      </w:pPr>
      <w:r>
        <w:rPr>
          <w:sz w:val="22"/>
        </w:rPr>
        <w:t>Tab 4 — Pivot-Tabelle: Durchschnittliche auffällig-Quote nach Trägerart × Uni-Status, mit Heatmap-Formatierung — dieselbe Tabelle wie in Kapitel 3.5, hier interaktiv im Dashboard verfügbar.</w:t>
      </w:r>
    </w:p>
    <w:p>
      <w:pPr>
        <w:spacing w:before="120" w:after="200"/>
        <w:jc w:val="center"/>
      </w:pPr>
      <w:r>
        <w:drawing>
          <wp:inline xmlns:a="http://schemas.openxmlformats.org/drawingml/2006/main" xmlns:pic="http://schemas.openxmlformats.org/drawingml/2006/picture">
            <wp:extent cx="3780000" cy="4134375"/>
            <wp:docPr id="14" name="Picture 14"/>
            <wp:cNvGraphicFramePr>
              <a:graphicFrameLocks noChangeAspect="1"/>
            </wp:cNvGraphicFramePr>
            <a:graphic>
              <a:graphicData uri="http://schemas.openxmlformats.org/drawingml/2006/picture">
                <pic:pic>
                  <pic:nvPicPr>
                    <pic:cNvPr id="0" name="einflussfaktoren.png"/>
                    <pic:cNvPicPr/>
                  </pic:nvPicPr>
                  <pic:blipFill>
                    <a:blip r:embed="rId22"/>
                    <a:stretch>
                      <a:fillRect/>
                    </a:stretch>
                  </pic:blipFill>
                  <pic:spPr>
                    <a:xfrm>
                      <a:off x="0" y="0"/>
                      <a:ext cx="3780000" cy="4134375"/>
                    </a:xfrm>
                    <a:prstGeom prst="rect"/>
                  </pic:spPr>
                </pic:pic>
              </a:graphicData>
            </a:graphic>
          </wp:inline>
        </w:drawing>
      </w:r>
    </w:p>
    <w:p>
      <w:pPr>
        <w:pStyle w:val="Heading2"/>
        <w:spacing w:before="280" w:after="120"/>
      </w:pPr>
      <w:r>
        <w:rPr>
          <w:color w:val="1F497D"/>
          <w:sz w:val="30"/>
        </w:rPr>
        <w:t>5.4  Seite 3 — Häuser vergleichen</w:t>
      </w:r>
    </w:p>
    <w:p>
      <w:pPr>
        <w:spacing w:after="160" w:line="276" w:lineRule="auto"/>
      </w:pPr>
      <w:r>
        <w:rPr>
          <w:b w:val="0"/>
          <w:i w:val="0"/>
          <w:sz w:val="22"/>
        </w:rPr>
        <w:t>Diese Seite kombiniert eine Ähnliche-Häuser-Suche mit einem Einzelhaus-Steckbrief.</w:t>
      </w:r>
    </w:p>
    <w:p>
      <w:pPr>
        <w:pStyle w:val="ListBullet"/>
        <w:spacing w:after="80"/>
      </w:pPr>
      <w:r>
        <w:rPr>
          <w:sz w:val="22"/>
        </w:rPr>
        <w:t>Ähnliche Häuser suchen: Bettenzahl-Toleranz per select_slider (±10 % / ±20 % / ±30 % Standard / ±50 %), zusätzlich optional nach Bundesland und Trägerschaft filterbar. Ergebnis: die Ø auffällig-Quote der gefundenen Gruppe als Karte mit Abstandswert zum Median (z. B. „2,1 % unter Median“, grün eingefärbt).</w:t>
      </w:r>
    </w:p>
    <w:p>
      <w:pPr>
        <w:pStyle w:val="ListBullet"/>
        <w:spacing w:after="80"/>
      </w:pPr>
      <w:r>
        <w:rPr>
          <w:sz w:val="22"/>
        </w:rPr>
        <w:t>Einzelhaus-Steckbrief: acht Kennzahlen-Karten (Betten, Träger, Bundesland, Uni-Status, auffällig-Quote, Kategorie, Ärzte/Bett, Fortbildungsquote), ebenfalls mit Abstandswert zum Median statt Pfeil-Symbol.</w:t>
      </w:r>
    </w:p>
    <w:p>
      <w:pPr>
        <w:spacing w:before="120" w:after="200"/>
        <w:jc w:val="center"/>
      </w:pPr>
      <w:r>
        <w:drawing>
          <wp:inline xmlns:a="http://schemas.openxmlformats.org/drawingml/2006/main" xmlns:pic="http://schemas.openxmlformats.org/drawingml/2006/picture">
            <wp:extent cx="3780000" cy="4134375"/>
            <wp:docPr id="15" name="Picture 15"/>
            <wp:cNvGraphicFramePr>
              <a:graphicFrameLocks noChangeAspect="1"/>
            </wp:cNvGraphicFramePr>
            <a:graphic>
              <a:graphicData uri="http://schemas.openxmlformats.org/drawingml/2006/picture">
                <pic:pic>
                  <pic:nvPicPr>
                    <pic:cNvPr id="0" name="haeuser_vergleichen.png"/>
                    <pic:cNvPicPr/>
                  </pic:nvPicPr>
                  <pic:blipFill>
                    <a:blip r:embed="rId23"/>
                    <a:stretch>
                      <a:fillRect/>
                    </a:stretch>
                  </pic:blipFill>
                  <pic:spPr>
                    <a:xfrm>
                      <a:off x="0" y="0"/>
                      <a:ext cx="3780000" cy="4134375"/>
                    </a:xfrm>
                    <a:prstGeom prst="rect"/>
                  </pic:spPr>
                </pic:pic>
              </a:graphicData>
            </a:graphic>
          </wp:inline>
        </w:drawing>
      </w:r>
    </w:p>
    <w:p>
      <w:pPr>
        <w:pStyle w:val="Heading2"/>
        <w:spacing w:before="280" w:after="120"/>
      </w:pPr>
      <w:r>
        <w:rPr>
          <w:color w:val="1F497D"/>
          <w:sz w:val="30"/>
        </w:rPr>
        <w:t>5.5  Seite 4 — Qualitäts-Vorhersage</w:t>
      </w:r>
    </w:p>
    <w:p>
      <w:pPr>
        <w:spacing w:after="160" w:line="276" w:lineRule="auto"/>
      </w:pPr>
      <w:r>
        <w:rPr>
          <w:b w:val="0"/>
          <w:i w:val="0"/>
          <w:sz w:val="22"/>
        </w:rPr>
        <w:t>Diese Seite macht das in Kapitel 4 trainierte Decision-Tree-Modell live nutzbar. Eine Warnbox zu Beginn nennt Accuracy (57,0 %) und Basislinie (50,4 %) explizit, damit die Grenzen des Modells vor der Eingabe sichtbar sind, nicht erst danach.</w:t>
      </w:r>
    </w:p>
    <w:p>
      <w:pPr>
        <w:pStyle w:val="ListBullet"/>
        <w:spacing w:after="80"/>
      </w:pPr>
      <w:r>
        <w:rPr>
          <w:sz w:val="22"/>
        </w:rPr>
        <w:t>Eingabeformular mit den sieben Trainings-Merkmalen in zwei Spalten (Betten, Uni-Status, Fortbildungsquote, Ärzte/Bett, Pflege/Bett, Konzernzugehörigkeit, Trägerart).</w:t>
      </w:r>
    </w:p>
    <w:p>
      <w:pPr>
        <w:pStyle w:val="ListBullet"/>
        <w:spacing w:after="80"/>
      </w:pPr>
      <w:r>
        <w:rPr>
          <w:sz w:val="22"/>
        </w:rPr>
        <w:t>Nach Klick auf „Ergebnis anzeigen“: ein grün/rot eingefärbter Vorhersage-Kasten, die Wahrscheinlichkeit je Klasse (P(Wenige)/P(Viele)) sowie eine kurze Erklärung des Schwellenwerts (0,271, aus dem Decision Tree).</w:t>
      </w:r>
    </w:p>
    <w:p>
      <w:pPr>
        <w:pStyle w:val="ListBullet"/>
        <w:spacing w:after="80"/>
      </w:pPr>
      <w:r>
        <w:rPr>
          <w:sz w:val="22"/>
        </w:rPr>
        <w:t>Feature-Importance-Diagramm mit lesbaren Labels („Welche Merkmale nutzt das Modell?“) — dieselben Werte wie in Kapitel 4.4, hier direkt neben der Einzelvorhersage sichtbar.</w:t>
      </w:r>
    </w:p>
    <w:p>
      <w:pPr>
        <w:spacing w:before="120" w:after="200"/>
        <w:jc w:val="center"/>
      </w:pPr>
      <w:r>
        <w:drawing>
          <wp:inline xmlns:a="http://schemas.openxmlformats.org/drawingml/2006/main" xmlns:pic="http://schemas.openxmlformats.org/drawingml/2006/picture">
            <wp:extent cx="3780000" cy="4134375"/>
            <wp:docPr id="16" name="Picture 16"/>
            <wp:cNvGraphicFramePr>
              <a:graphicFrameLocks noChangeAspect="1"/>
            </wp:cNvGraphicFramePr>
            <a:graphic>
              <a:graphicData uri="http://schemas.openxmlformats.org/drawingml/2006/picture">
                <pic:pic>
                  <pic:nvPicPr>
                    <pic:cNvPr id="0" name="qualitaets_vorhersage.png"/>
                    <pic:cNvPicPr/>
                  </pic:nvPicPr>
                  <pic:blipFill>
                    <a:blip r:embed="rId24"/>
                    <a:stretch>
                      <a:fillRect/>
                    </a:stretch>
                  </pic:blipFill>
                  <pic:spPr>
                    <a:xfrm>
                      <a:off x="0" y="0"/>
                      <a:ext cx="3780000" cy="4134375"/>
                    </a:xfrm>
                    <a:prstGeom prst="rect"/>
                  </pic:spPr>
                </pic:pic>
              </a:graphicData>
            </a:graphic>
          </wp:inline>
        </w:drawing>
      </w:r>
    </w:p>
    <w:p>
      <w:r>
        <w:br w:type="page"/>
      </w:r>
    </w:p>
    <w:p>
      <w:pPr>
        <w:pStyle w:val="Heading1"/>
        <w:spacing w:before="360" w:after="200"/>
      </w:pPr>
      <w:r>
        <w:rPr>
          <w:color w:val="1F497D"/>
          <w:sz w:val="40"/>
        </w:rPr>
        <w:t>6  Fazit, Grenzen und Ausblick</w:t>
      </w:r>
    </w:p>
    <w:p>
      <w:pPr>
        <w:spacing w:after="160" w:line="276" w:lineRule="auto"/>
      </w:pPr>
      <w:r>
        <w:rPr>
          <w:b w:val="0"/>
          <w:i w:val="0"/>
          <w:sz w:val="22"/>
        </w:rPr>
        <w:t>Dieses letzte Kapitel fasst zusammen, was die Analyse über alle Kapitel hinweg gezeigt hat, benennt offen, wo die Grenzen dieser Untersuchung liegen, und skizziert mögliche nächste Schritte.</w:t>
      </w:r>
    </w:p>
    <w:p>
      <w:pPr>
        <w:pStyle w:val="Heading2"/>
        <w:spacing w:before="280" w:after="120"/>
      </w:pPr>
      <w:r>
        <w:rPr>
          <w:color w:val="1F497D"/>
          <w:sz w:val="30"/>
        </w:rPr>
        <w:t>6.1  Gesamteinschätzung: Was haben wir gefunden?</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fill="1F497D" w:val="clear"/>
          </w:tcPr>
          <w:p>
            <w:r/>
            <w:r>
              <w:rPr>
                <w:b/>
                <w:color w:val="FFFFFF"/>
                <w:sz w:val="19"/>
              </w:rPr>
              <w:t>Merkmal</w:t>
            </w:r>
          </w:p>
        </w:tc>
        <w:tc>
          <w:tcPr>
            <w:tcW w:type="dxa" w:w="1984"/>
            <w:shd w:fill="1F497D" w:val="clear"/>
          </w:tcPr>
          <w:p>
            <w:r/>
            <w:r>
              <w:rPr>
                <w:b/>
                <w:color w:val="FFFFFF"/>
                <w:sz w:val="19"/>
              </w:rPr>
              <w:t>Zusammenhang?</w:t>
            </w:r>
          </w:p>
        </w:tc>
        <w:tc>
          <w:tcPr>
            <w:tcW w:type="dxa" w:w="4535"/>
            <w:shd w:fill="1F497D" w:val="clear"/>
          </w:tcPr>
          <w:p>
            <w:r/>
            <w:r>
              <w:rPr>
                <w:b/>
                <w:color w:val="FFFFFF"/>
                <w:sz w:val="19"/>
              </w:rPr>
              <w:t>Einordnung</w:t>
            </w:r>
          </w:p>
        </w:tc>
      </w:tr>
      <w:tr>
        <w:tc>
          <w:tcPr>
            <w:tcW w:type="dxa" w:w="2835"/>
          </w:tcPr>
          <w:p>
            <w:r/>
            <w:r>
              <w:rPr>
                <w:sz w:val="19"/>
              </w:rPr>
              <w:t>Ärzte / Pflegekräfte pro Bett</w:t>
            </w:r>
          </w:p>
        </w:tc>
        <w:tc>
          <w:tcPr>
            <w:tcW w:type="dxa" w:w="1984"/>
          </w:tcPr>
          <w:p>
            <w:r/>
            <w:r>
              <w:rPr>
                <w:sz w:val="19"/>
              </w:rPr>
              <w:t>✅ Vorhanden</w:t>
            </w:r>
          </w:p>
        </w:tc>
        <w:tc>
          <w:tcPr>
            <w:tcW w:type="dxa" w:w="4535"/>
          </w:tcPr>
          <w:p>
            <w:r/>
            <w:r>
              <w:rPr>
                <w:sz w:val="19"/>
              </w:rPr>
              <w:t>Statistisch signifikant, stärkster Prädiktor</w:t>
            </w:r>
          </w:p>
        </w:tc>
      </w:tr>
      <w:tr>
        <w:tc>
          <w:tcPr>
            <w:tcW w:type="dxa" w:w="2835"/>
            <w:shd w:fill="F2F2F2" w:val="clear"/>
          </w:tcPr>
          <w:p>
            <w:r/>
            <w:r>
              <w:rPr>
                <w:sz w:val="19"/>
              </w:rPr>
              <w:t>Uni-Status</w:t>
            </w:r>
          </w:p>
        </w:tc>
        <w:tc>
          <w:tcPr>
            <w:tcW w:type="dxa" w:w="1984"/>
            <w:shd w:fill="F2F2F2" w:val="clear"/>
          </w:tcPr>
          <w:p>
            <w:r/>
            <w:r>
              <w:rPr>
                <w:sz w:val="19"/>
              </w:rPr>
              <w:t>🔶 Sichtbar</w:t>
            </w:r>
          </w:p>
        </w:tc>
        <w:tc>
          <w:tcPr>
            <w:tcW w:type="dxa" w:w="4535"/>
            <w:shd w:fill="F2F2F2" w:val="clear"/>
          </w:tcPr>
          <w:p>
            <w:r/>
            <w:r>
              <w:rPr>
                <w:sz w:val="19"/>
              </w:rPr>
              <w:t>Deutlich, aber kleine Stichprobe (n=92)</w:t>
            </w:r>
          </w:p>
        </w:tc>
      </w:tr>
      <w:tr>
        <w:tc>
          <w:tcPr>
            <w:tcW w:type="dxa" w:w="2835"/>
          </w:tcPr>
          <w:p>
            <w:r/>
            <w:r>
              <w:rPr>
                <w:sz w:val="19"/>
              </w:rPr>
              <w:t>Trägerschaft</w:t>
            </w:r>
          </w:p>
        </w:tc>
        <w:tc>
          <w:tcPr>
            <w:tcW w:type="dxa" w:w="1984"/>
          </w:tcPr>
          <w:p>
            <w:r/>
            <w:r>
              <w:rPr>
                <w:sz w:val="19"/>
              </w:rPr>
              <w:t>❌ Nicht abgesichert</w:t>
            </w:r>
          </w:p>
        </w:tc>
        <w:tc>
          <w:tcPr>
            <w:tcW w:type="dxa" w:w="4535"/>
          </w:tcPr>
          <w:p>
            <w:r/>
            <w:r>
              <w:rPr>
                <w:sz w:val="19"/>
              </w:rPr>
              <w:t>Optisch sichtbar, ANOVA nicht signifikant</w:t>
            </w:r>
          </w:p>
        </w:tc>
      </w:tr>
      <w:tr>
        <w:tc>
          <w:tcPr>
            <w:tcW w:type="dxa" w:w="2835"/>
            <w:shd w:fill="F2F2F2" w:val="clear"/>
          </w:tcPr>
          <w:p>
            <w:r/>
            <w:r>
              <w:rPr>
                <w:sz w:val="19"/>
              </w:rPr>
              <w:t>Bundesland</w:t>
            </w:r>
          </w:p>
        </w:tc>
        <w:tc>
          <w:tcPr>
            <w:tcW w:type="dxa" w:w="1984"/>
            <w:shd w:fill="F2F2F2" w:val="clear"/>
          </w:tcPr>
          <w:p>
            <w:r/>
            <w:r>
              <w:rPr>
                <w:sz w:val="19"/>
              </w:rPr>
              <w:t>🔶 Sichtbar</w:t>
            </w:r>
          </w:p>
        </w:tc>
        <w:tc>
          <w:tcPr>
            <w:tcW w:type="dxa" w:w="4535"/>
            <w:shd w:fill="F2F2F2" w:val="clear"/>
          </w:tcPr>
          <w:p>
            <w:r/>
            <w:r>
              <w:rPr>
                <w:sz w:val="19"/>
              </w:rPr>
              <w:t>Kleine Stichproben einschränkend</w:t>
            </w:r>
          </w:p>
        </w:tc>
      </w:tr>
      <w:tr>
        <w:tc>
          <w:tcPr>
            <w:tcW w:type="dxa" w:w="2835"/>
          </w:tcPr>
          <w:p>
            <w:r/>
            <w:r>
              <w:rPr>
                <w:sz w:val="19"/>
              </w:rPr>
              <w:t>Bettenzahl</w:t>
            </w:r>
          </w:p>
        </w:tc>
        <w:tc>
          <w:tcPr>
            <w:tcW w:type="dxa" w:w="1984"/>
          </w:tcPr>
          <w:p>
            <w:r/>
            <w:r>
              <w:rPr>
                <w:sz w:val="19"/>
              </w:rPr>
              <w:t>🔶 Schwach</w:t>
            </w:r>
          </w:p>
        </w:tc>
        <w:tc>
          <w:tcPr>
            <w:tcW w:type="dxa" w:w="4535"/>
          </w:tcPr>
          <w:p>
            <w:r/>
            <w:r>
              <w:rPr>
                <w:sz w:val="19"/>
              </w:rPr>
              <w:t>r = +0,14, statistisch real, praktisch kaum nutzbar</w:t>
            </w:r>
          </w:p>
        </w:tc>
      </w:tr>
      <w:tr>
        <w:tc>
          <w:tcPr>
            <w:tcW w:type="dxa" w:w="2835"/>
            <w:shd w:fill="F2F2F2" w:val="clear"/>
          </w:tcPr>
          <w:p>
            <w:r/>
            <w:r>
              <w:rPr>
                <w:sz w:val="19"/>
              </w:rPr>
              <w:t>Konzernhaus / Fortbildungsquote</w:t>
            </w:r>
          </w:p>
        </w:tc>
        <w:tc>
          <w:tcPr>
            <w:tcW w:type="dxa" w:w="1984"/>
            <w:shd w:fill="F2F2F2" w:val="clear"/>
          </w:tcPr>
          <w:p>
            <w:r/>
            <w:r>
              <w:rPr>
                <w:sz w:val="19"/>
              </w:rPr>
              <w:t>❌ Kein Zusammenhang</w:t>
            </w:r>
          </w:p>
        </w:tc>
        <w:tc>
          <w:tcPr>
            <w:tcW w:type="dxa" w:w="4535"/>
            <w:shd w:fill="F2F2F2" w:val="clear"/>
          </w:tcPr>
          <w:p>
            <w:r/>
            <w:r>
              <w:rPr>
                <w:sz w:val="19"/>
              </w:rPr>
              <w:t>Chi²/Korrelation nicht signifikant</w:t>
            </w:r>
          </w:p>
        </w:tc>
      </w:tr>
    </w:tbl>
    <w:p>
      <w:pPr>
        <w:spacing w:after="160" w:line="276" w:lineRule="auto"/>
      </w:pPr>
      <w:r>
        <w:rPr>
          <w:b/>
          <w:i w:val="0"/>
          <w:color w:val="1F497D"/>
          <w:sz w:val="22"/>
        </w:rPr>
        <w:t>Es gibt keinen einzigen starken, eindeutigen Zusammenhang. Strukturmerkmale allein reichen nicht aus, um Qualitätsprobleme zuverlässig vorherzusagen — das bestätigt auch das negative R² des linearen Modells aus Kapitel 4.5 (−0,007). Am ehesten trägt die Personalausstattung (Ärzte/Pflege pro Bett) etwas bei: mehr Personal geht mit mehr, nicht weniger, Qualitätsproblemen einher — am plausibelsten erklärt durch höhere Fallkomplexität an Häusern mit mehr Personal, nicht durch schlechtere Versorgung.</w:t>
      </w:r>
    </w:p>
    <w:p>
      <w:pPr>
        <w:pStyle w:val="Heading2"/>
        <w:spacing w:before="280" w:after="120"/>
      </w:pPr>
      <w:r>
        <w:rPr>
          <w:color w:val="1F497D"/>
          <w:sz w:val="30"/>
        </w:rPr>
        <w:t>6.2  Grenzen der Analyse</w:t>
      </w:r>
    </w:p>
    <w:p>
      <w:pPr>
        <w:pStyle w:val="ListBullet"/>
        <w:spacing w:after="80"/>
      </w:pPr>
      <w:r>
        <w:rPr>
          <w:sz w:val="22"/>
        </w:rPr>
        <w:t>Patientenmix: Häuser mit schwierigeren, kränkeren Patient:innen fallen öfter auffällig, ohne dass zwingend ein echtes Qualitätsproblem vorliegt — der Datensatz enthält keine Fallschwere-Information, um dafür zu kontrollieren.</w:t>
      </w:r>
    </w:p>
    <w:p>
      <w:pPr>
        <w:pStyle w:val="ListBullet"/>
        <w:spacing w:after="80"/>
      </w:pPr>
      <w:r>
        <w:rPr>
          <w:sz w:val="22"/>
        </w:rPr>
        <w:t>Dokumentation: Manche Auffälligkeiten sind nachweislich Dokumentationsfehler und keine echten Versorgungsprobleme (siehe Kapitel 2.2 zum Strukturierten Dialog).</w:t>
      </w:r>
    </w:p>
    <w:p>
      <w:pPr>
        <w:pStyle w:val="ListBullet"/>
        <w:spacing w:after="80"/>
      </w:pPr>
      <w:r>
        <w:rPr>
          <w:sz w:val="22"/>
        </w:rPr>
        <w:t>Kausalität: Korrelation ist nicht Kausalität — alle Zusammenhänge in dieser Analyse sind Assoziationen, kein Ursache-Wirkung-Nachweis.</w:t>
      </w:r>
    </w:p>
    <w:p>
      <w:pPr>
        <w:pStyle w:val="Heading2"/>
        <w:spacing w:before="280" w:after="120"/>
      </w:pPr>
      <w:r>
        <w:rPr>
          <w:color w:val="1F497D"/>
          <w:sz w:val="30"/>
        </w:rPr>
        <w:t>6.3  Ausblick — mögliche nächste Schritte</w:t>
      </w:r>
    </w:p>
    <w:p>
      <w:pPr>
        <w:pStyle w:val="ListBullet"/>
        <w:spacing w:after="80"/>
      </w:pPr>
      <w:r>
        <w:rPr>
          <w:sz w:val="22"/>
        </w:rPr>
        <w:t>QS.Leistungsbereich.csv einbeziehen, um die Dokumentationsrate als zusätzliches Merkmal zu berücksichtigen (bislang bewusst nicht eingebunden, siehe Kapitel 2.6).</w:t>
      </w:r>
    </w:p>
    <w:p>
      <w:pPr>
        <w:pStyle w:val="ListBullet"/>
        <w:spacing w:after="80"/>
      </w:pPr>
      <w:r>
        <w:rPr>
          <w:sz w:val="22"/>
        </w:rPr>
        <w:t>Regression mit Patientenstruktur als Kontrollvariable, um den Effekt des Patientenmix von echten Qualitätsunterschieden zu trennen.</w:t>
      </w:r>
    </w:p>
    <w:p>
      <w:pPr>
        <w:pStyle w:val="ListBullet"/>
        <w:spacing w:after="80"/>
      </w:pPr>
      <w:r>
        <w:rPr>
          <w:sz w:val="22"/>
        </w:rPr>
        <w:t>Dashboard und Notebooks sind vollständig reproduzierbar und können direkt um neue Merkmale oder Modelle erweitert werden, ohne die bestehende Struktur umzubauen.</w:t>
      </w:r>
    </w:p>
    <w:p>
      <w:pPr>
        <w:spacing w:after="160" w:line="276" w:lineRule="auto"/>
      </w:pPr>
      <w:r>
        <w:rPr>
          <w:b w:val="0"/>
          <w:i/>
          <w:color w:val="555555"/>
          <w:sz w:val="22"/>
        </w:rPr>
        <w:t>„Kein Zusammenhang ist ein valides Ergebnis“ — dieser Leitsatz aus Kapitel 1.1 hat sich im Projektverlauf mehrfach bestätigt: Die Trägerschaft wirkt auf den ersten Blick wie ein klarer Befund, ist aber statistisch nicht signifikant. Viele Faktoren, die tatsächlich zählen könnten, stehen schlicht nicht im Datensatz — das ist kein Mangel der Analyse, sondern eine ehrliche Beschreibung dessen, was Strukturdaten allein leisten können.</w:t>
      </w:r>
    </w:p>
    <w:sectPr w:rsidR="00FC693F" w:rsidRPr="0006063C" w:rsidSect="00034616">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Projektbegleitende Dokumentation — Qualitäts-Muster-Finder</dc:title>
  <dc:subject/>
  <dc:creator>Datenanalyse-Team</dc:creator>
  <cp:keywords/>
  <dc:description>generated by python-docx</dc:description>
  <cp:lastModifiedBy/>
  <cp:revision>1</cp:revision>
  <dcterms:created xsi:type="dcterms:W3CDTF">2026-08-30T19:49:15Z</dcterms:created>
  <dcterms:modified xsi:type="dcterms:W3CDTF">2026-08-30T19:49:15Z</dcterms:modified>
  <cp:category/>
</cp:coreProperties>
</file>