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b/>
          <w:color w:val="1F497D"/>
          <w:sz w:val="44"/>
        </w:rPr>
        <w:t>Qualitäts-Muster-Finder</w:t>
      </w:r>
    </w:p>
    <w:p>
      <w:pPr>
        <w:jc w:val="center"/>
      </w:pPr>
      <w:r>
        <w:rPr>
          <w:color w:val="555555"/>
          <w:sz w:val="28"/>
        </w:rPr>
        <w:t>Fortschrittsbericht — Anfang Woche 4 (Dienstag)</w:t>
      </w:r>
    </w:p>
    <w:p/>
    <w:p>
      <w:pPr>
        <w:jc w:val="center"/>
      </w:pPr>
      <w:r>
        <w:rPr>
          <w:color w:val="555555"/>
          <w:sz w:val="22"/>
        </w:rPr>
        <w:t>Datenanalyse-Projekt · 20.08.2026</w:t>
        <w:br/>
        <w:t>Datenbasis: IQTIG Qualitätsberichte 2023 · 1.821 Krankenhäuser</w:t>
      </w:r>
    </w:p>
    <w:p/>
    <w:p/>
    <w:p>
      <w:pPr>
        <w:spacing w:before="0" w:after="0"/>
      </w:pPr>
      <w:r>
        <w:rPr>
          <w:b w:val="0"/>
          <w:i/>
          <w:color w:val="555555"/>
          <w:sz w:val="22"/>
        </w:rPr>
        <w:t>Dieser Bericht dokumentiert den Projektfortschritt zu Beginn der vierten Arbeitswoche (Dienstag). Gezeigt werden die Aufgaben, die laut Projektplan bis zu diesem Zeitpunkt erledigt sein sollten: Datenvorbereitung (Baustein 1), Deskriptive Analyse (Baustein 2), die ersten beiden Dashboard-Seiten „Übersicht“ und „Vergleiche“ (Baustein 3, Woche 3) sowie Split, Basislinie und Training des Entscheidungsbaums (Baustein 4, Woche 4 Tag 1). Die Modellbewertung (Woche 4 Tag 2) ist laut Plan für heute vorgesehen und wird im nächsten Bericht ergänzt. Die Umsetzung dieser Schritte erfolgte mit Python und Power BI.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F497D"/>
          <w:sz w:val="28"/>
        </w:rPr>
        <w:t>1  Projektübersicht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1.1  Hinweis zur Interpretation der Bewertungscodes</w:t>
      </w:r>
    </w:p>
    <w:p>
      <w:pPr>
        <w:spacing w:before="0" w:after="100"/>
      </w:pPr>
      <w:r>
        <w:rPr>
          <w:b w:val="0"/>
          <w:i w:val="0"/>
          <w:sz w:val="22"/>
        </w:rPr>
        <w:t>Im Verlauf von Baustein 2 fiel beim Abgleich mit den Kollegen aus dem BI-Team auf, dass deren Power-BI-Auswertung zu einem anderen Ergebnis kam als unsere Python-Auswertung, obwohl beide auf denselben Rohdaten aufsetzen. Das war der Anlass, die Interpretation der Bewertungsspalte QSErgBewStrukDialog noch einmal genau zu prüfen.</w:t>
      </w:r>
    </w:p>
    <w:p>
      <w:pPr>
        <w:spacing w:before="0" w:after="100"/>
      </w:pPr>
      <w:r>
        <w:rPr>
          <w:b w:val="0"/>
          <w:i w:val="0"/>
          <w:sz w:val="22"/>
        </w:rPr>
        <w:t>Dabei wurde ein offizielles IQTIG-Dokument gefunden ('Bericht zum Strukturierten Dialog 2021, Erfassungsjahr 2020'), das die Bedeutung aller sieben Bewertungscodes eindeutig dokumentiert. Der Abgleich zeigte: Die Codes waren zuvor anders interpretiert, als es die offizielle IQTIG-Definition vorsieht.</w:t>
      </w:r>
    </w:p>
    <w:p>
      <w:pPr>
        <w:spacing w:before="0" w:after="160"/>
      </w:pPr>
      <w:r>
        <w:rPr>
          <w:b w:val="0"/>
          <w:i w:val="0"/>
          <w:sz w:val="22"/>
        </w:rPr>
        <w:t>Daraufhin wurde die Interpretation in Notebooks/01_Exploration.ipynb (Berechnung der Ziel-Variable) und Notebooks/02_Analyse.ipynb (darauf aufbauende Auswertung) auf die im IQTIG-Dokument belegte Umrechnung der Codes umgestellt. Damit kommen unsere Python-Auswertung und die Power-BI-Auswertung der Kollegen jetzt auf einen gemeinsamen Nenner.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871"/>
            <w:shd w:fill="1F497D" w:val="clear"/>
          </w:tcPr>
          <w:p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2948"/>
            <w:shd w:fill="1F497D" w:val="clear"/>
          </w:tcPr>
          <w:p>
            <w:r>
              <w:rPr>
                <w:b/>
                <w:color w:val="FFFFFF"/>
                <w:sz w:val="20"/>
              </w:rPr>
              <w:t>Bedeutung (laut IQTIG-Bericht)</w:t>
            </w:r>
          </w:p>
        </w:tc>
        <w:tc>
          <w:tcPr>
            <w:tcW w:type="dxa" w:w="1984"/>
            <w:shd w:fill="1F497D" w:val="clear"/>
          </w:tcPr>
          <w:p>
            <w:r>
              <w:rPr>
                <w:b/>
                <w:color w:val="FFFFFF"/>
                <w:sz w:val="20"/>
              </w:rPr>
              <w:t>Interpretation zuvor</w:t>
            </w:r>
          </w:p>
        </w:tc>
        <w:tc>
          <w:tcPr>
            <w:tcW w:type="dxa" w:w="2268"/>
            <w:shd w:fill="1F497D" w:val="clear"/>
          </w:tcPr>
          <w:p>
            <w:r>
              <w:rPr>
                <w:b/>
                <w:color w:val="FFFFFF"/>
                <w:sz w:val="20"/>
              </w:rPr>
              <w:t>Interpretation aktuell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Ergebnis liegt im Referenzbereich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auffällig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nicht auffällig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N01 / N02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Bewertung nicht vorgesehen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auffällig (mitgezählt)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nicht bewertbar — ausgeschlossen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N99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Bewertung nicht vorgesehen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bewertbar — ausgeschlossen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nicht bewertbar — ausgeschlossen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H20 / H99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Auf Auffälligkeit hingewiesen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auffällig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auffällig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U30–33 / U99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Qualitativ unauffällig (entkräftet)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auffällig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auffällig (initial gezählt)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A40–42 / A99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Qualitativ auffällig (bestätigt)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auffällig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auffällig, bestätigt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D50/51/99 · S90/91/99</w:t>
            </w:r>
          </w:p>
        </w:tc>
        <w:tc>
          <w:tcPr>
            <w:tcW w:type="dxa" w:w="2948"/>
          </w:tcPr>
          <w:p>
            <w:r>
              <w:rPr>
                <w:sz w:val="20"/>
              </w:rPr>
              <w:t>Nicht bewertbar / Sonstiges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nicht auffällig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nicht bewertbar — ausgeschlossen</w:t>
            </w:r>
          </w:p>
        </w:tc>
      </w:tr>
    </w:tbl>
    <w:p>
      <w:pPr>
        <w:spacing w:before="0" w:after="160"/>
      </w:pPr>
      <w:r>
        <w:rPr>
          <w:b w:val="0"/>
          <w:i/>
          <w:color w:val="555555"/>
          <w:sz w:val="20"/>
        </w:rPr>
        <w:t>Alle folgenden Abschnitte dieses Berichts verwenden bereits die aktuelle Code-Interpretation.</w:t>
      </w:r>
    </w:p>
    <w:p/>
    <w:p>
      <w:pPr>
        <w:pStyle w:val="Heading2"/>
        <w:spacing w:before="200" w:after="60"/>
      </w:pPr>
      <w:r>
        <w:rPr>
          <w:b/>
          <w:color w:val="BF5A00"/>
          <w:sz w:val="24"/>
        </w:rPr>
        <w:t>1.2  Fragestellung</w:t>
      </w:r>
    </w:p>
    <w:p>
      <w:pPr>
        <w:spacing w:before="0" w:after="100"/>
      </w:pPr>
      <w:r>
        <w:rPr>
          <w:b/>
          <w:i w:val="0"/>
          <w:sz w:val="22"/>
        </w:rPr>
        <w:t>Welche Krankenhausmerkmale hängen damit zusammen, dass ein Haus überdurchschnittlich viele Qualitätsprobleme aufweist?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1.3  Datenbasis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fill="1F497D" w:val="clear"/>
          </w:tcPr>
          <w:p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5386"/>
            <w:shd w:fill="1F497D" w:val="clear"/>
          </w:tcPr>
          <w:p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Datenjahr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2023 · Quelle: IQTIG / G-BA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Krankenhäuser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1.821 (mit auswertbarer Qualitätsbewertung)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CSV-Dateien gesamt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86 · ca. 1,2 GB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Ziel-Variable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hat_viele_Probleme (0 = wenige, 1 = viele)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Analysetabelle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analysetabelle.csv · 1.821 Zeilen · 18 Spalten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Python-Hauptdatei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Notebooks/01_Exploration.ipynb</w:t>
            </w:r>
          </w:p>
        </w:tc>
      </w:tr>
    </w:tbl>
    <w:p>
      <w:pPr>
        <w:spacing w:before="0" w:after="100"/>
      </w:pPr>
      <w:r>
        <w:rPr>
          <w:b w:val="0"/>
          <w:i/>
          <w:color w:val="555555"/>
          <w:sz w:val="20"/>
        </w:rPr>
        <w:t>IQTIG — Institut für Qualitätssicherung und Transparenz im Gesundheitswesen: Bundesbehörde, die im Auftrag des G-BA die jährlichen Qualitätsberichte aller deutschen Krankenhäuser erhebt, auswertet und veröffentlicht. G-BA — Gemeinsamer Bundesausschuss: oberstes Beschlussgremium der gemeinsamen Selbstverwaltung im deutschen Gesundheitswesen; legt fest, welche Qualitätsindikatoren erhoben werden müssen.</w:t>
      </w:r>
    </w:p>
    <w:p/>
    <w:p>
      <w:r>
        <w:br w:type="page"/>
      </w:r>
    </w:p>
    <w:p>
      <w:pPr>
        <w:pStyle w:val="Heading1"/>
        <w:spacing w:before="280" w:after="80"/>
      </w:pPr>
      <w:r>
        <w:rPr>
          <w:b/>
          <w:color w:val="1F497D"/>
          <w:sz w:val="28"/>
        </w:rPr>
        <w:t>2  Baustein 1 — Datenvorbereitung  (Woche 1)</w:t>
      </w:r>
    </w:p>
    <w:p>
      <w:pPr>
        <w:spacing w:before="0" w:after="100"/>
      </w:pPr>
      <w:r>
        <w:rPr>
          <w:b w:val="0"/>
          <w:i w:val="0"/>
          <w:sz w:val="22"/>
        </w:rPr>
        <w:t>Notebook: Notebooks/01_Exploration.ipynb  ·  Ergebnis: Data/analysetabelle.csv</w:t>
      </w:r>
    </w:p>
    <w:p>
      <w:pPr>
        <w:spacing w:before="80" w:after="80"/>
        <w:pBdr>
          <w:bottom w:val="single" w:sz="4" w:space="1" w:color="CCCCCC"/>
        </w:pBdr>
      </w:pPr>
    </w:p>
    <w:p>
      <w:pPr>
        <w:pStyle w:val="Heading2"/>
        <w:spacing w:before="200" w:after="60"/>
      </w:pPr>
      <w:r>
        <w:rPr>
          <w:b/>
          <w:color w:val="BF5A00"/>
          <w:sz w:val="24"/>
        </w:rPr>
        <w:t>2.1  Datensatz erkunden — Join-Schlüssel finden</w:t>
      </w:r>
    </w:p>
    <w:p>
      <w:pPr>
        <w:spacing w:before="0" w:after="100"/>
      </w:pPr>
      <w:r>
        <w:rPr>
          <w:b w:val="0"/>
          <w:i w:val="0"/>
          <w:sz w:val="22"/>
        </w:rPr>
        <w:t>Von allen 86 CSV-Dateien wurden mit `nrows=0` nur die Spaltennamen geladen (kein einziger Datensatz), um schnell den universellen Join-Schlüssel zu finden: SO.QBID erscheint in 60 der 86 Dateien.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df_header = pd.read_csv(datei, nrows=0)   </w:t>
      </w:r>
      <w:r>
        <w:rPr>
          <w:rFonts w:ascii="Courier New" w:hAnsi="Courier New"/>
          <w:color w:val="277A3B"/>
          <w:sz w:val="19"/>
        </w:rPr>
        <w:t># nur Spaltenheader, keine Daten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spalten_zaehler = Counter()               </w:t>
      </w:r>
      <w:r>
        <w:rPr>
          <w:rFonts w:ascii="Courier New" w:hAnsi="Courier New"/>
          <w:color w:val="277A3B"/>
          <w:sz w:val="19"/>
        </w:rPr>
        <w:t># zählt Spalten über alle Dateien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SO.QBID: 60 Dateien  |  ABTID: 5 Dateien</w:t>
      </w:r>
    </w:p>
    <w:p>
      <w:pPr>
        <w:spacing w:before="0" w:after="100"/>
      </w:pPr>
      <w:r>
        <w:rPr>
          <w:b w:val="0"/>
          <w:i/>
          <w:color w:val="555555"/>
          <w:sz w:val="20"/>
        </w:rPr>
        <w:t>SO.QBID — Qualitätsbericht-ID des Standorts: eindeutige Nummer, die jedem Krankenhaus-Standort zugeteilt ist und in fast allen Tabellen vorkommt. Sie ist der universelle Verbindungsschlüssel des gesamten Datensatzes. ABTID — Abteilungs-ID: eindeutige Nummer einer einzelnen Fachabteilung innerhalb eines Krankenhauses (z. B. Chirurgie oder Innere Medizin). Sie verbindet FA.csv (Abteilungsliste) mit FA.Personalliste.csv (Personal je Abteilung).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2.2  Ziel-Variable berechnen  (QS.Qualitätsindikator.csv)</w:t>
      </w:r>
    </w:p>
    <w:p>
      <w:pPr>
        <w:spacing w:before="0" w:after="100"/>
      </w:pPr>
      <w:r>
        <w:rPr>
          <w:b/>
          <w:i w:val="0"/>
          <w:sz w:val="22"/>
        </w:rPr>
        <w:t xml:space="preserve">Warum steckt die Ziel-Variable genau in dieser Datei? </w:t>
      </w:r>
      <w:r>
        <w:rPr>
          <w:b w:val="0"/>
          <w:i w:val="0"/>
          <w:sz w:val="22"/>
        </w:rPr>
        <w:t xml:space="preserve">Beim Durchsuchen der 86 CSV-Header fiel diese Datei durch zwei Eigenschaften auf: Sie ist mit 911 MB die größte Datei im Datensatz — ein Signal für zentrale Inhaltsdaten. Außerdem enthält sie die Spalte </w:t>
      </w:r>
      <w:r>
        <w:rPr>
          <w:b/>
          <w:i w:val="0"/>
          <w:sz w:val="22"/>
        </w:rPr>
        <w:t>QSErgBewStrukDialog</w:t>
      </w:r>
      <w:r>
        <w:rPr>
          <w:b w:val="0"/>
          <w:i w:val="0"/>
          <w:sz w:val="22"/>
        </w:rPr>
        <w:t xml:space="preserve"> (= Ergebnis der Bewertung im Strukturierten Dialog). Damit war klar: Diese Spalte ist die gesuchte Bewertung.</w:t>
      </w:r>
    </w:p>
    <w:p>
      <w:pPr>
        <w:spacing w:before="0" w:after="100"/>
      </w:pPr>
      <w:r>
        <w:rPr>
          <w:b/>
          <w:i w:val="0"/>
          <w:sz w:val="22"/>
        </w:rPr>
        <w:t xml:space="preserve">Interpretation der Codes: </w:t>
      </w:r>
      <w:r>
        <w:rPr>
          <w:b w:val="0"/>
          <w:i w:val="0"/>
          <w:sz w:val="22"/>
        </w:rPr>
        <w:t>N01/N02/N99 = keine Bewertung vorgesehen (ausgeschlossen), R10 = nicht auffällig, alle übrigen bewertbaren Codes (H/U/A) = auffällig, D/S = nicht bewertbar (ausgeschlossen) — siehe Abschnitt 1.1 für die vollständige Code-Tabelle und ihre Herleitung.</w:t>
      </w:r>
    </w:p>
    <w:p>
      <w:pPr>
        <w:spacing w:before="0" w:after="100"/>
      </w:pPr>
      <w:r>
        <w:rPr>
          <w:b w:val="0"/>
          <w:i w:val="0"/>
          <w:sz w:val="22"/>
        </w:rPr>
        <w:t xml:space="preserve">Die zweite wichtige Spalte ist </w:t>
      </w:r>
      <w:r>
        <w:rPr>
          <w:b/>
          <w:i w:val="0"/>
          <w:sz w:val="22"/>
        </w:rPr>
        <w:t>QSQI.ArtDesWertes</w:t>
      </w:r>
      <w:r>
        <w:rPr>
          <w:b w:val="0"/>
          <w:i w:val="0"/>
          <w:sz w:val="22"/>
        </w:rPr>
        <w:t>. Sie gibt an, ob eine Zeile ein echter Qualitätsindikator (QI) oder nur eine Fallzählung (EKez, TKez, KKez) ist. Fallzählungen enthalten keine Bewertung und müssen herausgefiltert werden.</w:t>
      </w:r>
    </w:p>
    <w:p>
      <w:pPr>
        <w:spacing w:before="0" w:after="100"/>
      </w:pPr>
      <w:r>
        <w:rPr>
          <w:b w:val="0"/>
          <w:i w:val="0"/>
          <w:sz w:val="22"/>
        </w:rPr>
        <w:t>Ergebnis der Bereinigung — Zeilen nach jedem Schritt: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Schritt</w:t>
            </w:r>
          </w:p>
        </w:tc>
        <w:tc>
          <w:tcPr>
            <w:tcW w:type="dxa" w:w="4252"/>
            <w:shd w:fill="1F497D" w:val="clear"/>
          </w:tcPr>
          <w:p>
            <w:r>
              <w:rPr>
                <w:b/>
                <w:color w:val="FFFFFF"/>
                <w:sz w:val="20"/>
              </w:rPr>
              <w:t>Beschreibung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Entfernt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Verbleibend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Start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Ausgangsdatensatz QS.Qualitätsindikator.csv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417.799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Schritt 1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Zählkennzahlen entfernt (EKez 33.557 · TKez 56.977 · KKez 18.539)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109.073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308.726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Schritt 2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N* entfernt — N01/N02/N99, nicht bewertet ≠ unauffällig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109.956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198.770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Schritt 3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Duplikate entfernt — je Haus+Indikator eine Zeile (61 % der Zeilen!)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121.233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77.537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Ergebnis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Einzigartige Häuser: 1.821 · Ø 42,6 Indikatoren/Haus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77.537</w:t>
            </w:r>
          </w:p>
        </w:tc>
      </w:tr>
    </w:tbl>
    <w:p>
      <w:pPr>
        <w:spacing w:before="0" w:after="100"/>
      </w:pPr>
      <w:r>
        <w:rPr>
          <w:b w:val="0"/>
          <w:i/>
          <w:color w:val="555555"/>
          <w:sz w:val="22"/>
        </w:rPr>
        <w:t>Median auffällig-Quote: 5,88 %  →  Trennwert für hat_viele_Probleme (0/1)</w:t>
      </w:r>
    </w:p>
    <w:p>
      <w:pPr>
        <w:spacing w:before="0" w:after="100"/>
      </w:pPr>
      <w:r>
        <w:rPr>
          <w:b/>
          <w:i w:val="0"/>
          <w:sz w:val="22"/>
        </w:rPr>
        <w:t xml:space="preserve">Von 77.537 Zeilen zu 1.821 Häusern — wie? </w:t>
      </w:r>
      <w:r>
        <w:rPr>
          <w:b w:val="0"/>
          <w:i w:val="0"/>
          <w:sz w:val="22"/>
        </w:rPr>
        <w:t>Jede der 77.537 Zeilen enthält eine SO.QBID — die ID des Krankenhauses, zu dem der Indikator gehört. Viele Zeilen teilen dieselbe SO.QBID, weil ein Haus viele Indikatoren hat. Mit nunique() zählen wir, wie viele verschiedene IDs vorkommen: qi_dedup['SO.QBID'].nunique() → 1.821. Das bedeutet: In den 77.537 Zeilen gibt es genau 1.821 verschiedene Krankenhaus-IDs.</w:t>
      </w:r>
    </w:p>
    <w:p>
      <w:pPr>
        <w:spacing w:before="0" w:after="100"/>
      </w:pPr>
      <w:r>
        <w:rPr>
          <w:b/>
          <w:i w:val="0"/>
          <w:sz w:val="22"/>
        </w:rPr>
        <w:t xml:space="preserve">Wichtig — 1.821 vs. 1.824: 3 Häuser gehen bei der Bereinigung verloren: </w:t>
      </w:r>
      <w:r>
        <w:rPr>
          <w:b w:val="0"/>
          <w:i w:val="0"/>
          <w:sz w:val="22"/>
        </w:rPr>
        <w:t>Nachgerechnet auf den komplett ungefilterten 417.799 Roh-Zeilen ergibt qi['SO.QBID'].nunique() bereits 1.824 — das ist die Anzahl der Häuser, die überhaupt irgendeine Zeile in QS.Qualitätsindikator.csv haben, unabhängig von der Bewertung. Unter der aktuellen Definition (alle N*-Codes ausschließen, nicht nur N99) haben 3 dieser 1.824 Häuser aber gar keine einzige bewertbare Zeile mehr übrig — bei ihnen ist jeder einzelne Indikator mit einem N*-Code versehen. Diese 3 Häuser fallen deshalb aus der Ziel-Variable heraus, es bleiben 1.821. Zum Vergleich: SO.csv (Stammdaten) hat 2.310 eindeutige SO.QBID — das sind alle Krankenhaus-Standorte, unabhängig davon, ob überhaupt eine Qualitätsbewertung vorliegt.</w:t>
      </w:r>
    </w:p>
    <w:p>
      <w:pPr>
        <w:spacing w:before="0" w:after="100"/>
      </w:pPr>
      <w:r>
        <w:rPr>
          <w:b/>
          <w:i w:val="0"/>
          <w:sz w:val="22"/>
        </w:rPr>
        <w:t xml:space="preserve">Daher der Durchschnitt: </w:t>
      </w:r>
      <w:r>
        <w:rPr>
          <w:b w:val="0"/>
          <w:i w:val="0"/>
          <w:sz w:val="22"/>
        </w:rPr>
        <w:t>77.537 Zeilen ÷ 1.821 Häuser = 42,6 Indikatoren pro Haus. Der groupby()-Schritt fasst dann alle Zeilen desselben Hauses zusammen: Er zählt, wie viele Indikatoren das Haus hat (total_qi) und wie viele davon auffällig sind (auffaellig_n). Das Ergebnis: eine Zeile pro Krankenhaus mit der berechneten auffaellig_quote.</w:t>
      </w:r>
    </w:p>
    <w:p>
      <w:pPr>
        <w:spacing w:before="0" w:after="100"/>
      </w:pPr>
      <w:r>
        <w:rPr>
          <w:b/>
          <w:i w:val="0"/>
          <w:sz w:val="22"/>
        </w:rPr>
        <w:t xml:space="preserve">Wie wurde der Median berechnet? </w:t>
      </w:r>
      <w:r>
        <w:rPr>
          <w:b w:val="0"/>
          <w:i w:val="0"/>
          <w:sz w:val="22"/>
        </w:rPr>
        <w:t>Alle 1.821 Häuser haben jetzt eine auffaellig_quote zwischen 0 % und 100 %. Diese Werte werden der Größe nach sortiert — der Median ist der Wert genau in der Mitte (Platz 911 von 1.821). Er liegt bei 5,88 %. Jedes Haus oberhalb dieses Wertes bekommt hat_viele_Probleme = 1, alle anderen = 0. Der Median wurde als Schwelle gewählt, weil er die Häuser in zwei gleich große Gruppen teilt und robuster gegen einzelne Extremwerte ist als der Mittelwert.</w:t>
      </w:r>
    </w:p>
    <w:p>
      <w:pPr>
        <w:keepNext/>
        <w:spacing w:before="120"/>
      </w:pPr>
      <w:r>
        <w:rPr>
          <w:b/>
          <w:color w:val="555555"/>
          <w:sz w:val="20"/>
        </w:rPr>
        <w:t>Ergebnis: Verteilung der auffällig-Quote — graue Linie = Median 5,88 % (Trennwert)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2636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auffaellig_quo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6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60"/>
      </w:pPr>
      <w:r>
        <w:rPr>
          <w:b/>
          <w:i w:val="0"/>
          <w:sz w:val="22"/>
        </w:rPr>
        <w:t>Beispiel — so sieht das Ergebnis für die ersten Häuser aus: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134"/>
            <w:shd w:fill="1F497D" w:val="clear"/>
          </w:tcPr>
          <w:p>
            <w:r>
              <w:rPr>
                <w:b/>
                <w:color w:val="FFFFFF"/>
                <w:sz w:val="20"/>
              </w:rPr>
              <w:t>SO.QBID</w:t>
            </w:r>
          </w:p>
        </w:tc>
        <w:tc>
          <w:tcPr>
            <w:tcW w:type="dxa" w:w="1134"/>
            <w:shd w:fill="1F497D" w:val="clear"/>
          </w:tcPr>
          <w:p>
            <w:r>
              <w:rPr>
                <w:b/>
                <w:color w:val="FFFFFF"/>
                <w:sz w:val="20"/>
              </w:rPr>
              <w:t>total_qi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auffaellig_n</w:t>
            </w:r>
          </w:p>
        </w:tc>
        <w:tc>
          <w:tcPr>
            <w:tcW w:type="dxa" w:w="1984"/>
            <w:shd w:fill="1F497D" w:val="clear"/>
          </w:tcPr>
          <w:p>
            <w:r>
              <w:rPr>
                <w:b/>
                <w:color w:val="FFFFFF"/>
                <w:sz w:val="20"/>
              </w:rPr>
              <w:t>auffaellig_quote</w:t>
            </w:r>
          </w:p>
        </w:tc>
        <w:tc>
          <w:tcPr>
            <w:tcW w:type="dxa" w:w="2835"/>
            <w:shd w:fill="1F497D" w:val="clear"/>
          </w:tcPr>
          <w:p>
            <w:r>
              <w:rPr>
                <w:b/>
                <w:color w:val="FFFFFF"/>
                <w:sz w:val="20"/>
              </w:rPr>
              <w:t>hat_viele_Probleme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4876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5,3 %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  (wenige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4878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0,0 %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  (wenige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4879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5,6 %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  (wenige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4880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8,3 %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 (viele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4881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13,0 %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 (viele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4882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3,8 %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  (wenige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4886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6,0 %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 (viele Probleme)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4887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14,1 %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 (viele Probleme)</w:t>
            </w:r>
          </w:p>
        </w:tc>
      </w:tr>
    </w:tbl>
    <w:p>
      <w:pPr>
        <w:spacing w:before="0" w:after="100"/>
      </w:pPr>
      <w:r>
        <w:rPr>
          <w:b w:val="0"/>
          <w:i/>
          <w:color w:val="555555"/>
          <w:sz w:val="19"/>
        </w:rPr>
        <w:t>SO.QBID = Krankenhaus-ID  ·  total_qi = Anzahl bewerteter Indikatoren  ·  auffaellig_n = davon auffällig  ·  auffaellig_quote = auffaellig_n / total_qi  ·  hat_viele_Probleme = 1 wenn Quote &gt; Median 5,88 %</w:t>
      </w:r>
    </w:p>
    <w:p/>
    <w:p>
      <w:pPr>
        <w:pStyle w:val="Heading2"/>
        <w:spacing w:before="200" w:after="60"/>
      </w:pPr>
      <w:r>
        <w:rPr>
          <w:b/>
          <w:color w:val="BF5A00"/>
          <w:sz w:val="24"/>
        </w:rPr>
        <w:t>2.3  Merkmale (Features) aufbereiten</w:t>
      </w:r>
    </w:p>
    <w:p>
      <w:pPr>
        <w:spacing w:before="0" w:after="160"/>
      </w:pPr>
      <w:r>
        <w:rPr>
          <w:b w:val="0"/>
          <w:i w:val="0"/>
          <w:sz w:val="22"/>
        </w:rPr>
        <w:t>Warum genau diese 8 Merkmale? Die Aufgabenstellung (Fragestellung.docx) fordert 5–8 aussagekräftige Strukturmerkmale und nennt dabei explizit Bettenzahl, Trägerschaft, Region, Uni-Status, Fortbildungsquote und Ärzte pro Bett als Beispiele — diese sechs wurden direkt übernommen. Pflegekräfte pro Bett und Konzernzugehörigkeit kamen nachträglich hinzu, beide auf Empfehlung der Kollegen aus dem BI-Tool-Vergleich (Personalintensität bzw. mögliche zentrale Qualitätssicherung im Konzern als plausible Zusatzhypothesen). Damit ist die von der Aufgabenstellung vorgegebene Obergrenze von 8 Merkmalen erreicht.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fill="1F497D" w:val="clear"/>
          </w:tcPr>
          <w:p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  <w:t>Quelle</w:t>
            </w:r>
          </w:p>
        </w:tc>
        <w:tc>
          <w:tcPr>
            <w:tcW w:type="dxa" w:w="3969"/>
            <w:shd w:fill="1F497D" w:val="clear"/>
          </w:tcPr>
          <w:p>
            <w:r>
              <w:rPr>
                <w:b/>
                <w:color w:val="FFFFFF"/>
                <w:sz w:val="20"/>
              </w:rPr>
              <w:t>Python-Technik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SO.Betten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SO.csv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pd.read_csv → direkt verfügbar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KH.Träger.Art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SO.csv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pd.read_csv → direkt verfügbar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SO.Bundesland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SO.csv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pd.read_csv → direkt verfügbar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SO.Uni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SO.csv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pd.read_csv → direkt verfügbar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fortbildungsquote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QS.Fortbildung.csv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Berechnet: Erbracht / Pflichtige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aerzte_pro_bett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FA.Personalliste.csv + FA.csv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2× Left Join über ABTID → FA.QBID; str.replace(',','.') → float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pflege_pro_bett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SO.Personalliste.csv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Filter Bereich=='Pflege', groupby, / SO.Betten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ist_konzern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Konzern.csv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SO.Standortnummer in Konzern? → 0/1</w:t>
            </w:r>
          </w:p>
        </w:tc>
      </w:tr>
    </w:tbl>
    <w:p/>
    <w:p>
      <w:pPr>
        <w:spacing w:before="0" w:after="100"/>
      </w:pPr>
      <w:r>
        <w:rPr>
          <w:b w:val="0"/>
          <w:i/>
          <w:color w:val="555555"/>
          <w:sz w:val="22"/>
        </w:rPr>
        <w:t>Technische Besonderheit bei aerzte_pro_bett: Dezimalzahlen lagen im deutschen Format gespeichert ('13,47' statt '13.47'). pandas interpretiert das als String — Summe wäre 0. Fix: str.replace + pd.to_numeric.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aerzte['anzahl_float'] = aerzte['FA.Personal.Anzahl']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.astype(str).str.replace(',', '.').pipe(pd.to_numeric, errors='coerce')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2.4  Analysetabelle zusammenführen</w:t>
      </w:r>
    </w:p>
    <w:p>
      <w:pPr>
        <w:spacing w:before="0" w:after="100"/>
      </w:pPr>
      <w:r>
        <w:rPr>
          <w:b w:val="0"/>
          <w:i w:val="0"/>
          <w:sz w:val="22"/>
        </w:rPr>
        <w:t>Der Merge passiert nicht in einem einzigen Schritt, sondern schrittweise in 3 Stufen, verteilt über das Notebook — nach jeder Stufe wird die wachsende Tabelle als Data/analysetabelle.csv gespeichert, bevor die nächste Stufe darauf aufbaut:</w:t>
      </w:r>
    </w:p>
    <w:p>
      <w:pPr>
        <w:spacing w:before="0" w:after="40"/>
      </w:pPr>
      <w:r>
        <w:rPr>
          <w:b/>
          <w:i w:val="0"/>
          <w:sz w:val="22"/>
        </w:rPr>
        <w:t>Stufe 1 (Abschnitt 4) — Ziel-Variable + Stammdaten + Fortbildungsquote: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analyse = auffaellig_quote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.merge(so_klein, on='SO.QBID', how='left')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.merge(fb_quote, on='SO.QBID', how='left')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(1.821, 14)  ·  gespeichert nach Data/analysetabelle.csv</w:t>
      </w:r>
    </w:p>
    <w:p>
      <w:pPr>
        <w:spacing w:before="0" w:after="40"/>
      </w:pPr>
      <w:r>
        <w:rPr>
          <w:b/>
          <w:i w:val="0"/>
          <w:sz w:val="22"/>
        </w:rPr>
        <w:t>Stufe 2 (Abschnitt 5.2) — Ärzte pro Bett hinzugefügt: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analyse = analyse.merge(aerzte_pro_haus[['SO.QBID','aerzte_pro_bett']], on='SO.QBID', how='left')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(1.821, 16)  ·  erneut gespeichert (überschreibt Stufe 1)</w:t>
      </w:r>
    </w:p>
    <w:p>
      <w:pPr>
        <w:spacing w:before="0" w:after="40"/>
      </w:pPr>
      <w:r>
        <w:rPr>
          <w:b/>
          <w:i w:val="0"/>
          <w:sz w:val="22"/>
        </w:rPr>
        <w:t>Stufe 3 (Abschnitt 8) — Pflege pro Bett und Konzernzugehörigkeit hinzugefügt: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analyse = analyse.merge(pflege_pro_haus[['SO.QBID','pflege_pro_bett']], on='SO.QBID', how='left')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analyse = analyse.merge(konzern_flag[['SO.QBID','ist_konzern']], on='SO.QBID', how='left')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(1.821, 18)  ·  finale Version, erneut gespeichert (überschreibt Stufe 2)</w:t>
      </w:r>
    </w:p>
    <w:p>
      <w:pPr>
        <w:spacing w:before="0" w:after="100"/>
      </w:pPr>
      <w:r>
        <w:rPr>
          <w:b w:val="0"/>
          <w:i/>
          <w:color w:val="555555"/>
          <w:sz w:val="19"/>
        </w:rPr>
        <w:t>Insgesamt also 5 einzelne .merge()-Aufrufe über 3 Stufen, mit 3 Speichervorgängen — nicht ein einziger großer Merge am Ende, sondern eine schrittweise wachsende Tabelle, jeweils dann erweitert, wenn ein neues Merkmal fertig berechnet war.</w:t>
      </w:r>
    </w:p>
    <w:p/>
    <w:p>
      <w:pPr>
        <w:spacing w:before="0" w:after="60"/>
      </w:pPr>
      <w:r>
        <w:rPr>
          <w:b/>
          <w:i w:val="0"/>
          <w:sz w:val="22"/>
        </w:rPr>
        <w:t>Woher stammt jede Tabelle in dieser Merge-Kette?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fill="1F497D" w:val="clear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402"/>
            <w:shd w:fill="1F497D" w:val="clear"/>
          </w:tcPr>
          <w:p>
            <w:r>
              <w:rPr>
                <w:b/>
                <w:color w:val="FFFFFF"/>
                <w:sz w:val="20"/>
              </w:rPr>
              <w:t>Quelldatei</w:t>
            </w:r>
          </w:p>
        </w:tc>
        <w:tc>
          <w:tcPr>
            <w:tcW w:type="dxa" w:w="2835"/>
            <w:shd w:fill="1F497D" w:val="clear"/>
          </w:tcPr>
          <w:p>
            <w:r>
              <w:rPr>
                <w:b/>
                <w:color w:val="FFFFFF"/>
                <w:sz w:val="20"/>
              </w:rPr>
              <w:t>Beigetragene Spalten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auffaellig_quote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QS.Qualitätsindikator.csv (Abschnitt 2.2, Basis der Kette)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total_qi, auffaellig_n, auffaellig_quote, hat_viele_Probleme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so_klein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SO.csv (Stammdaten)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SO.Name, SO.Betten, SO.Bundesland, SO.Uni, KH.Träger, KH.Träger.Art, SO.Latitude, SO.Longitude, SO.Standortnummer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fb_quote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QS.Fortbildung.csv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fortbildungsquote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aerzte_pro_haus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FA.Personalliste.csv + FA.csv (2 Joins über ABTID)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aerzte_pro_bett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pflege_haus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SO.Personalliste.csv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pflege_pro_bett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konzern_flag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Konzern.csv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ist_konzern</w:t>
            </w:r>
          </w:p>
        </w:tc>
      </w:tr>
    </w:tbl>
    <w:p>
      <w:pPr>
        <w:spacing w:before="0" w:after="100"/>
      </w:pPr>
      <w:r>
        <w:rPr>
          <w:b w:val="0"/>
          <w:i/>
          <w:color w:val="555555"/>
          <w:sz w:val="19"/>
        </w:rPr>
        <w:t>SO.QBID ist in jeder der sechs Tabellen der gemeinsame Schlüssel — dadurch landet am Ende jede Spalte in der richtigen Zeile (= richtiges Krankenhaus), obwohl die Spalten aus fünf völlig unterschiedlichen Rohdateien stammen. how='left' mit auffaellig_quote als Basis stellt sicher, dass alle 1.821 Häuser mit Ziel-Variable erhalten bleiben, auch wenn ihnen einzelne Merkmale fehlen (z. B. keine Fortbildungsdaten → NaN bei fortbildungsquote).</w:t>
      </w:r>
    </w:p>
    <w:p>
      <w:pPr>
        <w:spacing w:before="0" w:after="100"/>
      </w:pPr>
      <w:r>
        <w:rPr>
          <w:b/>
          <w:i w:val="0"/>
          <w:sz w:val="22"/>
        </w:rPr>
        <w:t xml:space="preserve">Warum 1.821 Zeilen und nicht 2.310? </w:t>
      </w:r>
      <w:r>
        <w:rPr>
          <w:b w:val="0"/>
          <w:i w:val="0"/>
          <w:sz w:val="22"/>
        </w:rPr>
        <w:t>Ausgangspunkt des Merges ist auffaellig_quote (die Ziel-Variable, 1.821 Häuser) — so_klein aus SO.csv (2.310 Häuser) wird per Left Join daran angehängt, nicht umgekehrt. Dadurch bleiben nur Häuser übrig, die auch in der Ziel-Variable vorkommen. In zwei Schritten werden es weniger: 486 Häuser (2.310 − 1.824) stehen zwar in SO.csv mit Stammdaten, haben aber keine Zeile in QS.Qualitätsindikator.csv überhaupt. Von den verbliebenen 1.824 haben zusätzlich 3 Häuser unter der aktuellen Definition keine einzige bewertbare Zeile mehr (siehe Abschnitt 2.2) — macht zusammen 489 fehlende Häuser und 1.821 übrige.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F497D"/>
          <w:sz w:val="28"/>
        </w:rPr>
        <w:t>3  Baustein 2 — Deskriptive Analyse  (Woche 2)</w:t>
      </w:r>
    </w:p>
    <w:p>
      <w:pPr>
        <w:spacing w:before="0" w:after="100"/>
      </w:pPr>
      <w:r>
        <w:rPr>
          <w:b w:val="0"/>
          <w:i w:val="0"/>
          <w:sz w:val="22"/>
        </w:rPr>
        <w:t>Notebook: Notebooks/02_Analyse.ipynb  ·  Ergebnis: 10 Grafiken in grafiken/  ·  5 statistische Tests</w:t>
      </w:r>
    </w:p>
    <w:p>
      <w:pPr>
        <w:spacing w:before="80" w:after="80"/>
        <w:pBdr>
          <w:bottom w:val="single" w:sz="4" w:space="1" w:color="CCCCCC"/>
        </w:pBdr>
      </w:pPr>
    </w:p>
    <w:p>
      <w:pPr>
        <w:pStyle w:val="Heading2"/>
        <w:spacing w:before="200" w:after="60"/>
      </w:pPr>
      <w:r>
        <w:rPr>
          <w:b/>
          <w:color w:val="BF5A00"/>
          <w:sz w:val="24"/>
        </w:rPr>
        <w:t>3.1  Die 10 Grafiken im Detail</w:t>
      </w:r>
    </w:p>
    <w:p>
      <w:pPr>
        <w:spacing w:before="0" w:after="100"/>
      </w:pPr>
      <w:r>
        <w:rPr>
          <w:b w:val="0"/>
          <w:i w:val="0"/>
          <w:sz w:val="22"/>
        </w:rPr>
        <w:t>Alle Analysen arbeiten ausschließlich auf analysetabelle.csv. Zu jeder Grafik: was sie zeigt und warum sie für die Projektfrage wichtig ist. Die Tabelle unten fasst die Kernaussage jeder Grafik auf einen Blick zusammen — im Anschluss folgt jede Grafik einzeln mit Bild und Erklärung.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fill="1F497D" w:val="clear"/>
          </w:tcPr>
          <w:p>
            <w:r>
              <w:rPr>
                <w:b/>
                <w:color w:val="FFFFFF"/>
                <w:sz w:val="20"/>
              </w:rPr>
              <w:t>Grafik</w:t>
            </w:r>
          </w:p>
        </w:tc>
        <w:tc>
          <w:tcPr>
            <w:tcW w:type="dxa" w:w="5102"/>
            <w:shd w:fill="1F497D" w:val="clear"/>
          </w:tcPr>
          <w:p>
            <w:r>
              <w:rPr>
                <w:b/>
                <w:color w:val="FFFFFF"/>
                <w:sz w:val="20"/>
              </w:rPr>
              <w:t>Kernaussage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 — Verteilung der auffällig-Quote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Zielvariable rechtsschief verteilt, Median 5,88 % — Ausgangspunkt aller Vergleiche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 — Bettenzahl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Schwacher, aber messbarer Zusammenhang (Md 166 vs. 220, r=+0,14) — Häuser mit vielen Problemen tendenziell größer, Bereiche überlappen stark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3 — Trägerschaft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Optisch sichtbar (öffentlich 53,5 % vs. privat 43,8 %), aber laut ANOVA NICHT statistisch signifikant (p=0,969)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4 — Uni-Kliniken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Deutlicher Unterschied: Uni-Kliniken (68,5 %) vs. normale Häuser (48,7 %) — bei kleiner Fallzahl (n=92) mit Vorsicht zu lesen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5+6 — Fortbildung &amp; Ärzte pro Bett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Fortbildung ohne Effekt · Ärzte pro Bett bei Häusern mit vielen Problemen höher — wichtigstes Merkmal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7 — Bundesland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Regionale Unterschiede im Anteil der Häuser mit vielen Qualitätsproblemen sichtbar, aber kleine Stichproben beachten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8 — Korrelationsmatrix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Kompakte Übersicht: Ärzte/Bett und Pflege/Bett korrelieren am stärksten (positiv) mit vielen Qualitätsproblemen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9 — Streudiagramm Betten × Ärzte/Bett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Häuser mit wenigen vs. vielen Qualitätsproblemen lassen sich anhand dieser zwei Merkmale nicht klar trennen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10 — Störfaktor Träger × Bettengröße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Private Häuser sind im Schnitt kleiner (Md 125 vs. 232 Betten) — bleibt als methodischer Punkt relevant, ist aber zweitrangig, da schon die ANOVA in Grafik 3 keinen Trägereffekt findet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11 — Pflegekräfte pro Bett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Gleiches Muster wie Ärzte/Bett — drittwichtigstes Merkmal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12 — Konzernvergleich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Kein statistisch signifikanter Unterschied zwischen Konzern- und unabhängigen Häusern (Chi² p=0,2585)</w:t>
            </w:r>
          </w:p>
        </w:tc>
      </w:tr>
    </w:tbl>
    <w:p/>
    <w:p>
      <w:pPr>
        <w:keepNext/>
        <w:spacing w:before="120"/>
      </w:pPr>
      <w:r>
        <w:rPr>
          <w:b/>
          <w:color w:val="555555"/>
          <w:sz w:val="20"/>
        </w:rPr>
        <w:t>Grafik 1 — Verteilung der auffällig-Quote (Median 5,88 %, rechtsschief)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2636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auffaellig_quo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6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Zeigt, wie die Ziel-Variable selbst verteilt ist, bevor überhaupt etwas verglichen wird — Grundvoraussetzung für alle folgenden Auswertungen. Die auffällige Spitze bei 0 % (28,2 % der Häuser) zeigt: die meisten Häuser haben nur sehr wenige auffällige Indikatoren — 'viele Probleme' ist eine relative, keine absolute Aussage.</w:t>
      </w:r>
    </w:p>
    <w:p>
      <w:pPr>
        <w:keepNext/>
        <w:spacing w:before="120"/>
      </w:pPr>
      <w:r>
        <w:rPr>
          <w:b/>
          <w:color w:val="555555"/>
          <w:sz w:val="20"/>
        </w:rPr>
        <w:t>Grafik 2 — Bettenzahl: Wenige Probleme Md=166, Viele Probleme Md=220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55288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bettenzah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28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Prüft die naheliegende Hypothese 'größere Häuser = andere Auffälligkeit'. Häuser mit vielen Problemen sind im Median größer (220 vs. 166 Betten). Die Korrelation ist mit r=+0,14 aber schwach: Bei dieser Stichprobengröße (1.821 Häuser) werden schon kleine Effekte statistisch signifikant, ohne praktisch groß zu sein. Die Wertebereiche beider Gruppen überlappen stark — Bettenzahl allein hat kaum Vorhersagekraft, welcher Gruppe ein Haus angehört.</w:t>
      </w:r>
    </w:p>
    <w:p>
      <w:pPr>
        <w:keepNext/>
        <w:spacing w:before="120"/>
      </w:pPr>
      <w:r>
        <w:rPr>
          <w:b/>
          <w:color w:val="555555"/>
          <w:sz w:val="20"/>
        </w:rPr>
        <w:t>Grafik 3 — Trägerschaft: Öffentliche Häuser mit höchstem Auffälligkeitsanteil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31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traegerscha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Optisch der auffälligste Unterschied der gesamten Analyse (öffentlich 53,5 % vs. freigemeinnützig 50,6 % vs. privat 43,8 %) — die spätere ANOVA auf der stetigen Quote zeigt aber: F=0,031, p=0,969, NICHT signifikant. Die drei Trägerarten unterscheiden sich im Mittelwert der Quote praktisch nicht (8,56 % / 8,57 % / 8,72 %) — der Unterschied in den Prozentsätzen entsteht erst durch den Median-Split.</w:t>
      </w:r>
    </w:p>
    <w:p>
      <w:pPr>
        <w:keepNext/>
        <w:spacing w:before="120"/>
      </w:pPr>
      <w:r>
        <w:rPr>
          <w:b/>
          <w:color w:val="555555"/>
          <w:sz w:val="20"/>
        </w:rPr>
        <w:t>Grafik 4 — Uni-Kliniken (68,5 %) vs. normale Häuser (48,7 %)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34146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un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14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Testet, ob spezialisierte Häuser mit komplexeren Fällen anders abschneiden. Deutlicher Unterschied — plausibel, da Uni-Kliniken öfter Hochrisikofälle behandeln, an denen die auf Standardfälle kalibrierten Indikatoren häufiger anschlagen. Bei nur 92 Uni-Kliniken im Datensatz ist das Ergebnis trotzdem mit Vorsicht zu lesen.</w:t>
      </w:r>
    </w:p>
    <w:p>
      <w:pPr>
        <w:keepNext/>
        <w:spacing w:before="120"/>
      </w:pPr>
      <w:r>
        <w:rPr>
          <w:b/>
          <w:color w:val="555555"/>
          <w:sz w:val="20"/>
        </w:rPr>
        <w:t>Grafik 5+6 — Ärzte pro Bett &amp; Pflegekräfte pro Bett (beide mit sichtbarem Unterschied)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20735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6_aerzte_pfle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Die entscheidende Weiche der gesamten Analyse — beide Personal-Merkmale zeigen dieselbe Richtung. Ärzte pro Bett: Md 0,382 vs. 0,470 (Häuser mit vielen Problemen haben MEHR Ärzte pro Bett) — bestätigt sich später per T-Test (t=−9,13, p&lt;0,0001) als stärkstes Einzelmerkmal und höchste Feature Importance im späteren Decision Tree. Pflegekräfte pro Bett: Md 0,891 vs. 1,047, dasselbe Muster, ebenfalls hoch signifikant (t=−7,51, p&lt;0,0001) — ein Hinweis, dass beide Merkmale teilweise dieselbe Eigenschaft 'Personalausstattung' messen (Korrelation r=0,58 untereinander, siehe Grafik 8).</w:t>
      </w:r>
    </w:p>
    <w:p>
      <w:pPr>
        <w:keepNext/>
        <w:spacing w:before="120"/>
      </w:pPr>
      <w:r>
        <w:rPr>
          <w:b/>
          <w:color w:val="555555"/>
          <w:sz w:val="20"/>
        </w:rPr>
        <w:t>Grafik 7 — Bundesland: Rheinland-Pfalz 64,0 % (n=89) vs. Thüringen 36,0 % (n=50)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2880000" cy="4133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bundesland_kachelkar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3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Prüft, ob Region/Landesvorgaben eine Rolle spielen. Sichtbare Unterschiede, aber mit Vorsicht zu lesen: manche Bundesländer haben nur wenige Häuser (z. B. Bremen: n=14) — dort kann ein einzelnes Haus den Landeswert stark verschieben.</w:t>
      </w:r>
    </w:p>
    <w:p>
      <w:pPr>
        <w:keepNext/>
        <w:spacing w:before="120"/>
      </w:pPr>
      <w:r>
        <w:rPr>
          <w:b/>
          <w:color w:val="555555"/>
          <w:sz w:val="20"/>
        </w:rPr>
        <w:t>Grafik 8 — Korrelationsmatrix: Alle Merkmale auf einen Blick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41802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korre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80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Fasst die gesamte deskriptive Analyse in einer Zahl pro Merkmal zusammen — die kompakteste Übersicht, welches Merkmal am stärksten mit hat_viele_Probleme zusammenhängt. Alle Korrelationen sind jetzt positiv: total_qi (r=+0,24, Strukturartefakt) vorn, dann aerzte_pro_bett (r=+0,21) und pflege_pro_bett (r=+0,17); ist_konzern und fortbildungsquote bleiben praktisch bei null.</w:t>
      </w:r>
    </w:p>
    <w:p>
      <w:pPr>
        <w:keepNext/>
        <w:spacing w:before="120"/>
      </w:pPr>
      <w:r>
        <w:rPr>
          <w:b/>
          <w:color w:val="555555"/>
          <w:sz w:val="20"/>
        </w:rPr>
        <w:t>Grafik 9 — Konzernhaus (52,5 %) vs. unabhängiges Haus (49,0 %)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34146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9_konzern_verglei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14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Testet eine von Kollegen vorgeschlagene Hypothese (zentrale Qualitätssicherung im Konzern). Leicht unterschiedliche Werte, aber per Chi²-Test bestätigt: p=0,2585, klar nicht signifikant. Bewusst trotzdem im Modell belassen: 'Kein Zusammenhang' ist ein valider, dokumentierter Befund.</w:t>
      </w:r>
    </w:p>
    <w:p>
      <w:pPr>
        <w:keepNext/>
        <w:spacing w:before="120"/>
      </w:pPr>
      <w:r>
        <w:rPr>
          <w:b/>
          <w:color w:val="555555"/>
          <w:sz w:val="20"/>
        </w:rPr>
        <w:t>Grafik 10 — Fortbildungsquote: kein Unterschied zwischen den Gruppen</w:t>
      </w:r>
    </w:p>
    <w:p>
      <w:pPr>
        <w:keepNext/>
        <w:keepLines/>
      </w:pPr>
      <w:r>
        <w:drawing>
          <wp:inline xmlns:a="http://schemas.openxmlformats.org/drawingml/2006/main" xmlns:pic="http://schemas.openxmlformats.org/drawingml/2006/picture">
            <wp:extent cx="4680000" cy="34379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fortbildungsquo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p>
      <w:pPr>
        <w:spacing w:before="0" w:after="100"/>
      </w:pPr>
      <w:r>
        <w:rPr>
          <w:b w:val="0"/>
          <w:i w:val="0"/>
          <w:color w:val="555555"/>
          <w:sz w:val="19"/>
        </w:rPr>
        <w:t>Warum wichtig: Anders als bei Ärzten und Pflegekräften zeigt die Fortbildungsquote keinerlei Unterschied (Md=0,667 in beiden Gruppen) — kein Zusammenhang mit Qualitätsproblemen erkennbar. Auch das ist ein valides, dokumentiertes Ergebnis.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3.2  Inferenzstatistik — sind die Unterschiede „echt“?</w:t>
      </w:r>
    </w:p>
    <w:p>
      <w:pPr>
        <w:spacing w:before="0" w:after="100"/>
      </w:pPr>
      <w:r>
        <w:rPr>
          <w:b w:val="0"/>
          <w:i w:val="0"/>
          <w:sz w:val="22"/>
        </w:rPr>
        <w:t>Abschnitt 3.1 zeigt: Manche Merkmale unterscheiden sich zwischen den Gruppen sichtbar (z. B. Ärzte pro Bett), andere nicht (z. B. Fortbildungsquote). Ein sichtbarer Unterschied in einer Grafik ist aber noch kein Beweis — er könnte durch Zufall entstanden sein, besonders bei kleineren Gruppen. Inferenzstatistik beantwortet genau diese Frage: Wie wahrscheinlich wäre ein beobachteter Unterschied, wenn es in Wirklichkeit gar keinen Unterschied gäbe? Ist diese Wahrscheinlichkeit sehr klein, gilt der Unterschied als statistisch signifikant.</w:t>
      </w:r>
    </w:p>
    <w:p>
      <w:pPr>
        <w:spacing w:before="0" w:after="100"/>
      </w:pPr>
      <w:r>
        <w:rPr>
          <w:b w:val="0"/>
          <w:i/>
          <w:color w:val="555555"/>
          <w:sz w:val="20"/>
        </w:rPr>
        <w:t>Grundbegriffe: Jeder Test prüft eine Nullhypothese H0 ('kein Unterschied / kein Zusammenhang'). Der p-Wert ist die Wahrscheinlichkeit, das beobachtete (oder ein noch extremeres) Ergebnis rein zufällig zu erhalten, wenn H0 tatsächlich zutrifft. Liegt der p-Wert unter dem Signifikanzniveau α = 0,05 (5 %), gilt H0 als widerlegt und der Unterschied als statistisch abgesichert. Wichtig: Ein p-Wert sagt nichts über die praktische Größe eines Effekts aus — dafür braucht es zusätzlich ein Maß wie die Korrelation r (Grafik 8) oder die reine Differenz der Mittelwerte. Bei einer großen Stichprobe (hier 1.821 Häuser) werden schon kleine, echte Effekte statistisch signifikant, ohne praktisch groß zu sein.</w:t>
      </w:r>
    </w:p>
    <w:p>
      <w:pPr>
        <w:spacing w:before="0" w:after="60"/>
      </w:pPr>
      <w:r>
        <w:rPr>
          <w:b/>
          <w:i w:val="0"/>
          <w:sz w:val="22"/>
        </w:rPr>
        <w:t>Welches Verfahren für welche Fragestellung?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871"/>
            <w:shd w:fill="1F497D" w:val="clear"/>
          </w:tcPr>
          <w:p>
            <w:r>
              <w:rPr>
                <w:b/>
                <w:color w:val="FFFFFF"/>
                <w:sz w:val="20"/>
              </w:rPr>
              <w:t>Verfahren</w:t>
            </w:r>
          </w:p>
        </w:tc>
        <w:tc>
          <w:tcPr>
            <w:tcW w:type="dxa" w:w="2381"/>
            <w:shd w:fill="1F497D" w:val="clear"/>
          </w:tcPr>
          <w:p>
            <w:r>
              <w:rPr>
                <w:b/>
                <w:color w:val="FFFFFF"/>
                <w:sz w:val="20"/>
              </w:rPr>
              <w:t>Prüft</w:t>
            </w:r>
          </w:p>
        </w:tc>
        <w:tc>
          <w:tcPr>
            <w:tcW w:type="dxa" w:w="1701"/>
            <w:shd w:fill="1F497D" w:val="clear"/>
          </w:tcPr>
          <w:p>
            <w:r>
              <w:rPr>
                <w:b/>
                <w:color w:val="FFFFFF"/>
                <w:sz w:val="20"/>
              </w:rPr>
              <w:t>Merkmalstyp</w:t>
            </w:r>
          </w:p>
        </w:tc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  <w:t>Warum hier eingesetzt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T-Test (2 Stichproben)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  <w:t>Unterscheiden sich die Mittelwerte zweier Gruppen?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 numerisches Merkmal, 2 Gruppen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Ärzte/Pflege pro Bett sind numerisch, genau 2 Gruppen (wenige/viele Probleme)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Chi²-Unabhängigkeitstest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  <w:t>Sind zwei kategoriale Merkmale unabhängig?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 kategoriale Merkmale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Konzernzugehörigkeit (ja/nein) und viele Probleme (ja/nein) sind beide kategorial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ANOVA (einfaktoriell)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  <w:t>Unterscheiden sich die Mittelwerte von &gt;2 Gruppen gleichzeitig?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 numerisches Merkmal, 3+ Gruppen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Trägerschaft hat 3 Kategorien — ein T-Test wäre hier nicht anwendbar</w:t>
            </w:r>
          </w:p>
        </w:tc>
      </w:tr>
    </w:tbl>
    <w:p/>
    <w:p>
      <w:pPr>
        <w:spacing w:before="0" w:after="60"/>
      </w:pPr>
      <w:r>
        <w:rPr>
          <w:b/>
          <w:i w:val="0"/>
          <w:sz w:val="22"/>
        </w:rPr>
        <w:t>T-Test: Ärzte pro Bett und Pflegekräfte pro Bett</w:t>
      </w:r>
    </w:p>
    <w:p>
      <w:pPr>
        <w:spacing w:before="0" w:after="100"/>
      </w:pPr>
      <w:r>
        <w:rPr>
          <w:b w:val="0"/>
          <w:i w:val="0"/>
          <w:sz w:val="22"/>
        </w:rPr>
        <w:t>Ein T-Test prüft, ob sich die Mittelwerte zweier Gruppen (hier: Häuser mit wenigen vs. vielen Qualitätsproblemen) bei einer numerischen Größe signifikant unterscheiden. Er liefert eine Teststatistik t und einen p-Wert. Verwendet wird scipy.stats.ttest_ind() mit Standardeinstellung — ein Zweistichproben-t-Test unter Annahme gleicher Varianzen in beiden Gruppen (kein Welch-Test, der das nicht voraussetzt).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984"/>
            <w:shd w:fill="1F497D" w:val="clear"/>
          </w:tcPr>
          <w:p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1814"/>
            <w:shd w:fill="1F497D" w:val="clear"/>
          </w:tcPr>
          <w:p>
            <w:r>
              <w:rPr>
                <w:b/>
                <w:color w:val="FFFFFF"/>
                <w:sz w:val="20"/>
              </w:rPr>
              <w:t>Ø wenige Probleme</w:t>
            </w:r>
          </w:p>
        </w:tc>
        <w:tc>
          <w:tcPr>
            <w:tcW w:type="dxa" w:w="1814"/>
            <w:shd w:fill="1F497D" w:val="clear"/>
          </w:tcPr>
          <w:p>
            <w:r>
              <w:rPr>
                <w:b/>
                <w:color w:val="FFFFFF"/>
                <w:sz w:val="20"/>
              </w:rPr>
              <w:t>Ø viele Probleme</w:t>
            </w:r>
          </w:p>
        </w:tc>
        <w:tc>
          <w:tcPr>
            <w:tcW w:type="dxa" w:w="907"/>
            <w:shd w:fill="1F497D" w:val="clear"/>
          </w:tcPr>
          <w:p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type="dxa" w:w="1134"/>
            <w:shd w:fill="1F497D" w:val="clear"/>
          </w:tcPr>
          <w:p>
            <w:r>
              <w:rPr>
                <w:b/>
                <w:color w:val="FFFFFF"/>
                <w:sz w:val="20"/>
              </w:rPr>
              <w:t>p-Wert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Signifikant?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Ärzte pro Bett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0,402 (n=912)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0,500 (n=904)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−9,13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&lt; 0,0001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Ja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Pflegekräfte pro Bett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0,936 (n=912)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1,091 (n=905)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−7,51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&lt; 0,0001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Ja</w:t>
            </w:r>
          </w:p>
        </w:tc>
      </w:tr>
    </w:tbl>
    <w:p>
      <w:pPr>
        <w:spacing w:before="0" w:after="100"/>
      </w:pPr>
      <w:r>
        <w:rPr>
          <w:b w:val="0"/>
          <w:i w:val="0"/>
          <w:sz w:val="22"/>
        </w:rPr>
        <w:t>Beide Ergebnisse sind hoch signifikant (p &lt; 0,0001): Ein Unterschied dieser Größe wäre bei tatsächlich gleichen Mittelwerten extrem unwahrscheinlich. Häuser mit vielen Qualitätsproblemen haben im Mittel mehr Ärzte und mehr Pflegekräfte pro Bett — der stärkste statistisch abgesicherte Einzelbefund der gesamten Analyse. Beide Merkmale korrelieren zudem stark untereinander (r = 0,577, siehe Grafik 8) — ein Hinweis, dass hier möglicherweise ein gemeinsamer, übergeordneter Effekt 'Personalausstattung' gemessen wird, nicht zwei völlig unabhängige Phänomene.</w:t>
      </w:r>
    </w:p>
    <w:p>
      <w:pPr>
        <w:spacing w:before="0" w:after="60"/>
      </w:pPr>
      <w:r>
        <w:rPr>
          <w:b/>
          <w:i w:val="0"/>
          <w:sz w:val="22"/>
        </w:rPr>
        <w:t>Chi²-Unabhängigkeitstest: Konzernzugehörigkeit</w:t>
      </w:r>
    </w:p>
    <w:p>
      <w:pPr>
        <w:spacing w:before="0" w:after="100"/>
      </w:pPr>
      <w:r>
        <w:rPr>
          <w:b w:val="0"/>
          <w:i w:val="0"/>
          <w:sz w:val="22"/>
        </w:rPr>
        <w:t>Anders als der T-Test (für numerische Größen) prüft der Chi²-Unabhängigkeitstest, ob zwei kategoriale Merkmale statistisch voneinander unabhängig sind — hier: Konzernzugehörigkeit (ja/nein) und viele Probleme (ja/nein). Er vergleicht die tatsächlich beobachteten Häufigkeiten in einer Kreuztabelle mit den Häufigkeiten, die bei völliger Unabhängigkeit zu erwarten wären.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  <w:t>wenige Probleme</w:t>
            </w:r>
          </w:p>
        </w:tc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  <w:t>viele Probleme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unabhängig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746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717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Konzern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170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188</w:t>
            </w:r>
          </w:p>
        </w:tc>
      </w:tr>
    </w:tbl>
    <w:p>
      <w:pPr>
        <w:spacing w:before="0" w:after="100"/>
      </w:pPr>
      <w:r>
        <w:rPr>
          <w:b w:val="0"/>
          <w:i w:val="0"/>
          <w:sz w:val="22"/>
        </w:rPr>
        <w:t>χ² = 1,277, p = 0,2585 — nicht signifikant. Ein Unterschied wie der beobachtete (oder größer) wäre bei tatsächlicher Unabhängigkeit in rund 26 von 100 Fällen zu erwarten — deutlich über der 5-%-Schwelle. Es gibt keinen statistisch abgesicherten Zusammenhang zwischen Konzernzugehörigkeit und Qualitätsproblemen.</w:t>
      </w:r>
    </w:p>
    <w:p>
      <w:pPr>
        <w:spacing w:before="0" w:after="60"/>
      </w:pPr>
      <w:r>
        <w:rPr>
          <w:b/>
          <w:i w:val="0"/>
          <w:sz w:val="22"/>
        </w:rPr>
        <w:t>ANOVA: auffällig-Quote nach Trägerschaft</w:t>
      </w:r>
    </w:p>
    <w:p>
      <w:pPr>
        <w:spacing w:before="0" w:after="100"/>
      </w:pPr>
      <w:r>
        <w:rPr>
          <w:b w:val="0"/>
          <w:i w:val="0"/>
          <w:sz w:val="22"/>
        </w:rPr>
        <w:t>Eine einfaktorielle Varianzanalyse (ANOVA) testet, ob sich die Mittelwerte von mehr als zwei Gruppen gleichzeitig unterscheiden — hier: privat / freigemeinnützig / öffentlich, also 3 Gruppen statt der 2 beim T-Test. Sie liefert eine F-Statistik und einen p-Wert; ein signifikantes Ergebnis würde nur sagen 'mindestens eine Gruppe unterscheidet sich von den anderen', nicht automatisch welche.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fill="1F497D" w:val="clear"/>
          </w:tcPr>
          <w:p>
            <w:r>
              <w:rPr>
                <w:b/>
                <w:color w:val="FFFFFF"/>
                <w:sz w:val="20"/>
              </w:rPr>
              <w:t>Trägerart</w:t>
            </w:r>
          </w:p>
        </w:tc>
        <w:tc>
          <w:tcPr>
            <w:tcW w:type="dxa" w:w="2551"/>
            <w:shd w:fill="1F497D" w:val="clear"/>
          </w:tcPr>
          <w:p>
            <w:r>
              <w:rPr>
                <w:b/>
                <w:color w:val="FFFFFF"/>
                <w:sz w:val="20"/>
              </w:rPr>
              <w:t>Ø auffällig-Quote</w:t>
            </w:r>
          </w:p>
        </w:tc>
        <w:tc>
          <w:tcPr>
            <w:tcW w:type="dxa" w:w="1984"/>
            <w:shd w:fill="1F497D" w:val="clear"/>
          </w:tcPr>
          <w:p>
            <w:r>
              <w:rPr>
                <w:b/>
                <w:color w:val="FFFFFF"/>
                <w:sz w:val="20"/>
              </w:rPr>
              <w:t>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Privat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0,0856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502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Freigemeinnützig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0,0857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607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Öffentlich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0,0872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684</w:t>
            </w:r>
          </w:p>
        </w:tc>
      </w:tr>
    </w:tbl>
    <w:p>
      <w:pPr>
        <w:spacing w:before="0" w:after="100"/>
      </w:pPr>
      <w:r>
        <w:rPr>
          <w:b w:val="0"/>
          <w:i w:val="0"/>
          <w:sz w:val="22"/>
        </w:rPr>
        <w:t>F = 0,031, p = 0,969 — nicht signifikant. Die drei Trägerarten-Mittelwerte sind auf Ebene der stetigen auffällig-Quote praktisch identisch — die ANOVA findet keinen statistisch signifikanten Unterschied. Das relativiert den auf den ersten Blick klaren Balkendiagramm-Unterschied in Grafik 3 erheblich: Dort wird die kontinuierliche Quote erst durch den Median-Split in zwei Gruppen geteilt — schon kleine, nicht signifikante Unterschiede in der Quote können dabei zu sichtbar unterschiedlichen Prozentsätzen führen.</w:t>
      </w:r>
    </w:p>
    <w:p>
      <w:pPr>
        <w:spacing w:before="0" w:after="60"/>
      </w:pPr>
      <w:r>
        <w:rPr>
          <w:b/>
          <w:i w:val="0"/>
          <w:sz w:val="22"/>
        </w:rPr>
        <w:t>95 %-Konfidenzintervall: Ärzte pro Bett</w:t>
      </w:r>
    </w:p>
    <w:p>
      <w:pPr>
        <w:spacing w:before="0" w:after="100"/>
      </w:pPr>
      <w:r>
        <w:rPr>
          <w:b w:val="0"/>
          <w:i w:val="0"/>
          <w:sz w:val="22"/>
        </w:rPr>
        <w:t>Ein Konfidenzintervall ist ein Wertebereich, der den 'wahren' Mittelwert einer Grundgesamtheit mit einer festgelegten Sicherheit (hier 95 %) einschließt — eine Ergänzung zum reinen Punktschätzwert (Mittelwert), die zeigt, wie präzise dieser Schätzwert ist.</w:t>
      </w:r>
    </w:p>
    <w:p>
      <w:pPr>
        <w:spacing w:before="0" w:after="100"/>
      </w:pPr>
      <w:r>
        <w:rPr>
          <w:b w:val="0"/>
          <w:i w:val="0"/>
          <w:sz w:val="22"/>
        </w:rPr>
        <w:t>Wenige Probleme: [0,389; 0,416]. Viele Probleme: [0,484; 0,516]. Die beiden Intervalle überlappen sich nicht — ein weiteres, anschauliches Indiz (neben dem p-Wert des T-Tests) dafür, dass der Unterschied zwischen den Gruppen real und nicht nur Stichprobenrauschen ist.</w:t>
      </w:r>
    </w:p>
    <w:p>
      <w:pPr>
        <w:spacing w:before="0" w:after="60"/>
      </w:pPr>
      <w:r>
        <w:rPr>
          <w:b/>
          <w:i w:val="0"/>
          <w:sz w:val="22"/>
        </w:rPr>
        <w:t>Gesamtübersicht aller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701"/>
            <w:shd w:fill="1F497D" w:val="clear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118"/>
            <w:shd w:fill="1F497D" w:val="clear"/>
          </w:tcPr>
          <w:p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2835"/>
            <w:shd w:fill="1F497D" w:val="clear"/>
          </w:tcPr>
          <w:p>
            <w:r>
              <w:rPr>
                <w:b/>
                <w:color w:val="FFFFFF"/>
                <w:sz w:val="20"/>
              </w:rPr>
              <w:t>Ergebnis</w:t>
            </w:r>
          </w:p>
        </w:tc>
        <w:tc>
          <w:tcPr>
            <w:tcW w:type="dxa" w:w="1417"/>
            <w:shd w:fill="1F497D" w:val="clear"/>
          </w:tcPr>
          <w:p>
            <w:r>
              <w:rPr>
                <w:b/>
                <w:color w:val="FFFFFF"/>
                <w:sz w:val="20"/>
              </w:rPr>
              <w:t>Signifikant?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T-Test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Ärzte pro Bett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 = −9,13, p &lt; 0,0001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T-Test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Pflegekräfte pro Bett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 = −7,51, p &lt; 0,0001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Chi²-Test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Konzern ↔ viele Probleme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χ² = 1,277, p = 0,2585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Nein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ANOVA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Trägerschaft (3 Gruppen)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 = 0,031, p = 0,969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Nein</w:t>
            </w:r>
          </w:p>
        </w:tc>
      </w:tr>
    </w:tbl>
    <w:p/>
    <w:p>
      <w:pPr>
        <w:spacing w:before="0" w:after="60"/>
      </w:pPr>
      <w:r>
        <w:rPr>
          <w:b/>
          <w:i w:val="0"/>
          <w:sz w:val="22"/>
        </w:rPr>
        <w:t>Was bringt uns die Inferenzstatistik?</w:t>
      </w:r>
    </w:p>
    <w:p>
      <w:pPr>
        <w:pStyle w:val="ListBullet"/>
        <w:spacing w:before="0" w:after="40"/>
      </w:pPr>
      <w:r>
        <w:rPr>
          <w:sz w:val="22"/>
        </w:rPr>
        <w:t>Trennt echte, robuste Zusammenhänge (Personal pro Bett, hoch signifikant) von optisch auffälligen, aber statistisch nicht abgesicherten Unterschieden (Trägerschaft, Konzernzugehörigkeit).</w:t>
      </w:r>
    </w:p>
    <w:p>
      <w:pPr>
        <w:pStyle w:val="ListBullet"/>
        <w:spacing w:before="0" w:after="40"/>
      </w:pPr>
      <w:r>
        <w:rPr>
          <w:sz w:val="22"/>
        </w:rPr>
        <w:t>Verhindert, dass aus einem zufälligen Muster in einer Stichprobe von 1.821 Häusern eine allgemeingültige Aussage über alle deutschen Krankenhäuser abgeleitet wird.</w:t>
      </w:r>
    </w:p>
    <w:p>
      <w:pPr>
        <w:pStyle w:val="ListBullet"/>
        <w:spacing w:before="0" w:after="40"/>
      </w:pPr>
      <w:r>
        <w:rPr>
          <w:sz w:val="22"/>
        </w:rPr>
        <w:t>Liefert die statistische Grundlage für Baustein 4 (Decision Tree, siehe Abschnitt 5): Die Feature Importance des Modells wird zeigen, ob dieselbe Merkmalsrangfolge bestätigt wird, die hier bereits statistisch abgesichert ist.</w:t>
      </w:r>
    </w:p>
    <w:p>
      <w:pPr>
        <w:pStyle w:val="ListBullet"/>
        <w:spacing w:before="0" w:after="40"/>
      </w:pPr>
      <w:r>
        <w:rPr>
          <w:sz w:val="22"/>
        </w:rPr>
        <w:t>Zeigt: 'Kein Zusammenhang' ist ein ebenso valides Ergebnis wie ein gefundener Zusammenhang, solange es sauber begründet ist — hier durch Chi²- und ANOVA-Test.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F497D"/>
          <w:sz w:val="28"/>
        </w:rPr>
        <w:t>4  Baustein 3 — Dashboard: Übersicht &amp; Vergleiche  (Woche 3)</w:t>
      </w:r>
    </w:p>
    <w:p>
      <w:pPr>
        <w:spacing w:before="0" w:after="100"/>
      </w:pPr>
      <w:r>
        <w:rPr>
          <w:b w:val="0"/>
          <w:i w:val="0"/>
          <w:sz w:val="22"/>
        </w:rPr>
        <w:t>Datei: Dashboard/streamlit_dashboard.py  ·  Laut Plan baut Woche 3 die ersten beiden der vier Dashboard-Seiten: Ein fertiges Dashboard ohne Modell ist ein besseres Zwischenergebnis als ein Modell ohne Dashboard — das Modell aus Baustein 4 wird erst in Woche 4 ergänzt.</w:t>
      </w:r>
    </w:p>
    <w:p>
      <w:pPr>
        <w:spacing w:before="80" w:after="80"/>
        <w:pBdr>
          <w:bottom w:val="single" w:sz="4" w:space="1" w:color="CCCCCC"/>
        </w:pBdr>
      </w:pPr>
    </w:p>
    <w:p>
      <w:pPr>
        <w:pStyle w:val="Heading2"/>
        <w:spacing w:before="200" w:after="60"/>
      </w:pPr>
      <w:r>
        <w:rPr>
          <w:b/>
          <w:color w:val="BF5A00"/>
          <w:sz w:val="24"/>
        </w:rPr>
        <w:t>4.1  Grundstruktur</w:t>
      </w:r>
    </w:p>
    <w:p>
      <w:pPr>
        <w:spacing w:before="0" w:after="100"/>
      </w:pPr>
      <w:r>
        <w:rPr>
          <w:b w:val="0"/>
          <w:i w:val="0"/>
          <w:sz w:val="22"/>
        </w:rPr>
        <w:t>Streamlit als Werkzeug für die App gewählt: Python-Code wird direkt zu einer interaktiven Weboberfläche, ohne separates Frontend schreiben zu müssen. Navigation über vier Seiten in einem Header-Banner, der aktive Link weiß hervorgehoben; der Seitenstand wird per URL-Parameter (?seite=...) gespeichert, sodass ein Browser-Reload auf derselben Seite bleibt.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4.2  Seite 1 — „Übersicht“</w:t>
      </w:r>
    </w:p>
    <w:p>
      <w:pPr>
        <w:spacing w:before="0" w:after="100"/>
      </w:pPr>
      <w:r>
        <w:rPr>
          <w:b w:val="0"/>
          <w:i w:val="0"/>
          <w:sz w:val="22"/>
        </w:rPr>
        <w:t>Drei Filter direkt auf der Seite (Bundesland, Trägerschaft, Klinik-Typ) plus Zurücksetzen-Button. Eine KPI-Tabelle zeigt die wichtigsten Kennzahlen auf einen Blick: Krankenhäuser gesamt, Anteil mit vielen Qualitätsproblemen, Ø auffällig-Quote pro Haus, Ø Ärzte pro Bett.</w:t>
      </w:r>
    </w:p>
    <w:p>
      <w:pPr>
        <w:pStyle w:val="ListBullet"/>
        <w:spacing w:before="0" w:after="40"/>
      </w:pPr>
      <w:r>
        <w:rPr>
          <w:sz w:val="22"/>
        </w:rPr>
        <w:t>Deutschland-Karte: Plotly scatter_mapbox, Farbe = wenige (grün) / viele Probleme (rot), Punktgröße = Bettenzahl.</w:t>
      </w:r>
    </w:p>
    <w:p>
      <w:pPr>
        <w:pStyle w:val="ListBullet"/>
        <w:spacing w:before="0" w:after="40"/>
      </w:pPr>
      <w:r>
        <w:rPr>
          <w:sz w:val="22"/>
        </w:rPr>
        <w:t>Histogramm der auffällig-Quote (30 Balken, gestrichelte Linie bei Median 5,88 %).</w:t>
      </w:r>
    </w:p>
    <w:p>
      <w:pPr>
        <w:pStyle w:val="ListBullet"/>
        <w:spacing w:before="0" w:after="40"/>
      </w:pPr>
      <w:r>
        <w:rPr>
          <w:sz w:val="22"/>
        </w:rPr>
        <w:t>Bundesland-Balkendiagramm — nur sichtbar, wenn kein Bundesland-Filter aktiv ist.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4.3  Seite 2 — „Vergleiche“</w:t>
      </w:r>
    </w:p>
    <w:p>
      <w:pPr>
        <w:spacing w:before="0" w:after="100"/>
      </w:pPr>
      <w:r>
        <w:rPr>
          <w:b w:val="0"/>
          <w:i w:val="0"/>
          <w:sz w:val="22"/>
        </w:rPr>
        <w:t>Immer auf dem ungefilterten Gesamtdatensatz (Filter von Seite 1 gelten hier nicht), damit Vergleiche nicht durch einen aktiven Filter verzerrt werden. Vier Tabs:</w:t>
      </w:r>
    </w:p>
    <w:p>
      <w:pPr>
        <w:pStyle w:val="ListBullet"/>
        <w:spacing w:before="0" w:after="40"/>
      </w:pPr>
      <w:r>
        <w:rPr>
          <w:sz w:val="22"/>
        </w:rPr>
        <w:t>Trägerschaft: gruppiertes Balkendiagramm + Erklärungstext (ANOVA-Ergebnis aus Abschnitt 3.2).</w:t>
      </w:r>
    </w:p>
    <w:p>
      <w:pPr>
        <w:pStyle w:val="ListBullet"/>
        <w:spacing w:before="0" w:after="40"/>
      </w:pPr>
      <w:r>
        <w:rPr>
          <w:sz w:val="22"/>
        </w:rPr>
        <w:t>Ärzte pro Bett: zwei Boxplots + Erklärungstext (T-Test-Ergebnis aus Abschnitt 3.2).</w:t>
      </w:r>
    </w:p>
    <w:p>
      <w:pPr>
        <w:pStyle w:val="ListBullet"/>
        <w:spacing w:before="0" w:after="40"/>
      </w:pPr>
      <w:r>
        <w:rPr>
          <w:sz w:val="22"/>
        </w:rPr>
        <w:t>Streudiagramm: frei wählbares Merkmal, zwei Regressionslinien, kontextsensitiver Erklärungstext.</w:t>
      </w:r>
    </w:p>
    <w:p>
      <w:pPr>
        <w:pStyle w:val="ListBullet"/>
        <w:spacing w:before="0" w:after="40"/>
      </w:pPr>
      <w:r>
        <w:rPr>
          <w:sz w:val="22"/>
        </w:rPr>
        <w:t>Pivot-Tabelle: Trägerschaft × Uni-Status, Heatmap-Formatierung mit Erklärungstext.</w:t>
      </w:r>
    </w:p>
    <w:p>
      <w:pPr>
        <w:spacing w:before="0" w:after="100"/>
      </w:pPr>
      <w:r>
        <w:rPr>
          <w:b w:val="0"/>
          <w:i/>
          <w:color w:val="555555"/>
          <w:sz w:val="20"/>
        </w:rPr>
        <w:t>Damit sind laut Plan die beiden Pflichtseiten von Woche 3 umgesetzt. Seite 3 „Finde ähnliche Krankenhäuser“ und Seite 4 „Risiko-Rechner“ folgen laut Projektplan in Woche 4 (Tag 3 und 4), nachdem der Entscheidungsbaum aus Baustein 4 trainiert ist.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1F497D"/>
          <w:sz w:val="28"/>
        </w:rPr>
        <w:t>5  Baustein 4 — Entscheidungsbaum: Training  (Woche 4, Tag 1)</w:t>
      </w:r>
    </w:p>
    <w:p>
      <w:pPr>
        <w:spacing w:before="0" w:after="100"/>
      </w:pPr>
      <w:r>
        <w:rPr>
          <w:b w:val="0"/>
          <w:i w:val="0"/>
          <w:sz w:val="22"/>
        </w:rPr>
        <w:t>Notebook: Notebooks/03_Decision_Tree.ipynb  ·  Laut Plan teilt sich Woche 4 in: Tag 1 Split/Basislinie/Training, Tag 2 Modell bewerten und verstehen, Tag 3 Dashboard-Seite „Ähnliche Häuser“, Tag 4 Risiko-Rechner, Tag 5 alles zusammenführen. Dieser Bericht zeigt den Stand nach Tag 1.</w:t>
      </w:r>
    </w:p>
    <w:p>
      <w:pPr>
        <w:spacing w:before="80" w:after="80"/>
        <w:pBdr>
          <w:bottom w:val="single" w:sz="4" w:space="1" w:color="CCCCCC"/>
        </w:pBdr>
      </w:pPr>
    </w:p>
    <w:p>
      <w:pPr>
        <w:pStyle w:val="Heading2"/>
        <w:spacing w:before="200" w:after="60"/>
      </w:pPr>
      <w:r>
        <w:rPr>
          <w:b/>
          <w:color w:val="BF5A00"/>
          <w:sz w:val="24"/>
        </w:rPr>
        <w:t>5.1  Train-Test-Split und Basislinie</w:t>
      </w:r>
    </w:p>
    <w:p>
      <w:pPr>
        <w:spacing w:before="0" w:after="100"/>
      </w:pPr>
      <w:r>
        <w:rPr>
          <w:b w:val="0"/>
          <w:i w:val="0"/>
          <w:sz w:val="22"/>
        </w:rPr>
        <w:t>Aufteilung der 1.821 Häuser in 1.456 Trainings- (80 %) und 365 Testdaten (20 %), stratifiziert nach der Ziel-Variable, random_state=42 für Reproduzierbarkeit.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X_train, X_test, y_train, y_test = train_test_split(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X, y, test_size=0.2, stratify=y, random_state=42)</w:t>
      </w:r>
    </w:p>
    <w:p>
      <w:pPr>
        <w:spacing w:before="0" w:after="100"/>
      </w:pPr>
      <w:r>
        <w:rPr>
          <w:b w:val="0"/>
          <w:i w:val="0"/>
          <w:sz w:val="22"/>
        </w:rPr>
        <w:t>Basislinie (naiver Vergleichswert): 50,4 %. Würde man für jedes Haus blind immer 'Wenige Probleme' tippen, läge man bei 916 von 1.821 Häusern zufällig richtig — das Modell muss besser sein als dieser blinde Tipp, sonst wäre es nutzlos.</w:t>
      </w:r>
    </w:p>
    <w:p>
      <w:pPr>
        <w:pStyle w:val="Heading2"/>
        <w:spacing w:before="200" w:after="60"/>
      </w:pPr>
      <w:r>
        <w:rPr>
          <w:b/>
          <w:color w:val="BF5A00"/>
          <w:sz w:val="24"/>
        </w:rPr>
        <w:t>5.2  Entscheidungsbaum trainieren</w:t>
      </w:r>
    </w:p>
    <w:p>
      <w:pPr>
        <w:spacing w:before="0" w:after="100"/>
      </w:pPr>
      <w:r>
        <w:rPr>
          <w:b w:val="0"/>
          <w:i w:val="0"/>
          <w:sz w:val="22"/>
        </w:rPr>
        <w:t>Hyperparameter: max_depth=3 — der Baum darf maximal drei Ebenen tief verzweigen. Bewusst flach gewählt: Ein flacher Baum bleibt vollständig interpretierbar (jede Verzweigung lässt sich direkt ablesen und vorlesen) und läuft weniger Gefahr, Trainingsdaten auswendig zu lernen (Overfitting), statt allgemeine Muster zu finden.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baum = DecisionTreeClassifier(max_depth=3, random_state=42)</w:t>
      </w:r>
    </w:p>
    <w:p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baum.fit(X_train, y_train)</w:t>
      </w:r>
    </w:p>
    <w:p>
      <w:pPr>
        <w:spacing w:before="0" w:after="100"/>
      </w:pPr>
      <w:r>
        <w:rPr>
          <w:b w:val="0"/>
          <w:i w:val="0"/>
          <w:sz w:val="22"/>
        </w:rPr>
        <w:t>Die 7 Merkmale entsprechen der Analysetabelle aus Baustein 1: Bettenzahl, Uni-Status, Fortbildungsquote, Ärzte pro Bett, Pflegekräfte pro Bett, Konzernzugehörigkeit, Trägerschaft (codiert).</w:t>
      </w:r>
    </w:p>
    <w:p>
      <w:pPr>
        <w:spacing w:before="0" w:after="100"/>
      </w:pPr>
      <w:r>
        <w:rPr>
          <w:b w:val="0"/>
          <w:i/>
          <w:color w:val="555555"/>
          <w:sz w:val="20"/>
        </w:rPr>
        <w:t>Modellbewertung (Woche 4, Tag 2): Metriken (Accuracy, Precision, Recall, F1-Score, Confusion Matrix), 5-Fold Cross-Validation, Feature Importance und die R²-Metrik zum Vergleich mit einer linearen Regression sind laut Plan für heute vorgesehen und werden im nächsten Bericht ergänzt.</w:t>
      </w:r>
    </w:p>
    <w:sectPr w:rsidR="00FC693F" w:rsidRPr="0006063C" w:rsidSect="00034616">
      <w:pgSz w:w="12240" w:h="15840"/>
      <w:pgMar w:top="1417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Datenanalyse-Projekt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2026-08-20T14:07:42Z</dcterms:modified>
  <cp:category/>
</cp:coreProperties>
</file>