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Analysetabelle — Zusammenfassung für Kollegen</w:t>
      </w:r>
    </w:p>
    <w:p/>
    <w:p>
      <w:pPr>
        <w:jc w:val="center"/>
      </w:pPr>
      <w:r>
        <w:rPr>
          <w:sz w:val="24"/>
        </w:rPr>
        <w:t>Welche Spalten wurden gewählt, aus welchen Tabellen, wie wurde gemerged, und wie groß ist das Ergebnis?</w:t>
      </w:r>
    </w:p>
    <w:p>
      <w:pPr>
        <w:jc w:val="center"/>
      </w:pPr>
      <w:r>
        <w:rPr>
          <w:sz w:val="20"/>
        </w:rPr>
        <w:t>Erstellt: 03.08.2026  |  Quelle: Notebooks/01_Exploration.ipynb  |  Datei: Data/analysetabelle.csv</w:t>
      </w:r>
    </w:p>
    <w:p/>
    <w:p>
      <w:r>
        <w:rPr>
          <w:b/>
          <w:sz w:val="21"/>
        </w:rPr>
        <w:t>Kurzfassung: Die fertige Analysetabelle hat 1.824 Zeilen (1 Zeile = 1 Krankenhaus) und 18 Spalten. Davon sind 7 Spalten echte Analysemerkmale, der Rest sind Schlüssel-/Hilfsspalten oder die Ziel-Variable(n). Alle Zusammenführungen erfolgten als Left Join über SO.QBID (Ausnahme: Konzern.csv über SO.Standortnummer).</w:t>
      </w:r>
    </w:p>
    <w:p>
      <w:r>
        <w:br w:type="page"/>
      </w:r>
    </w:p>
    <w:p>
      <w:pPr>
        <w:pStyle w:val="Heading1"/>
      </w:pPr>
      <w:r>
        <w:rPr>
          <w:color w:val="1F497D"/>
        </w:rPr>
        <w:t>1  Ziel-Variable(n)</w:t>
      </w:r>
    </w:p>
    <w:p>
      <w:r>
        <w:rPr>
          <w:b w:val="0"/>
          <w:sz w:val="21"/>
        </w:rPr>
        <w:t>Es gibt zwei Ziel-Variablen: eine kontinuierliche Zwischengröße und die eigentliche, binäre Ziel-Variable, die daraus abgeleitet wird.</w:t>
      </w:r>
    </w:p>
    <w:tbl>
      <w:tblPr>
        <w:tblStyle w:val="TableGrid"/>
        <w:tblW w:type="auto" w:w="0"/>
        <w:tblLook w:firstColumn="1" w:firstRow="1" w:lastColumn="0" w:lastRow="0" w:noHBand="0" w:noVBand="1" w:val="04A0"/>
      </w:tblPr>
      <w:tblGrid>
        <w:gridCol w:w="2422"/>
        <w:gridCol w:w="2422"/>
        <w:gridCol w:w="2422"/>
        <w:gridCol w:w="2422"/>
      </w:tblGrid>
      <w:tr>
        <w:tc>
          <w:tcPr>
            <w:tcW w:type="dxa" w:w="1984"/>
            <w:shd w:fill="1F497D" w:val="clear"/>
          </w:tcPr>
          <w:p>
            <w:r>
              <w:rPr>
                <w:b/>
                <w:color w:val="FFFFFF"/>
                <w:sz w:val="19"/>
              </w:rPr>
              <w:t>Spalte</w:t>
            </w:r>
          </w:p>
        </w:tc>
        <w:tc>
          <w:tcPr>
            <w:tcW w:type="dxa" w:w="1417"/>
            <w:shd w:fill="1F497D" w:val="clear"/>
          </w:tcPr>
          <w:p>
            <w:r>
              <w:rPr>
                <w:b/>
                <w:color w:val="FFFFFF"/>
                <w:sz w:val="19"/>
              </w:rPr>
              <w:t>Typ</w:t>
            </w:r>
          </w:p>
        </w:tc>
        <w:tc>
          <w:tcPr>
            <w:tcW w:type="dxa" w:w="2268"/>
            <w:shd w:fill="1F497D" w:val="clear"/>
          </w:tcPr>
          <w:p>
            <w:r>
              <w:rPr>
                <w:b/>
                <w:color w:val="FFFFFF"/>
                <w:sz w:val="19"/>
              </w:rPr>
              <w:t>Quelle</w:t>
            </w:r>
          </w:p>
        </w:tc>
        <w:tc>
          <w:tcPr>
            <w:tcW w:type="dxa" w:w="4535"/>
            <w:shd w:fill="1F497D" w:val="clear"/>
          </w:tcPr>
          <w:p>
            <w:r>
              <w:rPr>
                <w:b/>
                <w:color w:val="FFFFFF"/>
                <w:sz w:val="19"/>
              </w:rPr>
              <w:t>Bedeutung</w:t>
            </w:r>
          </w:p>
        </w:tc>
      </w:tr>
      <w:tr>
        <w:tc>
          <w:tcPr>
            <w:tcW w:type="dxa" w:w="1984"/>
          </w:tcPr>
          <w:p>
            <w:r>
              <w:rPr>
                <w:sz w:val="18"/>
              </w:rPr>
              <w:t>auffaellig_quote</w:t>
            </w:r>
          </w:p>
        </w:tc>
        <w:tc>
          <w:tcPr>
            <w:tcW w:type="dxa" w:w="1417"/>
          </w:tcPr>
          <w:p>
            <w:r>
              <w:rPr>
                <w:sz w:val="18"/>
              </w:rPr>
              <w:t>Kontinuierlich (Anteil, z. B. 0,77 = 77 %)</w:t>
            </w:r>
          </w:p>
        </w:tc>
        <w:tc>
          <w:tcPr>
            <w:tcW w:type="dxa" w:w="2268"/>
          </w:tcPr>
          <w:p>
            <w:r>
              <w:rPr>
                <w:sz w:val="18"/>
              </w:rPr>
              <w:t>QS.Qualitätsindikator.csv</w:t>
            </w:r>
          </w:p>
        </w:tc>
        <w:tc>
          <w:tcPr>
            <w:tcW w:type="dxa" w:w="4535"/>
          </w:tcPr>
          <w:p>
            <w:r>
              <w:rPr>
                <w:sz w:val="18"/>
              </w:rPr>
              <w:t>Anteil der Qualitätsindikatoren eines Hauses, die als 'auffällig' (R*) bewertet wurden — kein 0/1-Wert, sondern ein Dezimalwert zwischen 0,0 und 1,0 mit 768 verschiedenen Ausprägungen im Datensatz. Zwischengröße, aus der die eigentliche Ziel-Variable abgeleitet wird.</w:t>
            </w:r>
          </w:p>
        </w:tc>
      </w:tr>
      <w:tr>
        <w:tc>
          <w:tcPr>
            <w:tcW w:type="dxa" w:w="1984"/>
            <w:shd w:fill="F2F2F2" w:val="clear"/>
          </w:tcPr>
          <w:p>
            <w:r>
              <w:rPr>
                <w:sz w:val="18"/>
              </w:rPr>
              <w:t>hat_viele_Probleme</w:t>
            </w:r>
          </w:p>
        </w:tc>
        <w:tc>
          <w:tcPr>
            <w:tcW w:type="dxa" w:w="1417"/>
            <w:shd w:fill="F2F2F2" w:val="clear"/>
          </w:tcPr>
          <w:p>
            <w:r>
              <w:rPr>
                <w:sz w:val="18"/>
              </w:rPr>
              <w:t>Binär, nimmt nur 0 oder 1 an</w:t>
            </w:r>
          </w:p>
        </w:tc>
        <w:tc>
          <w:tcPr>
            <w:tcW w:type="dxa" w:w="2268"/>
            <w:shd w:fill="F2F2F2" w:val="clear"/>
          </w:tcPr>
          <w:p>
            <w:r>
              <w:rPr>
                <w:sz w:val="18"/>
              </w:rPr>
              <w:t>berechnet aus auffaellig_quote</w:t>
            </w:r>
          </w:p>
        </w:tc>
        <w:tc>
          <w:tcPr>
            <w:tcW w:type="dxa" w:w="4535"/>
            <w:shd w:fill="F2F2F2" w:val="clear"/>
          </w:tcPr>
          <w:p>
            <w:r>
              <w:rPr>
                <w:sz w:val="18"/>
              </w:rPr>
              <w:t>1 = auffaellig_quote liegt über dem Median (76,92 %) → 'hat überdurchschnittlich viele Probleme'. 899 von 1.824 Häusern (49,3 %) haben Wert 1. Das ist die eigentliche Ziel-Variable (y) für Baustein 2 und 4.</w:t>
            </w:r>
          </w:p>
        </w:tc>
      </w:tr>
    </w:tbl>
    <w:p>
      <w:r>
        <w:rPr>
          <w:b w:val="0"/>
          <w:sz w:val="21"/>
        </w:rPr>
        <w:t>Warum Median als Schwelle: teilt die Häuser automatisch in zwei etwa gleich große Gruppen — eine ausgewogene Klassenverteilung ist für Gruppenvergleiche und ein Klassifikationsmodell wichtiger als ein willkürlicher fester Wert (z. B. 80 %).</w:t>
      </w:r>
    </w:p>
    <w:p/>
    <w:p>
      <w:pPr>
        <w:pStyle w:val="Heading1"/>
      </w:pPr>
      <w:r>
        <w:rPr>
          <w:color w:val="1F497D"/>
        </w:rPr>
        <w:t>2  Merkmale (X) — 7 Stück</w:t>
      </w:r>
    </w:p>
    <w:p>
      <w:r>
        <w:rPr>
          <w:b w:val="0"/>
          <w:sz w:val="21"/>
        </w:rPr>
        <w:t>Das sind die Spalten, die tatsächlich als Merkmale in Vergleiche (Baustein 2) und das Modell (Baustein 4) einfließen:</w:t>
      </w:r>
    </w:p>
    <w:tbl>
      <w:tblPr>
        <w:tblStyle w:val="TableGrid"/>
        <w:tblW w:type="auto" w:w="0"/>
        <w:tblLook w:firstColumn="1" w:firstRow="1" w:lastColumn="0" w:lastRow="0" w:noHBand="0" w:noVBand="1" w:val="04A0"/>
      </w:tblPr>
      <w:tblGrid>
        <w:gridCol w:w="2422"/>
        <w:gridCol w:w="2422"/>
        <w:gridCol w:w="2422"/>
        <w:gridCol w:w="2422"/>
      </w:tblGrid>
      <w:tr>
        <w:tc>
          <w:tcPr>
            <w:tcW w:type="dxa" w:w="454"/>
            <w:shd w:fill="1F497D" w:val="clear"/>
          </w:tcPr>
          <w:p>
            <w:r>
              <w:rPr>
                <w:b/>
                <w:color w:val="FFFFFF"/>
                <w:sz w:val="19"/>
              </w:rPr>
              <w:t>#</w:t>
            </w:r>
          </w:p>
        </w:tc>
        <w:tc>
          <w:tcPr>
            <w:tcW w:type="dxa" w:w="1984"/>
            <w:shd w:fill="1F497D" w:val="clear"/>
          </w:tcPr>
          <w:p>
            <w:r>
              <w:rPr>
                <w:b/>
                <w:color w:val="FFFFFF"/>
                <w:sz w:val="19"/>
              </w:rPr>
              <w:t>Merkmal</w:t>
            </w:r>
          </w:p>
        </w:tc>
        <w:tc>
          <w:tcPr>
            <w:tcW w:type="dxa" w:w="2551"/>
            <w:shd w:fill="1F497D" w:val="clear"/>
          </w:tcPr>
          <w:p>
            <w:r>
              <w:rPr>
                <w:b/>
                <w:color w:val="FFFFFF"/>
                <w:sz w:val="19"/>
              </w:rPr>
              <w:t>Quelltabelle(n)</w:t>
            </w:r>
          </w:p>
        </w:tc>
        <w:tc>
          <w:tcPr>
            <w:tcW w:type="dxa" w:w="5216"/>
            <w:shd w:fill="1F497D" w:val="clear"/>
          </w:tcPr>
          <w:p>
            <w:r>
              <w:rPr>
                <w:b/>
                <w:color w:val="FFFFFF"/>
                <w:sz w:val="19"/>
              </w:rPr>
              <w:t>Berechnung</w:t>
            </w:r>
          </w:p>
        </w:tc>
      </w:tr>
      <w:tr>
        <w:tc>
          <w:tcPr>
            <w:tcW w:type="dxa" w:w="454"/>
          </w:tcPr>
          <w:p>
            <w:r>
              <w:rPr>
                <w:sz w:val="18"/>
              </w:rPr>
              <w:t>1</w:t>
            </w:r>
          </w:p>
        </w:tc>
        <w:tc>
          <w:tcPr>
            <w:tcW w:type="dxa" w:w="1984"/>
          </w:tcPr>
          <w:p>
            <w:r>
              <w:rPr>
                <w:sz w:val="18"/>
              </w:rPr>
              <w:t>SO.Betten</w:t>
            </w:r>
          </w:p>
        </w:tc>
        <w:tc>
          <w:tcPr>
            <w:tcW w:type="dxa" w:w="2551"/>
          </w:tcPr>
          <w:p>
            <w:r>
              <w:rPr>
                <w:sz w:val="18"/>
              </w:rPr>
              <w:t>SO.csv</w:t>
            </w:r>
          </w:p>
        </w:tc>
        <w:tc>
          <w:tcPr>
            <w:tcW w:type="dxa" w:w="5216"/>
          </w:tcPr>
          <w:p>
            <w:r>
              <w:rPr>
                <w:sz w:val="18"/>
              </w:rPr>
              <w:t>Direkt übernommen — Bettenzahl</w:t>
            </w:r>
          </w:p>
        </w:tc>
      </w:tr>
      <w:tr>
        <w:tc>
          <w:tcPr>
            <w:tcW w:type="dxa" w:w="454"/>
            <w:shd w:fill="F2F2F2" w:val="clear"/>
          </w:tcPr>
          <w:p>
            <w:r>
              <w:rPr>
                <w:sz w:val="18"/>
              </w:rPr>
              <w:t>2</w:t>
            </w:r>
          </w:p>
        </w:tc>
        <w:tc>
          <w:tcPr>
            <w:tcW w:type="dxa" w:w="1984"/>
            <w:shd w:fill="F2F2F2" w:val="clear"/>
          </w:tcPr>
          <w:p>
            <w:r>
              <w:rPr>
                <w:sz w:val="18"/>
              </w:rPr>
              <w:t>SO.Bundesland</w:t>
            </w:r>
          </w:p>
        </w:tc>
        <w:tc>
          <w:tcPr>
            <w:tcW w:type="dxa" w:w="2551"/>
            <w:shd w:fill="F2F2F2" w:val="clear"/>
          </w:tcPr>
          <w:p>
            <w:r>
              <w:rPr>
                <w:sz w:val="18"/>
              </w:rPr>
              <w:t>SO.csv</w:t>
            </w:r>
          </w:p>
        </w:tc>
        <w:tc>
          <w:tcPr>
            <w:tcW w:type="dxa" w:w="5216"/>
            <w:shd w:fill="F2F2F2" w:val="clear"/>
          </w:tcPr>
          <w:p>
            <w:r>
              <w:rPr>
                <w:sz w:val="18"/>
              </w:rPr>
              <w:t>Direkt übernommen — Region (16 Bundesländer)</w:t>
            </w:r>
          </w:p>
        </w:tc>
      </w:tr>
      <w:tr>
        <w:tc>
          <w:tcPr>
            <w:tcW w:type="dxa" w:w="454"/>
          </w:tcPr>
          <w:p>
            <w:r>
              <w:rPr>
                <w:sz w:val="18"/>
              </w:rPr>
              <w:t>3</w:t>
            </w:r>
          </w:p>
        </w:tc>
        <w:tc>
          <w:tcPr>
            <w:tcW w:type="dxa" w:w="1984"/>
          </w:tcPr>
          <w:p>
            <w:r>
              <w:rPr>
                <w:sz w:val="18"/>
              </w:rPr>
              <w:t>SO.Uni</w:t>
            </w:r>
          </w:p>
        </w:tc>
        <w:tc>
          <w:tcPr>
            <w:tcW w:type="dxa" w:w="2551"/>
          </w:tcPr>
          <w:p>
            <w:r>
              <w:rPr>
                <w:sz w:val="18"/>
              </w:rPr>
              <w:t>SO.csv</w:t>
            </w:r>
          </w:p>
        </w:tc>
        <w:tc>
          <w:tcPr>
            <w:tcW w:type="dxa" w:w="5216"/>
          </w:tcPr>
          <w:p>
            <w:r>
              <w:rPr>
                <w:sz w:val="18"/>
              </w:rPr>
              <w:t>Direkt übernommen — Universitätsklinikum ja/nein (0/1)</w:t>
            </w:r>
          </w:p>
        </w:tc>
      </w:tr>
      <w:tr>
        <w:tc>
          <w:tcPr>
            <w:tcW w:type="dxa" w:w="454"/>
            <w:shd w:fill="F2F2F2" w:val="clear"/>
          </w:tcPr>
          <w:p>
            <w:r>
              <w:rPr>
                <w:sz w:val="18"/>
              </w:rPr>
              <w:t>4</w:t>
            </w:r>
          </w:p>
        </w:tc>
        <w:tc>
          <w:tcPr>
            <w:tcW w:type="dxa" w:w="1984"/>
            <w:shd w:fill="F2F2F2" w:val="clear"/>
          </w:tcPr>
          <w:p>
            <w:r>
              <w:rPr>
                <w:sz w:val="18"/>
              </w:rPr>
              <w:t>KH.Träger.Art</w:t>
            </w:r>
          </w:p>
        </w:tc>
        <w:tc>
          <w:tcPr>
            <w:tcW w:type="dxa" w:w="2551"/>
            <w:shd w:fill="F2F2F2" w:val="clear"/>
          </w:tcPr>
          <w:p>
            <w:r>
              <w:rPr>
                <w:sz w:val="18"/>
              </w:rPr>
              <w:t>SO.csv</w:t>
            </w:r>
          </w:p>
        </w:tc>
        <w:tc>
          <w:tcPr>
            <w:tcW w:type="dxa" w:w="5216"/>
            <w:shd w:fill="F2F2F2" w:val="clear"/>
          </w:tcPr>
          <w:p>
            <w:r>
              <w:rPr>
                <w:sz w:val="18"/>
              </w:rPr>
              <w:t>Direkt übernommen — privat/freigemeinnützig/öffentlich</w:t>
            </w:r>
          </w:p>
        </w:tc>
      </w:tr>
      <w:tr>
        <w:tc>
          <w:tcPr>
            <w:tcW w:type="dxa" w:w="454"/>
          </w:tcPr>
          <w:p>
            <w:r>
              <w:rPr>
                <w:sz w:val="18"/>
              </w:rPr>
              <w:t>5</w:t>
            </w:r>
          </w:p>
        </w:tc>
        <w:tc>
          <w:tcPr>
            <w:tcW w:type="dxa" w:w="1984"/>
          </w:tcPr>
          <w:p>
            <w:r>
              <w:rPr>
                <w:sz w:val="18"/>
              </w:rPr>
              <w:t>fortbildungsquote</w:t>
            </w:r>
          </w:p>
        </w:tc>
        <w:tc>
          <w:tcPr>
            <w:tcW w:type="dxa" w:w="2551"/>
          </w:tcPr>
          <w:p>
            <w:r>
              <w:rPr>
                <w:sz w:val="18"/>
              </w:rPr>
              <w:t>QS.Fortbildung.csv</w:t>
            </w:r>
          </w:p>
        </w:tc>
        <w:tc>
          <w:tcPr>
            <w:tcW w:type="dxa" w:w="5216"/>
          </w:tcPr>
          <w:p>
            <w:r>
              <w:rPr>
                <w:sz w:val="18"/>
              </w:rPr>
              <w:t>Berechnet: Fortbildungsnachweis_Erbracht_Habende ÷ Fortbildungspflichtige</w:t>
            </w:r>
          </w:p>
        </w:tc>
      </w:tr>
      <w:tr>
        <w:tc>
          <w:tcPr>
            <w:tcW w:type="dxa" w:w="454"/>
            <w:shd w:fill="F2F2F2" w:val="clear"/>
          </w:tcPr>
          <w:p>
            <w:r>
              <w:rPr>
                <w:sz w:val="18"/>
              </w:rPr>
              <w:t>6</w:t>
            </w:r>
          </w:p>
        </w:tc>
        <w:tc>
          <w:tcPr>
            <w:tcW w:type="dxa" w:w="1984"/>
            <w:shd w:fill="F2F2F2" w:val="clear"/>
          </w:tcPr>
          <w:p>
            <w:r>
              <w:rPr>
                <w:sz w:val="18"/>
              </w:rPr>
              <w:t>aerzte_pro_bett</w:t>
            </w:r>
          </w:p>
        </w:tc>
        <w:tc>
          <w:tcPr>
            <w:tcW w:type="dxa" w:w="2551"/>
            <w:shd w:fill="F2F2F2" w:val="clear"/>
          </w:tcPr>
          <w:p>
            <w:r>
              <w:rPr>
                <w:sz w:val="18"/>
              </w:rPr>
              <w:t>FA.Personalliste.csv × FA.csv</w:t>
            </w:r>
          </w:p>
        </w:tc>
        <w:tc>
          <w:tcPr>
            <w:tcW w:type="dxa" w:w="5216"/>
            <w:shd w:fill="F2F2F2" w:val="clear"/>
          </w:tcPr>
          <w:p>
            <w:r>
              <w:rPr>
                <w:sz w:val="18"/>
              </w:rPr>
              <w:t>Berechnet: Summe Ärzte pro Haus (Filter Bereich='Ärzte', über ABTID→SO.QBID aggregiert) ÷ SO.Betten</w:t>
            </w:r>
          </w:p>
        </w:tc>
      </w:tr>
      <w:tr>
        <w:tc>
          <w:tcPr>
            <w:tcW w:type="dxa" w:w="454"/>
          </w:tcPr>
          <w:p>
            <w:r>
              <w:rPr>
                <w:sz w:val="18"/>
              </w:rPr>
              <w:t>7</w:t>
            </w:r>
          </w:p>
        </w:tc>
        <w:tc>
          <w:tcPr>
            <w:tcW w:type="dxa" w:w="1984"/>
          </w:tcPr>
          <w:p>
            <w:r>
              <w:rPr>
                <w:sz w:val="18"/>
              </w:rPr>
              <w:t>pflege_pro_bett</w:t>
            </w:r>
          </w:p>
        </w:tc>
        <w:tc>
          <w:tcPr>
            <w:tcW w:type="dxa" w:w="2551"/>
          </w:tcPr>
          <w:p>
            <w:r>
              <w:rPr>
                <w:sz w:val="18"/>
              </w:rPr>
              <w:t>SO.Personalliste.csv</w:t>
            </w:r>
          </w:p>
        </w:tc>
        <w:tc>
          <w:tcPr>
            <w:tcW w:type="dxa" w:w="5216"/>
          </w:tcPr>
          <w:p>
            <w:r>
              <w:rPr>
                <w:sz w:val="18"/>
              </w:rPr>
              <w:t>Berechnet: Summe Pflegekräfte pro Haus (Filter Bereich='Pflege') ÷ SO.Betten</w:t>
            </w:r>
          </w:p>
        </w:tc>
      </w:tr>
    </w:tbl>
    <w:p/>
    <w:p>
      <w:r>
        <w:rPr>
          <w:b/>
          <w:sz w:val="21"/>
        </w:rPr>
        <w:t>Zusätzlich, aber mit anderer Rolle:</w:t>
      </w:r>
    </w:p>
    <w:tbl>
      <w:tblPr>
        <w:tblStyle w:val="TableGrid"/>
        <w:tblW w:type="auto" w:w="0"/>
        <w:tblLook w:firstColumn="1" w:firstRow="1" w:lastColumn="0" w:lastRow="0" w:noHBand="0" w:noVBand="1" w:val="04A0"/>
      </w:tblPr>
      <w:tblGrid>
        <w:gridCol w:w="3230"/>
        <w:gridCol w:w="3230"/>
        <w:gridCol w:w="3230"/>
      </w:tblGrid>
      <w:tr>
        <w:tc>
          <w:tcPr>
            <w:tcW w:type="dxa" w:w="2268"/>
            <w:shd w:fill="1F497D" w:val="clear"/>
          </w:tcPr>
          <w:p>
            <w:r>
              <w:rPr>
                <w:b/>
                <w:color w:val="FFFFFF"/>
                <w:sz w:val="19"/>
              </w:rPr>
              <w:t>Spalte</w:t>
            </w:r>
          </w:p>
        </w:tc>
        <w:tc>
          <w:tcPr>
            <w:tcW w:type="dxa" w:w="2268"/>
            <w:shd w:fill="1F497D" w:val="clear"/>
          </w:tcPr>
          <w:p>
            <w:r>
              <w:rPr>
                <w:b/>
                <w:color w:val="FFFFFF"/>
                <w:sz w:val="19"/>
              </w:rPr>
              <w:t>Quelle</w:t>
            </w:r>
          </w:p>
        </w:tc>
        <w:tc>
          <w:tcPr>
            <w:tcW w:type="dxa" w:w="5386"/>
            <w:shd w:fill="1F497D" w:val="clear"/>
          </w:tcPr>
          <w:p>
            <w:r>
              <w:rPr>
                <w:b/>
                <w:color w:val="FFFFFF"/>
                <w:sz w:val="19"/>
              </w:rPr>
              <w:t>Rolle</w:t>
            </w:r>
          </w:p>
        </w:tc>
      </w:tr>
      <w:tr>
        <w:tc>
          <w:tcPr>
            <w:tcW w:type="dxa" w:w="2268"/>
          </w:tcPr>
          <w:p>
            <w:r>
              <w:rPr>
                <w:sz w:val="18"/>
              </w:rPr>
              <w:t>ist_konzern</w:t>
            </w:r>
          </w:p>
        </w:tc>
        <w:tc>
          <w:tcPr>
            <w:tcW w:type="dxa" w:w="2268"/>
          </w:tcPr>
          <w:p>
            <w:r>
              <w:rPr>
                <w:sz w:val="18"/>
              </w:rPr>
              <w:t>Konzern.csv × SO.csv</w:t>
            </w:r>
          </w:p>
        </w:tc>
        <w:tc>
          <w:tcPr>
            <w:tcW w:type="dxa" w:w="5386"/>
          </w:tcPr>
          <w:p>
            <w:r>
              <w:rPr>
                <w:sz w:val="18"/>
              </w:rPr>
              <w:t>Binäres Merkmal (0/1), 358 von 1.824 Häusern (19,6 %) sind Konzernhäuser. Wird im Modell mitgeführt, zeigt aber in Baustein 2/4 keinen signifikanten Zusammenhang mit der Ziel-Variable (Chi²-Test p=0,90).</w:t>
            </w:r>
          </w:p>
        </w:tc>
      </w:tr>
      <w:tr>
        <w:tc>
          <w:tcPr>
            <w:tcW w:type="dxa" w:w="2268"/>
            <w:shd w:fill="F2F2F2" w:val="clear"/>
          </w:tcPr>
          <w:p>
            <w:r>
              <w:rPr>
                <w:sz w:val="18"/>
              </w:rPr>
              <w:t>SO.Latitude / SO.Longitude</w:t>
            </w:r>
          </w:p>
        </w:tc>
        <w:tc>
          <w:tcPr>
            <w:tcW w:type="dxa" w:w="2268"/>
            <w:shd w:fill="F2F2F2" w:val="clear"/>
          </w:tcPr>
          <w:p>
            <w:r>
              <w:rPr>
                <w:sz w:val="18"/>
              </w:rPr>
              <w:t>SO.csv</w:t>
            </w:r>
          </w:p>
        </w:tc>
        <w:tc>
          <w:tcPr>
            <w:tcW w:type="dxa" w:w="5386"/>
            <w:shd w:fill="F2F2F2" w:val="clear"/>
          </w:tcPr>
          <w:p>
            <w:r>
              <w:rPr>
                <w:sz w:val="18"/>
              </w:rPr>
              <w:t>Geo-Koordinaten — kein Merkmal für das Modell, sondern Grundlage der Deutschlandkarte im Dashboard.</w:t>
            </w:r>
          </w:p>
        </w:tc>
      </w:tr>
    </w:tbl>
    <w:p/>
    <w:p>
      <w:r>
        <w:rPr>
          <w:b/>
          <w:sz w:val="21"/>
        </w:rPr>
        <w:t>Reine Schlüssel- und Anzeige-Spalten (keine Merkmale):</w:t>
      </w:r>
    </w:p>
    <w:tbl>
      <w:tblPr>
        <w:tblStyle w:val="TableGrid"/>
        <w:tblW w:type="auto" w:w="0"/>
        <w:tblLook w:firstColumn="1" w:firstRow="1" w:lastColumn="0" w:lastRow="0" w:noHBand="0" w:noVBand="1" w:val="04A0"/>
      </w:tblPr>
      <w:tblGrid>
        <w:gridCol w:w="4844"/>
        <w:gridCol w:w="4844"/>
      </w:tblGrid>
      <w:tr>
        <w:tc>
          <w:tcPr>
            <w:tcW w:type="dxa" w:w="2268"/>
            <w:shd w:fill="1F497D" w:val="clear"/>
          </w:tcPr>
          <w:p>
            <w:r>
              <w:rPr>
                <w:b/>
                <w:color w:val="FFFFFF"/>
                <w:sz w:val="19"/>
              </w:rPr>
              <w:t>Spalte</w:t>
            </w:r>
          </w:p>
        </w:tc>
        <w:tc>
          <w:tcPr>
            <w:tcW w:type="dxa" w:w="7654"/>
            <w:shd w:fill="1F497D" w:val="clear"/>
          </w:tcPr>
          <w:p>
            <w:r>
              <w:rPr>
                <w:b/>
                <w:color w:val="FFFFFF"/>
                <w:sz w:val="19"/>
              </w:rPr>
              <w:t>Rolle</w:t>
            </w:r>
          </w:p>
        </w:tc>
      </w:tr>
      <w:tr>
        <w:tc>
          <w:tcPr>
            <w:tcW w:type="dxa" w:w="2268"/>
          </w:tcPr>
          <w:p>
            <w:r>
              <w:rPr>
                <w:sz w:val="18"/>
              </w:rPr>
              <w:t>SO.QBID</w:t>
            </w:r>
          </w:p>
        </w:tc>
        <w:tc>
          <w:tcPr>
            <w:tcW w:type="dxa" w:w="7654"/>
          </w:tcPr>
          <w:p>
            <w:r>
              <w:rPr>
                <w:sz w:val="18"/>
              </w:rPr>
              <w:t>Primärschlüssel — eindeutige Krankenhaus-ID, verbindet alle Quelltabellen</w:t>
            </w:r>
          </w:p>
        </w:tc>
      </w:tr>
      <w:tr>
        <w:tc>
          <w:tcPr>
            <w:tcW w:type="dxa" w:w="2268"/>
            <w:shd w:fill="F2F2F2" w:val="clear"/>
          </w:tcPr>
          <w:p>
            <w:r>
              <w:rPr>
                <w:sz w:val="18"/>
              </w:rPr>
              <w:t>SO.Name</w:t>
            </w:r>
          </w:p>
        </w:tc>
        <w:tc>
          <w:tcPr>
            <w:tcW w:type="dxa" w:w="7654"/>
            <w:shd w:fill="F2F2F2" w:val="clear"/>
          </w:tcPr>
          <w:p>
            <w:r>
              <w:rPr>
                <w:sz w:val="18"/>
              </w:rPr>
              <w:t>Nur für Anzeige (z. B. Dashboard-Steckbrief), kein Analysemerkmal</w:t>
            </w:r>
          </w:p>
        </w:tc>
      </w:tr>
      <w:tr>
        <w:tc>
          <w:tcPr>
            <w:tcW w:type="dxa" w:w="2268"/>
          </w:tcPr>
          <w:p>
            <w:r>
              <w:rPr>
                <w:sz w:val="18"/>
              </w:rPr>
              <w:t>KH.Träger</w:t>
            </w:r>
          </w:p>
        </w:tc>
        <w:tc>
          <w:tcPr>
            <w:tcW w:type="dxa" w:w="7654"/>
          </w:tcPr>
          <w:p>
            <w:r>
              <w:rPr>
                <w:sz w:val="18"/>
              </w:rPr>
              <w:t>Trägername im Klartext — unbereinigt, KH.Träger.Art ist die auswertbare Version</w:t>
            </w:r>
          </w:p>
        </w:tc>
      </w:tr>
      <w:tr>
        <w:tc>
          <w:tcPr>
            <w:tcW w:type="dxa" w:w="2268"/>
            <w:shd w:fill="F2F2F2" w:val="clear"/>
          </w:tcPr>
          <w:p>
            <w:r>
              <w:rPr>
                <w:sz w:val="18"/>
              </w:rPr>
              <w:t>SO.Standortnummer</w:t>
            </w:r>
          </w:p>
        </w:tc>
        <w:tc>
          <w:tcPr>
            <w:tcW w:type="dxa" w:w="7654"/>
            <w:shd w:fill="F2F2F2" w:val="clear"/>
          </w:tcPr>
          <w:p>
            <w:r>
              <w:rPr>
                <w:sz w:val="18"/>
              </w:rPr>
              <w:t>Reine Join-Hilfsspalte, nur für den Konzern.csv-Abgleich benötigt</w:t>
            </w:r>
          </w:p>
        </w:tc>
      </w:tr>
      <w:tr>
        <w:tc>
          <w:tcPr>
            <w:tcW w:type="dxa" w:w="2268"/>
          </w:tcPr>
          <w:p>
            <w:r>
              <w:rPr>
                <w:sz w:val="18"/>
              </w:rPr>
              <w:t>total_qi, auffaellig_n</w:t>
            </w:r>
          </w:p>
        </w:tc>
        <w:tc>
          <w:tcPr>
            <w:tcW w:type="dxa" w:w="7654"/>
          </w:tcPr>
          <w:p>
            <w:r>
              <w:rPr>
                <w:sz w:val="18"/>
              </w:rPr>
              <w:t>Zwischenwerte zur Berechnung von auffaellig_quote (Zähler/Nenner)</w:t>
            </w:r>
          </w:p>
        </w:tc>
      </w:tr>
    </w:tbl>
    <w:p>
      <w:r>
        <w:br w:type="page"/>
      </w:r>
    </w:p>
    <w:p>
      <w:pPr>
        <w:pStyle w:val="Heading1"/>
      </w:pPr>
      <w:r>
        <w:rPr>
          <w:color w:val="1F497D"/>
        </w:rPr>
        <w:t>3  Quelltabellen — 7 von 86 CSV-Dateien</w:t>
      </w:r>
    </w:p>
    <w:p>
      <w:r>
        <w:rPr>
          <w:b w:val="0"/>
          <w:sz w:val="21"/>
        </w:rPr>
        <w:t>Von den 86 Rohdaten-Dateien fließen genau 7 tatsächlich in die Analysetabelle ein (vollständige Klassifikation aller 86 Dateien: siehe Doku/MD/Daten_Inhaltsverzeichnis.md):</w:t>
      </w:r>
    </w:p>
    <w:tbl>
      <w:tblPr>
        <w:tblStyle w:val="TableGrid"/>
        <w:tblW w:type="auto" w:w="0"/>
        <w:tblLook w:firstColumn="1" w:firstRow="1" w:lastColumn="0" w:lastRow="0" w:noHBand="0" w:noVBand="1" w:val="04A0"/>
      </w:tblPr>
      <w:tblGrid>
        <w:gridCol w:w="3230"/>
        <w:gridCol w:w="3230"/>
        <w:gridCol w:w="3230"/>
      </w:tblGrid>
      <w:tr>
        <w:tc>
          <w:tcPr>
            <w:tcW w:type="dxa" w:w="2551"/>
            <w:shd w:fill="1F497D" w:val="clear"/>
          </w:tcPr>
          <w:p>
            <w:r>
              <w:rPr>
                <w:b/>
                <w:color w:val="FFFFFF"/>
                <w:sz w:val="19"/>
              </w:rPr>
              <w:t>Datei</w:t>
            </w:r>
          </w:p>
        </w:tc>
        <w:tc>
          <w:tcPr>
            <w:tcW w:type="dxa" w:w="3402"/>
            <w:shd w:fill="1F497D" w:val="clear"/>
          </w:tcPr>
          <w:p>
            <w:r>
              <w:rPr>
                <w:b/>
                <w:color w:val="FFFFFF"/>
                <w:sz w:val="19"/>
              </w:rPr>
              <w:t>Liefert</w:t>
            </w:r>
          </w:p>
        </w:tc>
        <w:tc>
          <w:tcPr>
            <w:tcW w:type="dxa" w:w="3969"/>
            <w:shd w:fill="1F497D" w:val="clear"/>
          </w:tcPr>
          <w:p>
            <w:r>
              <w:rPr>
                <w:b/>
                <w:color w:val="FFFFFF"/>
                <w:sz w:val="19"/>
              </w:rPr>
              <w:t>Rolle im Merge</w:t>
            </w:r>
          </w:p>
        </w:tc>
      </w:tr>
      <w:tr>
        <w:tc>
          <w:tcPr>
            <w:tcW w:type="dxa" w:w="2551"/>
          </w:tcPr>
          <w:p>
            <w:r>
              <w:rPr>
                <w:sz w:val="18"/>
              </w:rPr>
              <w:t>QS.Qualitätsindikator.csv</w:t>
            </w:r>
          </w:p>
        </w:tc>
        <w:tc>
          <w:tcPr>
            <w:tcW w:type="dxa" w:w="3402"/>
          </w:tcPr>
          <w:p>
            <w:r>
              <w:rPr>
                <w:sz w:val="18"/>
              </w:rPr>
              <w:t>auffaellig_quote, hat_viele_Probleme</w:t>
            </w:r>
          </w:p>
        </w:tc>
        <w:tc>
          <w:tcPr>
            <w:tcW w:type="dxa" w:w="3969"/>
          </w:tcPr>
          <w:p>
            <w:r>
              <w:rPr>
                <w:sz w:val="18"/>
              </w:rPr>
              <w:t>Ausgangspunkt — hier beginnt die Analysetabelle (Ziel-Variable)</w:t>
            </w:r>
          </w:p>
        </w:tc>
      </w:tr>
      <w:tr>
        <w:tc>
          <w:tcPr>
            <w:tcW w:type="dxa" w:w="2551"/>
            <w:shd w:fill="F2F2F2" w:val="clear"/>
          </w:tcPr>
          <w:p>
            <w:r>
              <w:rPr>
                <w:sz w:val="18"/>
              </w:rPr>
              <w:t>SO.csv</w:t>
            </w:r>
          </w:p>
        </w:tc>
        <w:tc>
          <w:tcPr>
            <w:tcW w:type="dxa" w:w="3402"/>
            <w:shd w:fill="F2F2F2" w:val="clear"/>
          </w:tcPr>
          <w:p>
            <w:r>
              <w:rPr>
                <w:sz w:val="18"/>
              </w:rPr>
              <w:t>SO.Betten, SO.Bundesland, SO.Uni, KH.Träger.Art, Koordinaten, SO.Standortnummer</w:t>
            </w:r>
          </w:p>
        </w:tc>
        <w:tc>
          <w:tcPr>
            <w:tcW w:type="dxa" w:w="3969"/>
            <w:shd w:fill="F2F2F2" w:val="clear"/>
          </w:tcPr>
          <w:p>
            <w:r>
              <w:rPr>
                <w:sz w:val="18"/>
              </w:rPr>
              <w:t>1. Anbindung — Stammdaten je Haus</w:t>
            </w:r>
          </w:p>
        </w:tc>
      </w:tr>
      <w:tr>
        <w:tc>
          <w:tcPr>
            <w:tcW w:type="dxa" w:w="2551"/>
          </w:tcPr>
          <w:p>
            <w:r>
              <w:rPr>
                <w:sz w:val="18"/>
              </w:rPr>
              <w:t>QS.Fortbildung.csv</w:t>
            </w:r>
          </w:p>
        </w:tc>
        <w:tc>
          <w:tcPr>
            <w:tcW w:type="dxa" w:w="3402"/>
          </w:tcPr>
          <w:p>
            <w:r>
              <w:rPr>
                <w:sz w:val="18"/>
              </w:rPr>
              <w:t>fortbildungsquote</w:t>
            </w:r>
          </w:p>
        </w:tc>
        <w:tc>
          <w:tcPr>
            <w:tcW w:type="dxa" w:w="3969"/>
          </w:tcPr>
          <w:p>
            <w:r>
              <w:rPr>
                <w:sz w:val="18"/>
              </w:rPr>
              <w:t>2. Anbindung</w:t>
            </w:r>
          </w:p>
        </w:tc>
      </w:tr>
      <w:tr>
        <w:tc>
          <w:tcPr>
            <w:tcW w:type="dxa" w:w="2551"/>
            <w:shd w:fill="F2F2F2" w:val="clear"/>
          </w:tcPr>
          <w:p>
            <w:r>
              <w:rPr>
                <w:sz w:val="18"/>
              </w:rPr>
              <w:t>FA.csv</w:t>
            </w:r>
          </w:p>
        </w:tc>
        <w:tc>
          <w:tcPr>
            <w:tcW w:type="dxa" w:w="3402"/>
            <w:shd w:fill="F2F2F2" w:val="clear"/>
          </w:tcPr>
          <w:p>
            <w:r>
              <w:rPr>
                <w:sz w:val="18"/>
              </w:rPr>
              <w:t>Brückentabelle (ABTID ↔ SO.QBID)</w:t>
            </w:r>
          </w:p>
        </w:tc>
        <w:tc>
          <w:tcPr>
            <w:tcW w:type="dxa" w:w="3969"/>
            <w:shd w:fill="F2F2F2" w:val="clear"/>
          </w:tcPr>
          <w:p>
            <w:r>
              <w:rPr>
                <w:sz w:val="18"/>
              </w:rPr>
              <w:t>Nötig, um FA.Personalliste.csv anzubinden</w:t>
            </w:r>
          </w:p>
        </w:tc>
      </w:tr>
      <w:tr>
        <w:tc>
          <w:tcPr>
            <w:tcW w:type="dxa" w:w="2551"/>
          </w:tcPr>
          <w:p>
            <w:r>
              <w:rPr>
                <w:sz w:val="18"/>
              </w:rPr>
              <w:t>FA.Personalliste.csv</w:t>
            </w:r>
          </w:p>
        </w:tc>
        <w:tc>
          <w:tcPr>
            <w:tcW w:type="dxa" w:w="3402"/>
          </w:tcPr>
          <w:p>
            <w:r>
              <w:rPr>
                <w:sz w:val="18"/>
              </w:rPr>
              <w:t>aerzte_pro_bett</w:t>
            </w:r>
          </w:p>
        </w:tc>
        <w:tc>
          <w:tcPr>
            <w:tcW w:type="dxa" w:w="3969"/>
          </w:tcPr>
          <w:p>
            <w:r>
              <w:rPr>
                <w:sz w:val="18"/>
              </w:rPr>
              <w:t>3. Anbindung (zweistufig über FA.csv)</w:t>
            </w:r>
          </w:p>
        </w:tc>
      </w:tr>
      <w:tr>
        <w:tc>
          <w:tcPr>
            <w:tcW w:type="dxa" w:w="2551"/>
            <w:shd w:fill="F2F2F2" w:val="clear"/>
          </w:tcPr>
          <w:p>
            <w:r>
              <w:rPr>
                <w:sz w:val="18"/>
              </w:rPr>
              <w:t>SO.Personalliste.csv</w:t>
            </w:r>
          </w:p>
        </w:tc>
        <w:tc>
          <w:tcPr>
            <w:tcW w:type="dxa" w:w="3402"/>
            <w:shd w:fill="F2F2F2" w:val="clear"/>
          </w:tcPr>
          <w:p>
            <w:r>
              <w:rPr>
                <w:sz w:val="18"/>
              </w:rPr>
              <w:t>pflege_pro_bett</w:t>
            </w:r>
          </w:p>
        </w:tc>
        <w:tc>
          <w:tcPr>
            <w:tcW w:type="dxa" w:w="3969"/>
            <w:shd w:fill="F2F2F2" w:val="clear"/>
          </w:tcPr>
          <w:p>
            <w:r>
              <w:rPr>
                <w:sz w:val="18"/>
              </w:rPr>
              <w:t>4. Anbindung (ergänzt 2026-07-29)</w:t>
            </w:r>
          </w:p>
        </w:tc>
      </w:tr>
      <w:tr>
        <w:tc>
          <w:tcPr>
            <w:tcW w:type="dxa" w:w="2551"/>
          </w:tcPr>
          <w:p>
            <w:r>
              <w:rPr>
                <w:sz w:val="18"/>
              </w:rPr>
              <w:t>Konzern.csv</w:t>
            </w:r>
          </w:p>
        </w:tc>
        <w:tc>
          <w:tcPr>
            <w:tcW w:type="dxa" w:w="3402"/>
          </w:tcPr>
          <w:p>
            <w:r>
              <w:rPr>
                <w:sz w:val="18"/>
              </w:rPr>
              <w:t>ist_konzern</w:t>
            </w:r>
          </w:p>
        </w:tc>
        <w:tc>
          <w:tcPr>
            <w:tcW w:type="dxa" w:w="3969"/>
          </w:tcPr>
          <w:p>
            <w:r>
              <w:rPr>
                <w:sz w:val="18"/>
              </w:rPr>
              <w:t>5. Anbindung (ergänzt 2026-07-29, über SO.Standortnummer)</w:t>
            </w:r>
          </w:p>
        </w:tc>
      </w:tr>
    </w:tbl>
    <w:p/>
    <w:p>
      <w:r>
        <w:rPr>
          <w:b w:val="0"/>
          <w:sz w:val="21"/>
        </w:rPr>
        <w:t>Nicht verwendet, obwohl thematisch naheliegend: QS.csv (vermeintliche Brückentabelle — tatsächlich nie geladen, da QS.Qualitätsindikator.csv SO.QBID bereits selbst trägt) und AQ.Pflege.csv (bewusst durch SO.Personalliste.csv ersetzt, da diese direkt Anzahlen statt nur Qualifikationsnachweise liefert).</w:t>
      </w:r>
    </w:p>
    <w:p>
      <w:r>
        <w:br w:type="page"/>
      </w:r>
    </w:p>
    <w:p>
      <w:pPr>
        <w:pStyle w:val="Heading1"/>
      </w:pPr>
      <w:r>
        <w:rPr>
          <w:color w:val="1F497D"/>
        </w:rPr>
        <w:t>4  Wie wurde gemerged?</w:t>
      </w:r>
    </w:p>
    <w:p>
      <w:r>
        <w:rPr>
          <w:b w:val="0"/>
          <w:sz w:val="21"/>
        </w:rPr>
        <w:t>Alle sieben Zusammenführungen sind Left Joins (pandas merge(..., how='left')). Anker ist immer die bereits im Aufbau befindliche Analysetabelle (beginnend bei der Ziel-Variable) — jede weitere Tabelle wird von links angehängt, ohne dass Zeilen verloren gehen, wenn eine Datei zu einem Haus keine Daten hat (dann entsteht dort NaN, siehe Kapitel 5).</w:t>
      </w:r>
    </w:p>
    <w:tbl>
      <w:tblPr>
        <w:tblStyle w:val="TableGrid"/>
        <w:tblW w:type="auto" w:w="0"/>
        <w:tblLook w:firstColumn="1" w:firstRow="1" w:lastColumn="0" w:lastRow="0" w:noHBand="0" w:noVBand="1" w:val="04A0"/>
      </w:tblPr>
      <w:tblGrid>
        <w:gridCol w:w="2422"/>
        <w:gridCol w:w="2422"/>
        <w:gridCol w:w="2422"/>
        <w:gridCol w:w="2422"/>
      </w:tblGrid>
      <w:tr>
        <w:tc>
          <w:tcPr>
            <w:tcW w:type="dxa" w:w="3118"/>
            <w:shd w:fill="1F497D" w:val="clear"/>
          </w:tcPr>
          <w:p>
            <w:r>
              <w:rPr>
                <w:b/>
                <w:color w:val="FFFFFF"/>
                <w:sz w:val="19"/>
              </w:rPr>
              <w:t>Merge</w:t>
            </w:r>
          </w:p>
        </w:tc>
        <w:tc>
          <w:tcPr>
            <w:tcW w:type="dxa" w:w="1984"/>
            <w:shd w:fill="1F497D" w:val="clear"/>
          </w:tcPr>
          <w:p>
            <w:r>
              <w:rPr>
                <w:b/>
                <w:color w:val="FFFFFF"/>
                <w:sz w:val="19"/>
              </w:rPr>
              <w:t>Schlüssel</w:t>
            </w:r>
          </w:p>
        </w:tc>
        <w:tc>
          <w:tcPr>
            <w:tcW w:type="dxa" w:w="1134"/>
            <w:shd w:fill="1F497D" w:val="clear"/>
          </w:tcPr>
          <w:p>
            <w:r>
              <w:rPr>
                <w:b/>
                <w:color w:val="FFFFFF"/>
                <w:sz w:val="19"/>
              </w:rPr>
              <w:t>Join-Typ</w:t>
            </w:r>
          </w:p>
        </w:tc>
        <w:tc>
          <w:tcPr>
            <w:tcW w:type="dxa" w:w="3685"/>
            <w:shd w:fill="1F497D" w:val="clear"/>
          </w:tcPr>
          <w:p>
            <w:r>
              <w:rPr>
                <w:b/>
                <w:color w:val="FFFFFF"/>
                <w:sz w:val="19"/>
              </w:rPr>
              <w:t>Besonderheit</w:t>
            </w:r>
          </w:p>
        </w:tc>
      </w:tr>
      <w:tr>
        <w:tc>
          <w:tcPr>
            <w:tcW w:type="dxa" w:w="3118"/>
          </w:tcPr>
          <w:p>
            <w:r>
              <w:rPr>
                <w:sz w:val="18"/>
              </w:rPr>
              <w:t>Analysetabelle ← SO.csv</w:t>
            </w:r>
          </w:p>
        </w:tc>
        <w:tc>
          <w:tcPr>
            <w:tcW w:type="dxa" w:w="1984"/>
          </w:tcPr>
          <w:p>
            <w:r>
              <w:rPr>
                <w:sz w:val="18"/>
              </w:rPr>
              <w:t>SO.QBID</w:t>
            </w:r>
          </w:p>
        </w:tc>
        <w:tc>
          <w:tcPr>
            <w:tcW w:type="dxa" w:w="1134"/>
          </w:tcPr>
          <w:p>
            <w:r>
              <w:rPr>
                <w:sz w:val="18"/>
              </w:rPr>
              <w:t>Left</w:t>
            </w:r>
          </w:p>
        </w:tc>
        <w:tc>
          <w:tcPr>
            <w:tcW w:type="dxa" w:w="3685"/>
          </w:tcPr>
          <w:p>
            <w:r>
              <w:rPr>
                <w:sz w:val="18"/>
              </w:rPr>
              <w:t>Standardfall</w:t>
            </w:r>
          </w:p>
        </w:tc>
      </w:tr>
      <w:tr>
        <w:tc>
          <w:tcPr>
            <w:tcW w:type="dxa" w:w="3118"/>
            <w:shd w:fill="F2F2F2" w:val="clear"/>
          </w:tcPr>
          <w:p>
            <w:r>
              <w:rPr>
                <w:sz w:val="18"/>
              </w:rPr>
              <w:t>Analysetabelle ← QS.Fortbildung.csv</w:t>
            </w:r>
          </w:p>
        </w:tc>
        <w:tc>
          <w:tcPr>
            <w:tcW w:type="dxa" w:w="1984"/>
            <w:shd w:fill="F2F2F2" w:val="clear"/>
          </w:tcPr>
          <w:p>
            <w:r>
              <w:rPr>
                <w:sz w:val="18"/>
              </w:rPr>
              <w:t>SO.QBID</w:t>
            </w:r>
          </w:p>
        </w:tc>
        <w:tc>
          <w:tcPr>
            <w:tcW w:type="dxa" w:w="1134"/>
            <w:shd w:fill="F2F2F2" w:val="clear"/>
          </w:tcPr>
          <w:p>
            <w:r>
              <w:rPr>
                <w:sz w:val="18"/>
              </w:rPr>
              <w:t>Left</w:t>
            </w:r>
          </w:p>
        </w:tc>
        <w:tc>
          <w:tcPr>
            <w:tcW w:type="dxa" w:w="3685"/>
            <w:shd w:fill="F2F2F2" w:val="clear"/>
          </w:tcPr>
          <w:p>
            <w:r>
              <w:rPr>
                <w:sz w:val="18"/>
              </w:rPr>
              <w:t>Standardfall</w:t>
            </w:r>
          </w:p>
        </w:tc>
      </w:tr>
      <w:tr>
        <w:tc>
          <w:tcPr>
            <w:tcW w:type="dxa" w:w="3118"/>
          </w:tcPr>
          <w:p>
            <w:r>
              <w:rPr>
                <w:sz w:val="18"/>
              </w:rPr>
              <w:t>FA.Personalliste.csv ← FA.csv</w:t>
            </w:r>
          </w:p>
        </w:tc>
        <w:tc>
          <w:tcPr>
            <w:tcW w:type="dxa" w:w="1984"/>
          </w:tcPr>
          <w:p>
            <w:r>
              <w:rPr>
                <w:sz w:val="18"/>
              </w:rPr>
              <w:t>ABTID → SO.QBID</w:t>
            </w:r>
          </w:p>
        </w:tc>
        <w:tc>
          <w:tcPr>
            <w:tcW w:type="dxa" w:w="1134"/>
          </w:tcPr>
          <w:p>
            <w:r>
              <w:rPr>
                <w:sz w:val="18"/>
              </w:rPr>
              <w:t>Left</w:t>
            </w:r>
          </w:p>
        </w:tc>
        <w:tc>
          <w:tcPr>
            <w:tcW w:type="dxa" w:w="3685"/>
          </w:tcPr>
          <w:p>
            <w:r>
              <w:rPr>
                <w:sz w:val="18"/>
              </w:rPr>
              <w:t>Zweistufig: FA.Personalliste kennt nur ABTID, FA.csv liefert den Übergang zu SO.QBID</w:t>
            </w:r>
          </w:p>
        </w:tc>
      </w:tr>
      <w:tr>
        <w:tc>
          <w:tcPr>
            <w:tcW w:type="dxa" w:w="3118"/>
            <w:shd w:fill="F2F2F2" w:val="clear"/>
          </w:tcPr>
          <w:p>
            <w:r>
              <w:rPr>
                <w:sz w:val="18"/>
              </w:rPr>
              <w:t>Analysetabelle ← FA.Personalliste.csv (aggregiert)</w:t>
            </w:r>
          </w:p>
        </w:tc>
        <w:tc>
          <w:tcPr>
            <w:tcW w:type="dxa" w:w="1984"/>
            <w:shd w:fill="F2F2F2" w:val="clear"/>
          </w:tcPr>
          <w:p>
            <w:r>
              <w:rPr>
                <w:sz w:val="18"/>
              </w:rPr>
              <w:t>SO.QBID</w:t>
            </w:r>
          </w:p>
        </w:tc>
        <w:tc>
          <w:tcPr>
            <w:tcW w:type="dxa" w:w="1134"/>
            <w:shd w:fill="F2F2F2" w:val="clear"/>
          </w:tcPr>
          <w:p>
            <w:r>
              <w:rPr>
                <w:sz w:val="18"/>
              </w:rPr>
              <w:t>Left</w:t>
            </w:r>
          </w:p>
        </w:tc>
        <w:tc>
          <w:tcPr>
            <w:tcW w:type="dxa" w:w="3685"/>
            <w:shd w:fill="F2F2F2" w:val="clear"/>
          </w:tcPr>
          <w:p>
            <w:r>
              <w:rPr>
                <w:sz w:val="18"/>
              </w:rPr>
              <w:t>Standardfall</w:t>
            </w:r>
          </w:p>
        </w:tc>
      </w:tr>
      <w:tr>
        <w:tc>
          <w:tcPr>
            <w:tcW w:type="dxa" w:w="3118"/>
          </w:tcPr>
          <w:p>
            <w:r>
              <w:rPr>
                <w:sz w:val="18"/>
              </w:rPr>
              <w:t>Analysetabelle ← SO.Personalliste.csv (aggregiert)</w:t>
            </w:r>
          </w:p>
        </w:tc>
        <w:tc>
          <w:tcPr>
            <w:tcW w:type="dxa" w:w="1984"/>
          </w:tcPr>
          <w:p>
            <w:r>
              <w:rPr>
                <w:sz w:val="18"/>
              </w:rPr>
              <w:t>SO.QBID</w:t>
            </w:r>
          </w:p>
        </w:tc>
        <w:tc>
          <w:tcPr>
            <w:tcW w:type="dxa" w:w="1134"/>
          </w:tcPr>
          <w:p>
            <w:r>
              <w:rPr>
                <w:sz w:val="18"/>
              </w:rPr>
              <w:t>Left</w:t>
            </w:r>
          </w:p>
        </w:tc>
        <w:tc>
          <w:tcPr>
            <w:tcW w:type="dxa" w:w="3685"/>
          </w:tcPr>
          <w:p>
            <w:r>
              <w:rPr>
                <w:sz w:val="18"/>
              </w:rPr>
              <w:t>Standardfall</w:t>
            </w:r>
          </w:p>
        </w:tc>
      </w:tr>
      <w:tr>
        <w:tc>
          <w:tcPr>
            <w:tcW w:type="dxa" w:w="3118"/>
            <w:shd w:fill="F2F2F2" w:val="clear"/>
          </w:tcPr>
          <w:p>
            <w:r>
              <w:rPr>
                <w:sz w:val="18"/>
              </w:rPr>
              <w:t>Analysetabelle ← Konzern.csv</w:t>
            </w:r>
          </w:p>
        </w:tc>
        <w:tc>
          <w:tcPr>
            <w:tcW w:type="dxa" w:w="1984"/>
            <w:shd w:fill="F2F2F2" w:val="clear"/>
          </w:tcPr>
          <w:p>
            <w:r>
              <w:rPr>
                <w:sz w:val="18"/>
              </w:rPr>
              <w:t>SO.Standortnummer</w:t>
            </w:r>
          </w:p>
        </w:tc>
        <w:tc>
          <w:tcPr>
            <w:tcW w:type="dxa" w:w="1134"/>
            <w:shd w:fill="F2F2F2" w:val="clear"/>
          </w:tcPr>
          <w:p>
            <w:r>
              <w:rPr>
                <w:sz w:val="18"/>
              </w:rPr>
              <w:t>Left</w:t>
            </w:r>
          </w:p>
        </w:tc>
        <w:tc>
          <w:tcPr>
            <w:tcW w:type="dxa" w:w="3685"/>
            <w:shd w:fill="F2F2F2" w:val="clear"/>
          </w:tcPr>
          <w:p>
            <w:r>
              <w:rPr>
                <w:sz w:val="18"/>
              </w:rPr>
              <w:t>⚠️ NICHT SO.QBID! Ursprünglicher Join-Versuch verglich fälschlich gegen SO.QBID (0 Treffer) — nach Korrektur 358 von 1.824 Treffern</w:t>
            </w:r>
          </w:p>
        </w:tc>
      </w:tr>
    </w:tbl>
    <w:p>
      <w:r>
        <w:br w:type="page"/>
      </w:r>
    </w:p>
    <w:p>
      <w:pPr>
        <w:pStyle w:val="Heading1"/>
      </w:pPr>
      <w:r>
        <w:rPr>
          <w:color w:val="1F497D"/>
        </w:rPr>
        <w:t>5  Endergebnis — wie groß ist die fertige Tabelle?</w:t>
      </w:r>
    </w:p>
    <w:tbl>
      <w:tblPr>
        <w:tblStyle w:val="TableGrid"/>
        <w:tblW w:type="auto" w:w="0"/>
        <w:tblLook w:firstColumn="1" w:firstRow="1" w:lastColumn="0" w:lastRow="0" w:noHBand="0" w:noVBand="1" w:val="04A0"/>
      </w:tblPr>
      <w:tblGrid>
        <w:gridCol w:w="4844"/>
        <w:gridCol w:w="4844"/>
      </w:tblGrid>
      <w:tr>
        <w:tc>
          <w:tcPr>
            <w:tcW w:type="dxa" w:w="5102"/>
            <w:shd w:fill="1F497D" w:val="clear"/>
          </w:tcPr>
          <w:p>
            <w:r>
              <w:rPr>
                <w:b/>
                <w:color w:val="FFFFFF"/>
                <w:sz w:val="19"/>
              </w:rPr>
              <w:t>Kennzahl</w:t>
            </w:r>
          </w:p>
        </w:tc>
        <w:tc>
          <w:tcPr>
            <w:tcW w:type="dxa" w:w="4535"/>
            <w:shd w:fill="1F497D" w:val="clear"/>
          </w:tcPr>
          <w:p>
            <w:r>
              <w:rPr>
                <w:b/>
                <w:color w:val="FFFFFF"/>
                <w:sz w:val="19"/>
              </w:rPr>
              <w:t>Wert</w:t>
            </w:r>
          </w:p>
        </w:tc>
      </w:tr>
      <w:tr>
        <w:tc>
          <w:tcPr>
            <w:tcW w:type="dxa" w:w="5102"/>
          </w:tcPr>
          <w:p>
            <w:r>
              <w:rPr>
                <w:sz w:val="18"/>
              </w:rPr>
              <w:t>Datei</w:t>
            </w:r>
          </w:p>
        </w:tc>
        <w:tc>
          <w:tcPr>
            <w:tcW w:type="dxa" w:w="4535"/>
          </w:tcPr>
          <w:p>
            <w:r>
              <w:rPr>
                <w:sz w:val="18"/>
              </w:rPr>
              <w:t>Data/analysetabelle.csv</w:t>
            </w:r>
          </w:p>
        </w:tc>
      </w:tr>
      <w:tr>
        <w:tc>
          <w:tcPr>
            <w:tcW w:type="dxa" w:w="5102"/>
            <w:shd w:fill="F2F2F2" w:val="clear"/>
          </w:tcPr>
          <w:p>
            <w:r>
              <w:rPr>
                <w:sz w:val="18"/>
              </w:rPr>
              <w:t>Zeilen (Krankenhäuser)</w:t>
            </w:r>
          </w:p>
        </w:tc>
        <w:tc>
          <w:tcPr>
            <w:tcW w:type="dxa" w:w="4535"/>
            <w:shd w:fill="F2F2F2" w:val="clear"/>
          </w:tcPr>
          <w:p>
            <w:r>
              <w:rPr>
                <w:sz w:val="18"/>
              </w:rPr>
              <w:t>1.824</w:t>
            </w:r>
          </w:p>
        </w:tc>
      </w:tr>
      <w:tr>
        <w:tc>
          <w:tcPr>
            <w:tcW w:type="dxa" w:w="5102"/>
          </w:tcPr>
          <w:p>
            <w:r>
              <w:rPr>
                <w:sz w:val="18"/>
              </w:rPr>
              <w:t>Spalten insgesamt</w:t>
            </w:r>
          </w:p>
        </w:tc>
        <w:tc>
          <w:tcPr>
            <w:tcW w:type="dxa" w:w="4535"/>
          </w:tcPr>
          <w:p>
            <w:r>
              <w:rPr>
                <w:sz w:val="18"/>
              </w:rPr>
              <w:t>18</w:t>
            </w:r>
          </w:p>
        </w:tc>
      </w:tr>
      <w:tr>
        <w:tc>
          <w:tcPr>
            <w:tcW w:type="dxa" w:w="5102"/>
            <w:shd w:fill="F2F2F2" w:val="clear"/>
          </w:tcPr>
          <w:p>
            <w:r>
              <w:rPr>
                <w:sz w:val="18"/>
              </w:rPr>
              <w:t>davon echte Merkmale (Kapitel 2)</w:t>
            </w:r>
          </w:p>
        </w:tc>
        <w:tc>
          <w:tcPr>
            <w:tcW w:type="dxa" w:w="4535"/>
            <w:shd w:fill="F2F2F2" w:val="clear"/>
          </w:tcPr>
          <w:p>
            <w:r>
              <w:rPr>
                <w:sz w:val="18"/>
              </w:rPr>
              <w:t>7</w:t>
            </w:r>
          </w:p>
        </w:tc>
      </w:tr>
      <w:tr>
        <w:tc>
          <w:tcPr>
            <w:tcW w:type="dxa" w:w="5102"/>
          </w:tcPr>
          <w:p>
            <w:r>
              <w:rPr>
                <w:sz w:val="18"/>
              </w:rPr>
              <w:t>Ziel-Variable(n)</w:t>
            </w:r>
          </w:p>
        </w:tc>
        <w:tc>
          <w:tcPr>
            <w:tcW w:type="dxa" w:w="4535"/>
          </w:tcPr>
          <w:p>
            <w:r>
              <w:rPr>
                <w:sz w:val="18"/>
              </w:rPr>
              <w:t>2 (auffaellig_quote, hat_viele_Probleme)</w:t>
            </w:r>
          </w:p>
        </w:tc>
      </w:tr>
      <w:tr>
        <w:tc>
          <w:tcPr>
            <w:tcW w:type="dxa" w:w="5102"/>
            <w:shd w:fill="F2F2F2" w:val="clear"/>
          </w:tcPr>
          <w:p>
            <w:r>
              <w:rPr>
                <w:sz w:val="18"/>
              </w:rPr>
              <w:t>Schlüssel-/Hilfsspalten</w:t>
            </w:r>
          </w:p>
        </w:tc>
        <w:tc>
          <w:tcPr>
            <w:tcW w:type="dxa" w:w="4535"/>
            <w:shd w:fill="F2F2F2" w:val="clear"/>
          </w:tcPr>
          <w:p>
            <w:r>
              <w:rPr>
                <w:sz w:val="18"/>
              </w:rPr>
              <w:t>9</w:t>
            </w:r>
          </w:p>
        </w:tc>
      </w:tr>
      <w:tr>
        <w:tc>
          <w:tcPr>
            <w:tcW w:type="dxa" w:w="5102"/>
          </w:tcPr>
          <w:p>
            <w:r>
              <w:rPr>
                <w:sz w:val="18"/>
              </w:rPr>
              <w:t>hat_viele_Probleme = 1</w:t>
            </w:r>
          </w:p>
        </w:tc>
        <w:tc>
          <w:tcPr>
            <w:tcW w:type="dxa" w:w="4535"/>
          </w:tcPr>
          <w:p>
            <w:r>
              <w:rPr>
                <w:sz w:val="18"/>
              </w:rPr>
              <w:t>899 (49,3 %)</w:t>
            </w:r>
          </w:p>
        </w:tc>
      </w:tr>
      <w:tr>
        <w:tc>
          <w:tcPr>
            <w:tcW w:type="dxa" w:w="5102"/>
            <w:shd w:fill="F2F2F2" w:val="clear"/>
          </w:tcPr>
          <w:p>
            <w:r>
              <w:rPr>
                <w:sz w:val="18"/>
              </w:rPr>
              <w:t>hat_viele_Probleme = 0</w:t>
            </w:r>
          </w:p>
        </w:tc>
        <w:tc>
          <w:tcPr>
            <w:tcW w:type="dxa" w:w="4535"/>
            <w:shd w:fill="F2F2F2" w:val="clear"/>
          </w:tcPr>
          <w:p>
            <w:r>
              <w:rPr>
                <w:sz w:val="18"/>
              </w:rPr>
              <w:t>925 (50,7 %)</w:t>
            </w:r>
          </w:p>
        </w:tc>
      </w:tr>
    </w:tbl>
    <w:p/>
    <w:p>
      <w:r>
        <w:rPr>
          <w:b/>
          <w:sz w:val="21"/>
        </w:rPr>
        <w:t>Fehlende Werte je Spalte (nur Spalten mit Lücken):</w:t>
      </w:r>
    </w:p>
    <w:tbl>
      <w:tblPr>
        <w:tblStyle w:val="TableGrid"/>
        <w:tblW w:type="auto" w:w="0"/>
        <w:tblLook w:firstColumn="1" w:firstRow="1" w:lastColumn="0" w:lastRow="0" w:noHBand="0" w:noVBand="1" w:val="04A0"/>
      </w:tblPr>
      <w:tblGrid>
        <w:gridCol w:w="3230"/>
        <w:gridCol w:w="3230"/>
        <w:gridCol w:w="3230"/>
      </w:tblGrid>
      <w:tr>
        <w:tc>
          <w:tcPr>
            <w:tcW w:type="dxa" w:w="3969"/>
            <w:shd w:fill="1F497D" w:val="clear"/>
          </w:tcPr>
          <w:p>
            <w:r>
              <w:rPr>
                <w:b/>
                <w:color w:val="FFFFFF"/>
                <w:sz w:val="19"/>
              </w:rPr>
              <w:t>Spalte</w:t>
            </w:r>
          </w:p>
        </w:tc>
        <w:tc>
          <w:tcPr>
            <w:tcW w:type="dxa" w:w="2835"/>
            <w:shd w:fill="1F497D" w:val="clear"/>
          </w:tcPr>
          <w:p>
            <w:r>
              <w:rPr>
                <w:b/>
                <w:color w:val="FFFFFF"/>
                <w:sz w:val="19"/>
              </w:rPr>
              <w:t>Fehlende Werte (n)</w:t>
            </w:r>
          </w:p>
        </w:tc>
        <w:tc>
          <w:tcPr>
            <w:tcW w:type="dxa" w:w="2835"/>
            <w:shd w:fill="1F497D" w:val="clear"/>
          </w:tcPr>
          <w:p>
            <w:r>
              <w:rPr>
                <w:b/>
                <w:color w:val="FFFFFF"/>
                <w:sz w:val="19"/>
              </w:rPr>
              <w:t>Anteil</w:t>
            </w:r>
          </w:p>
        </w:tc>
      </w:tr>
      <w:tr>
        <w:tc>
          <w:tcPr>
            <w:tcW w:type="dxa" w:w="3969"/>
          </w:tcPr>
          <w:p>
            <w:r>
              <w:rPr>
                <w:sz w:val="18"/>
              </w:rPr>
              <w:t>KH.Träger.Art</w:t>
            </w:r>
          </w:p>
        </w:tc>
        <w:tc>
          <w:tcPr>
            <w:tcW w:type="dxa" w:w="2835"/>
          </w:tcPr>
          <w:p>
            <w:r>
              <w:rPr>
                <w:sz w:val="18"/>
              </w:rPr>
              <w:t>28</w:t>
            </w:r>
          </w:p>
        </w:tc>
        <w:tc>
          <w:tcPr>
            <w:tcW w:type="dxa" w:w="2835"/>
          </w:tcPr>
          <w:p>
            <w:r>
              <w:rPr>
                <w:sz w:val="18"/>
              </w:rPr>
              <w:t>1,5 %</w:t>
            </w:r>
          </w:p>
        </w:tc>
      </w:tr>
      <w:tr>
        <w:tc>
          <w:tcPr>
            <w:tcW w:type="dxa" w:w="3969"/>
            <w:shd w:fill="F2F2F2" w:val="clear"/>
          </w:tcPr>
          <w:p>
            <w:r>
              <w:rPr>
                <w:sz w:val="18"/>
              </w:rPr>
              <w:t>fortbildungsquote</w:t>
            </w:r>
          </w:p>
        </w:tc>
        <w:tc>
          <w:tcPr>
            <w:tcW w:type="dxa" w:w="2835"/>
            <w:shd w:fill="F2F2F2" w:val="clear"/>
          </w:tcPr>
          <w:p>
            <w:r>
              <w:rPr>
                <w:sz w:val="18"/>
              </w:rPr>
              <w:t>33</w:t>
            </w:r>
          </w:p>
        </w:tc>
        <w:tc>
          <w:tcPr>
            <w:tcW w:type="dxa" w:w="2835"/>
            <w:shd w:fill="F2F2F2" w:val="clear"/>
          </w:tcPr>
          <w:p>
            <w:r>
              <w:rPr>
                <w:sz w:val="18"/>
              </w:rPr>
              <w:t>1,8 %</w:t>
            </w:r>
          </w:p>
        </w:tc>
      </w:tr>
      <w:tr>
        <w:tc>
          <w:tcPr>
            <w:tcW w:type="dxa" w:w="3969"/>
          </w:tcPr>
          <w:p>
            <w:r>
              <w:rPr>
                <w:sz w:val="18"/>
              </w:rPr>
              <w:t>aerzte_pro_bett</w:t>
            </w:r>
          </w:p>
        </w:tc>
        <w:tc>
          <w:tcPr>
            <w:tcW w:type="dxa" w:w="2835"/>
          </w:tcPr>
          <w:p>
            <w:r>
              <w:rPr>
                <w:sz w:val="18"/>
              </w:rPr>
              <w:t>5</w:t>
            </w:r>
          </w:p>
        </w:tc>
        <w:tc>
          <w:tcPr>
            <w:tcW w:type="dxa" w:w="2835"/>
          </w:tcPr>
          <w:p>
            <w:r>
              <w:rPr>
                <w:sz w:val="18"/>
              </w:rPr>
              <w:t>0,3 %</w:t>
            </w:r>
          </w:p>
        </w:tc>
      </w:tr>
      <w:tr>
        <w:tc>
          <w:tcPr>
            <w:tcW w:type="dxa" w:w="3969"/>
            <w:shd w:fill="F2F2F2" w:val="clear"/>
          </w:tcPr>
          <w:p>
            <w:r>
              <w:rPr>
                <w:sz w:val="18"/>
              </w:rPr>
              <w:t>pflege_pro_bett</w:t>
            </w:r>
          </w:p>
        </w:tc>
        <w:tc>
          <w:tcPr>
            <w:tcW w:type="dxa" w:w="2835"/>
            <w:shd w:fill="F2F2F2" w:val="clear"/>
          </w:tcPr>
          <w:p>
            <w:r>
              <w:rPr>
                <w:sz w:val="18"/>
              </w:rPr>
              <w:t>4</w:t>
            </w:r>
          </w:p>
        </w:tc>
        <w:tc>
          <w:tcPr>
            <w:tcW w:type="dxa" w:w="2835"/>
            <w:shd w:fill="F2F2F2" w:val="clear"/>
          </w:tcPr>
          <w:p>
            <w:r>
              <w:rPr>
                <w:sz w:val="18"/>
              </w:rPr>
              <w:t>0,2 %</w:t>
            </w:r>
          </w:p>
        </w:tc>
      </w:tr>
    </w:tbl>
    <w:p/>
    <w:p>
      <w:r>
        <w:rPr>
          <w:b w:val="0"/>
          <w:sz w:val="20"/>
        </w:rPr>
        <w:t>Hinweis: Kein Haus geht beim Merge verloren — QS.Qualitätsindikator.csv (der Ausgangspunkt) hat bereits genau 1.824 eindeutige Häuser, dieselbe Zahl wie die fertige Tabelle. Häuser, die in einer der ergänzenden Dateien fehlen (z. B. keine Fortbildungsdaten), bekommen dort NaN statt aus der Tabelle zu verschwinden.</w:t>
      </w:r>
    </w:p>
    <w:sectPr w:rsidR="00FC693F" w:rsidRPr="0006063C" w:rsidSect="00034616">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Analysetabelle — Zusammenfassung fuer Kollegen</dc:title>
  <dc:subject/>
  <dc:creator>Datenanalyse-Team</dc:creator>
  <cp:keywords/>
  <dc:description>generated by python-docx</dc:description>
  <cp:lastModifiedBy/>
  <cp:revision>1</cp:revision>
  <dcterms:created xsi:type="dcterms:W3CDTF">2026-08-03T20:50:07Z</dcterms:created>
  <dcterms:modified xsi:type="dcterms:W3CDTF">2026-08-03T20:50:07Z</dcterms:modified>
  <cp:category/>
</cp:coreProperties>
</file>