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56"/>
        </w:rPr>
        <w:t>Projektdokumentation</w:t>
      </w:r>
    </w:p>
    <w:p>
      <w:pPr>
        <w:jc w:val="center"/>
      </w:pPr>
      <w:r>
        <w:rPr>
          <w:sz w:val="36"/>
        </w:rPr>
        <w:t>Arbeitsmarktanalyse Regensburg (Rechtskreis SGB II)</w:t>
      </w:r>
    </w:p>
    <w:p>
      <w:pPr>
        <w:jc w:val="center"/>
      </w:pPr>
      <w:r>
        <w:rPr>
          <w:i/>
          <w:sz w:val="28"/>
        </w:rPr>
        <w:t>Datenexploration, -analyse und Visualisierung mit Python</w:t>
      </w:r>
    </w:p>
    <w:p/>
    <w:p/>
    <w:p/>
    <w:tbl>
      <w:tblPr>
        <w:tblW w:type="auto" w:w="0"/>
        <w:tblLayout w:type="autofit"/>
        <w:tblLook w:firstColumn="1" w:firstRow="1" w:lastColumn="0" w:lastRow="0" w:noHBand="0" w:noVBand="1" w:val="04A0"/>
      </w:tblPr>
      <w:tblGrid>
        <w:gridCol w:w="4320"/>
        <w:gridCol w:w="4320"/>
      </w:tblGrid>
      <w:tr>
        <w:tc>
          <w:tcPr>
            <w:tcW w:type="dxa" w:w="4320"/>
          </w:tcPr>
          <w:p>
            <w:r>
              <w:rPr>
                <w:b/>
              </w:rPr>
              <w:t>Name:</w:t>
            </w:r>
          </w:p>
        </w:tc>
        <w:tc>
          <w:tcPr>
            <w:tcW w:type="dxa" w:w="4320"/>
          </w:tcPr>
          <w:p>
            <w:r>
              <w:t>Eugenia Funk</w:t>
            </w:r>
          </w:p>
        </w:tc>
      </w:tr>
      <w:tr>
        <w:tc>
          <w:tcPr>
            <w:tcW w:type="dxa" w:w="4320"/>
          </w:tcPr>
          <w:p>
            <w:r>
              <w:rPr>
                <w:b/>
              </w:rPr>
              <w:t>Datum:</w:t>
            </w:r>
          </w:p>
        </w:tc>
        <w:tc>
          <w:tcPr>
            <w:tcW w:type="dxa" w:w="4320"/>
          </w:tcPr>
          <w:p>
            <w:r>
              <w:t>17.08.2026</w:t>
            </w:r>
          </w:p>
        </w:tc>
      </w:tr>
      <w:tr>
        <w:tc>
          <w:tcPr>
            <w:tcW w:type="dxa" w:w="4320"/>
          </w:tcPr>
          <w:p>
            <w:r>
              <w:rPr>
                <w:b/>
              </w:rPr>
              <w:t>Projektzeitraum der Analyse:</w:t>
            </w:r>
          </w:p>
        </w:tc>
        <w:tc>
          <w:tcPr>
            <w:tcW w:type="dxa" w:w="4320"/>
          </w:tcPr>
          <w:p>
            <w:r>
              <w:t>Januar 2025 – Juni 2026</w:t>
            </w:r>
          </w:p>
        </w:tc>
      </w:tr>
      <w:tr>
        <w:tc>
          <w:tcPr>
            <w:tcW w:type="dxa" w:w="4320"/>
          </w:tcPr>
          <w:p>
            <w:r>
              <w:rPr>
                <w:b/>
              </w:rPr>
              <w:t>Datenquelle:</w:t>
            </w:r>
          </w:p>
        </w:tc>
        <w:tc>
          <w:tcPr>
            <w:tcW w:type="dxa" w:w="4320"/>
          </w:tcPr>
          <w:p>
            <w:r>
              <w:t>Statistik der Bundesagentur für Arbeit, „Eckwerte für Jobcenter“, Jobcenter Regensburg (Statistik-Nr. t73906-0)</w:t>
            </w:r>
          </w:p>
        </w:tc>
      </w:tr>
    </w:tbl>
    <w:p>
      <w:r>
        <w:br w:type="page"/>
      </w:r>
    </w:p>
    <w:p>
      <w:pPr>
        <w:pStyle w:val="Heading1"/>
      </w:pPr>
      <w:r>
        <w:t>Inhaltsverzeichnis</w:t>
      </w:r>
    </w:p>
    <w:p>
      <w:r>
        <w:fldChar w:fldCharType="begin"/>
        <w:instrText xml:space="preserve">TOC \o "1-3" \h \z \u</w:instrText>
        <w:fldChar w:fldCharType="separate"/>
        <w:t>Inhaltsverzeichnis wird beim Öffnen in Word aktualisiert (Rechtsklick &gt; Felder aktualisieren).</w:t>
        <w:fldChar w:fldCharType="end"/>
      </w:r>
    </w:p>
    <w:p>
      <w:r>
        <w:br w:type="page"/>
      </w:r>
    </w:p>
    <w:p>
      <w:pPr>
        <w:pStyle w:val="Heading1"/>
      </w:pPr>
      <w:r>
        <w:t>1 Einleitung</w:t>
      </w:r>
    </w:p>
    <w:p>
      <w:pPr>
        <w:pStyle w:val="Heading2"/>
      </w:pPr>
      <w:r>
        <w:t>1.1 Ausgangssituation und Motivation</w:t>
      </w:r>
    </w:p>
    <w:p>
      <w:pPr/>
      <w:r>
        <w:t>Die Bundesagentur für Arbeit veröffentlicht monatlich detaillierte Arbeitsmarktstatistiken für jedes Jobcenter in Deutschland — den Bericht „Eckwerte für Jobcenter“. Diese Berichte enthalten für den Rechtskreis SGB II (Grundsicherung für Arbeitsuchende, umgangssprachlich „Bürgergeld“) zentrale Kennzahlen wie den Bestand an Arbeitslosen, die Arbeitslosenquote, die Zahl der Langzeitarbeitslosen sowie Kennzahlen zu Bedarfsgemeinschaften und Personen im Leistungsbezug. Für das Jobcenter Regensburg liegen diese Berichte als monatliche Excel-Dateien vor, jede mit über 20 Tabellenblättern und einer Vielzahl an Einzelwerten. In dieser Rohform sind Entwicklungen über die Zeit und Zusammenhänge zwischen den Kennzahlen nur schwer zu erkennen.</w:t>
      </w:r>
    </w:p>
    <w:p>
      <w:pPr>
        <w:pStyle w:val="Heading2"/>
      </w:pPr>
      <w:r>
        <w:t>1.2 Zielsetzung des Projekts</w:t>
      </w:r>
    </w:p>
    <w:p>
      <w:pPr/>
      <w:r>
        <w:t>Ziel dieses Projekts ist es, aus den monatlichen Rohdaten des Jobcenters Regensburg eine strukturierte, nachvollziehbare Zeitreihe aufzubauen und die Entwicklung der Arbeitslosigkeit sowie angrenzender Kennzahlen im Rechtskreis SGB II über einen Zeitraum von 18 Monaten auszuwerten und zu visualisieren. Der Fokus liegt dabei auf:</w:t>
      </w:r>
    </w:p>
    <w:p>
      <w:pPr>
        <w:pStyle w:val="ListBullet"/>
      </w:pPr>
      <w:r>
        <w:t>einem sauberen, reproduzierbaren Datenverarbeitungsprozess (Einlesen, Bereinigen, Aufbereiten),</w:t>
      </w:r>
    </w:p>
    <w:p>
      <w:pPr>
        <w:pStyle w:val="ListBullet"/>
      </w:pPr>
      <w:r>
        <w:t>einer aussagekräftigen, verständlichen Visualisierung der zentralen Kennzahlen,</w:t>
      </w:r>
    </w:p>
    <w:p>
      <w:pPr>
        <w:pStyle w:val="ListBullet"/>
      </w:pPr>
      <w:r>
        <w:t>der Ableitung inhaltlicher und statistischer Erkenntnisse aus den Daten sowie</w:t>
      </w:r>
    </w:p>
    <w:p>
      <w:pPr>
        <w:pStyle w:val="ListBullet"/>
      </w:pPr>
      <w:r>
        <w:t>der Bereitstellung der Ergebnisse in einem interaktiven Dashboard für die fortlaufende Nutzung.</w:t>
      </w:r>
    </w:p>
    <w:p>
      <w:pPr>
        <w:pStyle w:val="Heading2"/>
      </w:pPr>
      <w:r>
        <w:t>1.3 Datengrundlage</w:t>
      </w:r>
    </w:p>
    <w:p>
      <w:pPr/>
      <w:r>
        <w:t>Datengrundlage sind 18 monatliche Excel-Berichte „Eckwerte für Jobcenter“ für das Jobcenter Regensburg (Januar 2025 bis Juni 2026, Statistik-Nr. t73906-0). Jede Datei enthält den aktuellen Monatswert je Merkmal, getrennt nach „Insgesamt (SGB II und SGB III)“ und „Rechtskreis SGB II“ (= Jobcenter-Zuständigkeit). Ausgewertet wird ausschließlich der SGB-II-Anteil. Herausgeberin ist die Statistik der Bundesagentur für Arbeit.</w:t>
      </w:r>
    </w:p>
    <w:p>
      <w:pPr>
        <w:pStyle w:val="Heading2"/>
      </w:pPr>
      <w:r>
        <w:t>1.4 Aufbau der Dokumentation</w:t>
      </w:r>
    </w:p>
    <w:p>
      <w:pPr/>
      <w:r>
        <w:t>Diese Dokumentation folgt dem tatsächlichen Projektablauf und ist in Hauptteile gegliedert, die den Jupyter-Notebooks des Projekts entsprechen: Kapitel 2 beschreibt die Datenexploration und -aufbereitung (Notebook „01_Exploration.ipynb“), Kapitel 3 die Datenanalyse und Visualisierung (Notebook „02_Analyse_SGBII.ipynb“) und Kapitel 4 die vertiefte statistische Analyse (Notebook „03_Statistik.ipynb“). Kapitel 5 fasst die Ergebnisse zusammen und gibt einen Ausblick auf mögliche Erweiterungen.</w:t>
      </w:r>
    </w:p>
    <w:p>
      <w:r>
        <w:br w:type="page"/>
      </w:r>
    </w:p>
    <w:p>
      <w:pPr>
        <w:pStyle w:val="Heading1"/>
      </w:pPr>
      <w:r>
        <w:t>2 Datenexploration und -aufbereitung</w:t>
      </w:r>
    </w:p>
    <w:p>
      <w:pPr/>
      <w:r>
        <w:t>Bevor die eigentliche Analyse beginnen kann, müssen die Rohdaten eingelesen, auf ihre Struktur hin untersucht, bereinigt und in ein für die Auswertung geeignetes Format überführt werden. Dieser Schritt ist Gegenstand des Notebooks „01_Exploration.ipynb“ und wird in den folgenden Unterkapiteln dokumentiert.</w:t>
      </w:r>
    </w:p>
    <w:p>
      <w:pPr>
        <w:pStyle w:val="Heading2"/>
      </w:pPr>
      <w:r>
        <w:t>2.1 Tabellenblätter der Rohdaten untersuchen</w:t>
      </w:r>
    </w:p>
    <w:p>
      <w:pPr/>
      <w:r>
        <w:t>Jede der 18 Excel-Dateien enthält 21 Tabellenblätter, nicht nur das Blatt „1.1 Eckwerte“. Bevor die eigentliche Datenpipeline aufgebaut wurde, sind daher zunächst alle Blätter systematisch gesichtet worden: Für jedes Blatt wurde per Skript geprüft, welche Daten enthalten sind, ob sie für die SGB-II-Arbeitslosenanalyse relevant sind, und welche Diagramme sich daraus grundsätzlich ableiten ließen.</w:t>
      </w:r>
    </w:p>
    <w:p>
      <w:pPr/>
      <w:r>
        <w:t>Ergebnis der Sichtung:</w:t>
      </w:r>
    </w:p>
    <w:p>
      <w:pPr>
        <w:pStyle w:val="ListBullet"/>
      </w:pPr>
      <w:r>
        <w:t>6 Blätter enthalten reine Metadaten oder Navigationshilfen ohne Analysewert (Deckblatt, Impressum, Inhaltsverzeichnis, Grafik, Linkliste, Statistik-Infoseite).</w:t>
      </w:r>
    </w:p>
    <w:p>
      <w:pPr>
        <w:pStyle w:val="ListBullet"/>
      </w:pPr>
      <w:r>
        <w:t>Das Blatt „1.1 Eckwerte“ enthält die zentralen Kennzahlen, jeweils getrennt nach Rechtskreis „Insgesamt (SGB II und SGB III)“ und „Rechtskreis SGB II“, und wurde als Hauptquelle für die weitere Analyse ausgewählt.</w:t>
      </w:r>
    </w:p>
    <w:p>
      <w:pPr>
        <w:pStyle w:val="ListBullet"/>
      </w:pPr>
      <w:r>
        <w:t>Die Blätter 2.1–2.5 enthalten detailliertere Aufschlüsselungen zu Zugang, Bestand, Abgang, Langzeitarbeitslosigkeit und Unterbeschäftigung, die inhaltlich teils über „1.1 Eckwerte“ hinausgehen (z. B. Zugangsgründe).</w:t>
      </w:r>
    </w:p>
    <w:p>
      <w:pPr>
        <w:pStyle w:val="ListBullet"/>
      </w:pPr>
      <w:r>
        <w:t>Die Blätter 3.1–3.6 (Grundsicherung im Detail) und 4.1–4.2 (Förderung) melden nicht den Berichtsmonat des Dateinamens, sondern Werte mit 3 bzw. 6 Monaten Wartezeit. Dieser Befund ist wichtig für die spätere Nutzung dieser Blätter, da der tatsächliche Stichmonat aus dem Blattinhalt statt aus dem Dateinamen abgeleitet werden muss.</w:t>
      </w:r>
    </w:p>
    <w:p>
      <w:pPr/>
      <w:r>
        <w:t>Auf Basis dieser Sichtung wurde entschieden, die Kernanalyse auf das Blatt „1.1 Eckwerte“ zu stützen; die übrigen Blätter sind als Erweiterungspotenzial für künftige Analyseschritte dokumentiert (siehe Kapitel 5).</w:t>
      </w:r>
    </w:p>
    <w:p>
      <w:pPr>
        <w:pStyle w:val="Heading2"/>
      </w:pPr>
      <w:r>
        <w:t>2.2 Daten einlesen</w:t>
      </w:r>
    </w:p>
    <w:p>
      <w:pPr/>
      <w:r>
        <w:t>Das Einlesen der 18 Monatsdateien erfolgt über zwei Funktionen:</w:t>
      </w:r>
    </w:p>
    <w:p>
      <w:pPr>
        <w:pStyle w:val="ListBullet"/>
      </w:pPr>
      <w:r>
        <w:t>normalize_label(): entfernt Fußnotenmarker wie „ 1)“ oder „ 2) 4)“ aus Zeilenbeschriftungen per regulärem Ausdruck. Dies ist notwendig, da die Bundesagentur für Arbeit die Fußnoten-Referenzen zwischen den Berichtsmonaten revidiert, wodurch identische Merkmale sonst leicht unterschiedlich benannt wären.</w:t>
      </w:r>
    </w:p>
    <w:p>
      <w:pPr>
        <w:pStyle w:val="ListBullet"/>
      </w:pPr>
      <w:r>
        <w:t>parse_eckwerte(path): liest die Zeilen 9 bis 47 des Blatts „1.1 Eckwerte“ aus. Zeilen ohne Zahlenwert werden als Kategorie-Überschriften erkannt (z. B. „Arbeitslose“, „Grundsicherung für Arbeitsuchende“), Zeilen mit Zahlenwert als Datensatz erfasst. Der Berichtsmonat wird dabei bewusst aus dem Dateinamen abgeleitet, nicht aus dem Blattinhalt, da dieser je nach Blatt unterschiedlich formatiert ist.</w:t>
      </w:r>
    </w:p>
    <w:p>
      <w:pPr/>
      <w:r>
        <w:t>Alle 18 Dateien werden auf diese Weise geparst und zu einem gemeinsamen DataFrame zusammengeführt. Ergänzend werden die Spalten „jahr“ und „monat“ (aus dem Berichtsmonat) sowie ein kombinierter Schlüssel „label“ (Kategorie | Merkmal) angelegt. Letzterer löst Namenskollisionen auf, die entstehen, weil z. B. das Merkmal „Bestand“ sowohl bei „Arbeitsuchende“, „Arbeitslose“ als auch bei „gemeldete Arbeitsstellen“ vorkommt.</w:t>
      </w:r>
    </w:p>
    <w:p>
      <w:pPr>
        <w:pStyle w:val="Heading2"/>
      </w:pPr>
      <w:r>
        <w:t>2.3 Datenüberblick und Bereinigung</w:t>
      </w:r>
    </w:p>
    <w:p>
      <w:pPr/>
      <w:r>
        <w:t>Nach dem Einlesen aller 18 Dateien ergibt sich folgender Datenüberblick:</w:t>
      </w:r>
    </w:p>
    <w:p>
      <w:pPr>
        <w:pStyle w:val="ListBullet"/>
      </w:pPr>
      <w:r>
        <w:t>Shape: 558 Zeilen × 8 Spalten</w:t>
      </w:r>
    </w:p>
    <w:p>
      <w:pPr>
        <w:pStyle w:val="ListBullet"/>
      </w:pPr>
      <w:r>
        <w:t>Abgedeckter Zeitraum: Januar 2025 bis Juni 2026 (18 Berichtsmonate)</w:t>
      </w:r>
    </w:p>
    <w:p>
      <w:pPr>
        <w:pStyle w:val="ListBullet"/>
      </w:pPr>
      <w:r>
        <w:t>Duplikate: 0 (geprüft mit duplicated())</w:t>
      </w:r>
    </w:p>
    <w:p>
      <w:pPr>
        <w:pStyle w:val="ListBullet"/>
      </w:pPr>
      <w:r>
        <w:t>Fehlende Werte in der Spalte „sgb2“: 108 von 558 — diese betreffen fast ausschließlich die Kategorie „gemeldete Arbeitsstellen“, die von der Bundesagentur für Arbeit nicht nach Rechtskreis differenziert ausgewiesen wird und daher keinen SGB-II-Einzelwert besitzt.</w:t>
      </w:r>
    </w:p>
    <w:p>
      <w:pPr/>
      <w:r>
        <w:t>Die deskriptive Statistik (describe()) über alle SGB-II-Werte zeigt eine große Spannweite: Mittelwert 1.596,9, Median 862,0, Standardabweichung 1.511,5, Minimum 1,2, Maximum 5.488,0. Diese Spannweite ergibt sich daraus, dass die Spalte sowohl kleine Prozentwerte (z. B. Quoten um 1,3) als auch große Personenzahlen (z. B. Personen in Bedarfsgemeinschaften bis über 5.400) enthält — ein Hinweis darauf, dass für die eigentliche Analyse eine Trennung nach Kennzahlentyp sinnvoll ist (siehe Kapitel 2.4).</w:t>
      </w:r>
    </w:p>
    <w:p>
      <w:pPr>
        <w:pStyle w:val="Heading2"/>
      </w:pPr>
      <w:r>
        <w:t>2.4 Kennzahlen-Zeitreihe aufbereiten</w:t>
      </w:r>
    </w:p>
    <w:p>
      <w:pPr/>
      <w:r>
        <w:t>Für die weitere Analyse werden aus dem langen Datenformat neun zentrale SGB-II-Kennzahlen ausgewählt und über ein Label-Mapping-Dictionary benannt: Arbeitslose (Bestand), Arbeitslosenquote, Langzeitarbeitslose, Unterbeschäftigungsquote, Bedarfsgemeinschaften, Personen in Bedarfsgemeinschaften (PERS), Regelleistungsberechtigte (RLB), erwerbsfähige Leistungsberechtigte (ELB) und nicht erwerbsfähige Leistungsberechtigte (NEF).</w:t>
      </w:r>
    </w:p>
    <w:p>
      <w:pPr/>
      <w:r>
        <w:t>Mittels pivot_table(index="period", columns="kennzahl", values="sgb2") wird daraus eine Wide-Format-Tabelle erzeugt: eine Zeile je Berichtsmonat, eine Spalte je Kennzahl. Diese Tabelle bildet die zentrale Datengrundlage für die Visualisierungen in Kapitel 3.</w:t>
      </w:r>
    </w:p>
    <w:p>
      <w:pPr/>
      <w:r>
        <w:t>Zusätzlich werden Mittelwert und Standardabweichung je Kennzahl direkt über NumPy berechnet und ausgegeben, u. a.: Arbeitslose (Bestand) Ø 1.504,0 (± 56,8), Langzeitarbeitslose Ø 602,2 (± 68,8), Bedarfsgemeinschaften Ø 2.691,7 (± 54,1), Personen in BG Ø 5.247,4 (± 124,0).</w:t>
      </w:r>
    </w:p>
    <w:p>
      <w:pPr>
        <w:pStyle w:val="Heading2"/>
      </w:pPr>
      <w:r>
        <w:t>2.5 Export der aufbereiteten Daten</w:t>
      </w:r>
    </w:p>
    <w:p>
      <w:pPr/>
      <w:r>
        <w:t>Die beiden aufbereiteten DataFrames werden abschließend als CSV-Dateien im Ordner Data/processed/ abgelegt:</w:t>
      </w:r>
    </w:p>
    <w:p>
      <w:pPr>
        <w:pStyle w:val="ListBullet"/>
      </w:pPr>
      <w:r>
        <w:t>eckwerte_long.csv — das lange Format mit allen extrahierten Merkmalen je Monat (Spalten: period, kategorie, merkmal, insgesamt, sgb2, jahr, monat, label).</w:t>
      </w:r>
    </w:p>
    <w:p>
      <w:pPr>
        <w:pStyle w:val="ListBullet"/>
      </w:pPr>
      <w:r>
        <w:t>kennzahlen_sgb2.csv — die aufbereitete Wide-Format-Zeitreihe mit den neun zentralen Kennzahlen.</w:t>
      </w:r>
    </w:p>
    <w:p>
      <w:pPr/>
      <w:r>
        <w:t>Diese beiden Dateien bilden die alleinige Datengrundlage für das Analyse-Notebook (Kapitel 3) sowie für das interaktive Dashboard — ein erneutes Einlesen der Excel-Rohdaten ist dafür nicht mehr notwendig.</w:t>
      </w:r>
    </w:p>
    <w:p>
      <w:r>
        <w:br w:type="page"/>
      </w:r>
    </w:p>
    <w:p>
      <w:pPr>
        <w:pStyle w:val="Heading1"/>
      </w:pPr>
      <w:r>
        <w:t>3 Datenanalyse und Visualisierung</w:t>
      </w:r>
    </w:p>
    <w:p>
      <w:pPr/>
      <w:r>
        <w:t>Aufbauend auf den in Kapitel 2 aufbereiteten Daten erfolgt in diesem Kapitel die inhaltliche Auswertung: die Entwicklung der zentralen SGB-II-Kennzahlen über die Zeit, ihre Visualisierung sowie die Einordnung der Ergebnisse. Dieser Teil entspricht dem Notebook „02_Analyse_SGBII.ipynb“.</w:t>
      </w:r>
    </w:p>
    <w:p>
      <w:pPr>
        <w:pStyle w:val="Heading2"/>
      </w:pPr>
      <w:r>
        <w:t>3.1 Übersicht: Kennzahlen im Vergleich</w:t>
      </w:r>
    </w:p>
    <w:p>
      <w:pPr>
        <w:jc w:val="center"/>
      </w:pPr>
      <w:r>
        <w:drawing>
          <wp:inline xmlns:a="http://schemas.openxmlformats.org/drawingml/2006/main" xmlns:pic="http://schemas.openxmlformats.org/drawingml/2006/picture">
            <wp:extent cx="5400000" cy="2700000"/>
            <wp:docPr id="1" name="Picture 1"/>
            <wp:cNvGraphicFramePr>
              <a:graphicFrameLocks noChangeAspect="1"/>
            </wp:cNvGraphicFramePr>
            <a:graphic>
              <a:graphicData uri="http://schemas.openxmlformats.org/drawingml/2006/picture">
                <pic:pic>
                  <pic:nvPicPr>
                    <pic:cNvPr id="0" name="abb1_uebersicht.png"/>
                    <pic:cNvPicPr/>
                  </pic:nvPicPr>
                  <pic:blipFill>
                    <a:blip r:embed="rId9"/>
                    <a:stretch>
                      <a:fillRect/>
                    </a:stretch>
                  </pic:blipFill>
                  <pic:spPr>
                    <a:xfrm>
                      <a:off x="0" y="0"/>
                      <a:ext cx="5400000" cy="2700000"/>
                    </a:xfrm>
                    <a:prstGeom prst="rect"/>
                  </pic:spPr>
                </pic:pic>
              </a:graphicData>
            </a:graphic>
          </wp:inline>
        </w:drawing>
      </w:r>
    </w:p>
    <w:p>
      <w:pPr>
        <w:jc w:val="center"/>
      </w:pPr>
      <w:r>
        <w:rPr>
          <w:i/>
          <w:color w:val="595959"/>
          <w:sz w:val="18"/>
        </w:rPr>
        <w:t>Abbildung 1: Personen in Bedarfsgemeinschaften (Fläche) sowie Bedarfsgemeinschaften, Arbeitslose und Langzeitarbeitslose (überlappende Balken) im Zeitverlauf Januar 2025 – Juni 2026.</w:t>
      </w:r>
    </w:p>
    <w:p/>
    <w:p>
      <w:pPr/>
      <w:r>
        <w:t>Das SGB II (Zweites Buch Sozialgesetzbuch) regelt die Grundsicherung für Arbeitsuchende (umgangssprachlich „Bürgergeld“) und wird von den Jobcentern verwaltet — daher der Fokus der gesamten Analyse auf den Rechtskreis SGB II, abgegrenzt vom SGB III (Arbeitslosenversicherung, Agentur für Arbeit).</w:t>
      </w:r>
    </w:p>
    <w:p>
      <w:pPr/>
      <w:r>
        <w:t>Als zentraler Einstiegs-Chart der Analyse dient ein kombiniertes Diagramm, das alle vier Kernkennzahlen in einer Ansicht zusammenführt: eine Fläche für „Personen in Bedarfsgemeinschaften“ im Hintergrund, davor überlappende Balken für Bedarfsgemeinschaften, Arbeitslose (Bestand) und Langzeitarbeitslose — von außen nach innen kleiner werdend, da jede Stufe eine Teilmenge der vorherigen ist. Das Diagramm ist interaktiv: beim Bewegen der Maus über einen Monat werden alle vier Werte gleichzeitig in einer Tooltip-Box angezeigt.</w:t>
      </w:r>
    </w:p>
    <w:p>
      <w:pPr>
        <w:pStyle w:val="Heading2"/>
      </w:pPr>
      <w:r>
        <w:t>3.2 Arbeitslosen- und Unterbeschäftigungsquote</w:t>
      </w:r>
    </w:p>
    <w:p>
      <w:pPr>
        <w:jc w:val="center"/>
      </w:pPr>
      <w:r>
        <w:drawing>
          <wp:inline xmlns:a="http://schemas.openxmlformats.org/drawingml/2006/main" xmlns:pic="http://schemas.openxmlformats.org/drawingml/2006/picture">
            <wp:extent cx="5400000" cy="2430000"/>
            <wp:docPr id="2" name="Picture 2"/>
            <wp:cNvGraphicFramePr>
              <a:graphicFrameLocks noChangeAspect="1"/>
            </wp:cNvGraphicFramePr>
            <a:graphic>
              <a:graphicData uri="http://schemas.openxmlformats.org/drawingml/2006/picture">
                <pic:pic>
                  <pic:nvPicPr>
                    <pic:cNvPr id="0" name="abb2_quote.png"/>
                    <pic:cNvPicPr/>
                  </pic:nvPicPr>
                  <pic:blipFill>
                    <a:blip r:embed="rId10"/>
                    <a:stretch>
                      <a:fillRect/>
                    </a:stretch>
                  </pic:blipFill>
                  <pic:spPr>
                    <a:xfrm>
                      <a:off x="0" y="0"/>
                      <a:ext cx="5400000" cy="2430000"/>
                    </a:xfrm>
                    <a:prstGeom prst="rect"/>
                  </pic:spPr>
                </pic:pic>
              </a:graphicData>
            </a:graphic>
          </wp:inline>
        </w:drawing>
      </w:r>
    </w:p>
    <w:p>
      <w:pPr>
        <w:jc w:val="center"/>
      </w:pPr>
      <w:r>
        <w:rPr>
          <w:i/>
          <w:color w:val="595959"/>
          <w:sz w:val="18"/>
        </w:rPr>
        <w:t>Abbildung 2: Arbeitslosenquote und Unterbeschäftigungsquote im Rechtskreis SGB II, Januar 2025 – Juni 2026. Beide Quoten bewegen sich in einer engen Bandbreite.</w:t>
      </w:r>
    </w:p>
    <w:p/>
    <w:p>
      <w:pPr/>
      <w:r>
        <w:t>Arbeitslosenquote und Unterbeschäftigungsquote sind Anteilswerte, keine Rohzahlen: Beide setzen den SGB-II-Bestand ins Verhältnis zu allen zivilen Erwerbspersonen Regensburgs (Beschäftigte und Arbeitslose zusammen). Die Unterbeschäftigungsquote nutzt eine etwas breitere Bezugsgröße, die zusätzlich unterbeschäftigte Personen (z. B. Teilnehmende an arbeitsmarktpolitischen Maßnahmen) einschließt und deshalb meist etwas über der Arbeitslosenquote liegt.</w:t>
      </w:r>
    </w:p>
    <w:p>
      <w:pPr/>
      <w:r>
        <w:t>Im Beobachtungszeitraum schwankt die Arbeitslosenquote eng zwischen 1,2 % und 1,4 %, die Unterbeschäftigungsquote zwischen 1,7 % und 1,9 % — beide Kennzahlen sind über die 18 Monate hinweg als stabil zu bewerten.</w:t>
      </w:r>
    </w:p>
    <w:p>
      <w:pPr>
        <w:pStyle w:val="Heading2"/>
      </w:pPr>
      <w:r>
        <w:t>3.3 Langzeitarbeitslosigkeit</w:t>
      </w:r>
    </w:p>
    <w:p>
      <w:pPr>
        <w:jc w:val="center"/>
      </w:pPr>
      <w:r>
        <w:drawing>
          <wp:inline xmlns:a="http://schemas.openxmlformats.org/drawingml/2006/main" xmlns:pic="http://schemas.openxmlformats.org/drawingml/2006/picture">
            <wp:extent cx="5400000" cy="2268000"/>
            <wp:docPr id="3" name="Picture 3"/>
            <wp:cNvGraphicFramePr>
              <a:graphicFrameLocks noChangeAspect="1"/>
            </wp:cNvGraphicFramePr>
            <a:graphic>
              <a:graphicData uri="http://schemas.openxmlformats.org/drawingml/2006/picture">
                <pic:pic>
                  <pic:nvPicPr>
                    <pic:cNvPr id="0" name="abb3_lza_anteil.png"/>
                    <pic:cNvPicPr/>
                  </pic:nvPicPr>
                  <pic:blipFill>
                    <a:blip r:embed="rId11"/>
                    <a:stretch>
                      <a:fillRect/>
                    </a:stretch>
                  </pic:blipFill>
                  <pic:spPr>
                    <a:xfrm>
                      <a:off x="0" y="0"/>
                      <a:ext cx="5400000" cy="2268000"/>
                    </a:xfrm>
                    <a:prstGeom prst="rect"/>
                  </pic:spPr>
                </pic:pic>
              </a:graphicData>
            </a:graphic>
          </wp:inline>
        </w:drawing>
      </w:r>
    </w:p>
    <w:p>
      <w:pPr>
        <w:jc w:val="center"/>
      </w:pPr>
      <w:r>
        <w:rPr>
          <w:i/>
          <w:color w:val="595959"/>
          <w:sz w:val="18"/>
        </w:rPr>
        <w:t>Abbildung 3: Anteil der Langzeitarbeitslosen an allen Arbeitslosen im SGB II. Deutlich sichtbarer Aufwärtstrend von 34,1 % (Januar 2025) auf 47,3 % (Juni 2026).</w:t>
      </w:r>
    </w:p>
    <w:p/>
    <w:p>
      <w:pPr/>
      <w:r>
        <w:t>Langzeitarbeitslose sind Personen, die seit mindestens einem Jahr ununterbrochen als arbeitslos gemeldet sind. Diese Kennzahl zeigt im Beobachtungszeitraum den deutlichsten Trend im gesamten Datensatz: Die absolute Zahl ist von 502 (Januar 2025) auf 709 (Juni 2026) gestiegen, der Anteil an allen Arbeitslosen im Rechtskreis SGB II von 34,1 % auf 47,3 %.</w:t>
      </w:r>
    </w:p>
    <w:p>
      <w:pPr/>
      <w:r>
        <w:t>Dieser Anstieg fällt umso stärker auf, als der allgemeine Arbeitslosenbestand im gleichen Zeitraum nur leicht gestiegen ist (siehe Kapitel 3.1) — ein Hinweis darauf, dass sich die Arbeitslosigkeit für einen wachsenden Teil der Betroffenen verfestigt, während sie für andere Personengruppen offenbar kürzer andauert.</w:t>
      </w:r>
    </w:p>
    <w:p>
      <w:pPr>
        <w:pStyle w:val="Heading2"/>
      </w:pPr>
      <w:r>
        <w:t>3.4 Kennzahlen im Vergleich (indexiert)</w:t>
      </w:r>
    </w:p>
    <w:p>
      <w:pPr>
        <w:jc w:val="center"/>
      </w:pPr>
      <w:r>
        <w:drawing>
          <wp:inline xmlns:a="http://schemas.openxmlformats.org/drawingml/2006/main" xmlns:pic="http://schemas.openxmlformats.org/drawingml/2006/picture">
            <wp:extent cx="5400000" cy="2430000"/>
            <wp:docPr id="4" name="Picture 4"/>
            <wp:cNvGraphicFramePr>
              <a:graphicFrameLocks noChangeAspect="1"/>
            </wp:cNvGraphicFramePr>
            <a:graphic>
              <a:graphicData uri="http://schemas.openxmlformats.org/drawingml/2006/picture">
                <pic:pic>
                  <pic:nvPicPr>
                    <pic:cNvPr id="0" name="abb4_indexiert.png"/>
                    <pic:cNvPicPr/>
                  </pic:nvPicPr>
                  <pic:blipFill>
                    <a:blip r:embed="rId12"/>
                    <a:stretch>
                      <a:fillRect/>
                    </a:stretch>
                  </pic:blipFill>
                  <pic:spPr>
                    <a:xfrm>
                      <a:off x="0" y="0"/>
                      <a:ext cx="5400000" cy="2430000"/>
                    </a:xfrm>
                    <a:prstGeom prst="rect"/>
                  </pic:spPr>
                </pic:pic>
              </a:graphicData>
            </a:graphic>
          </wp:inline>
        </w:drawing>
      </w:r>
    </w:p>
    <w:p>
      <w:pPr>
        <w:jc w:val="center"/>
      </w:pPr>
      <w:r>
        <w:rPr>
          <w:i/>
          <w:color w:val="595959"/>
          <w:sz w:val="18"/>
        </w:rPr>
        <w:t>Abbildung 4: Die vier Kernkennzahlen indexiert auf den ersten Berichtsmonat (= 100 %). Der Index der Langzeitarbeitslosen steigt sichtbar über die anderen Kennzahlen hinaus.</w:t>
      </w:r>
    </w:p>
    <w:p/>
    <w:p>
      <w:pPr/>
      <w:r>
        <w:t>Da die vier Kernkennzahlen sehr unterschiedliche Größenordnungen haben (von rund 500 Langzeitarbeitslosen bis über 5.000 Personen in Bedarfsgemeinschaften), werden sie für den direkten Vergleich zusätzlich auf den ersten Berichtsmonat indexiert: Der Wert im Startmonat wird gleich 100 % gesetzt, alle folgenden Monate werden relativ dazu umgerechnet. Ein Indexwert von 110 bedeutet demnach +10 % gegenüber dem Startmonat, ein Wert von 90 entsprechend −10 %.</w:t>
      </w:r>
    </w:p>
    <w:p>
      <w:pPr/>
      <w:r>
        <w:t>Diese Darstellung macht sichtbar, dass sich die vier Kennzahlen trotz stabiler absoluter Größenordnungen unterschiedlich entwickeln: Während Bedarfsgemeinschaften und Personen in BG im Index unter 100 % fallen (rückläufig), steigt der Index der Langzeitarbeitslosen deutlich über 140 % — der bereits in Kapitel 3.3 beschriebene Trend wird hier im direkten Vergleich noch klarer erkennbar.</w:t>
      </w:r>
    </w:p>
    <w:p>
      <w:pPr>
        <w:pStyle w:val="Heading2"/>
      </w:pPr>
      <w:r>
        <w:t>3.5 Altersstruktur und Geschlecht</w:t>
      </w:r>
    </w:p>
    <w:p>
      <w:pPr>
        <w:jc w:val="center"/>
      </w:pPr>
      <w:r>
        <w:drawing>
          <wp:inline xmlns:a="http://schemas.openxmlformats.org/drawingml/2006/main" xmlns:pic="http://schemas.openxmlformats.org/drawingml/2006/picture">
            <wp:extent cx="5400000" cy="2209091"/>
            <wp:docPr id="5" name="Picture 5"/>
            <wp:cNvGraphicFramePr>
              <a:graphicFrameLocks noChangeAspect="1"/>
            </wp:cNvGraphicFramePr>
            <a:graphic>
              <a:graphicData uri="http://schemas.openxmlformats.org/drawingml/2006/picture">
                <pic:pic>
                  <pic:nvPicPr>
                    <pic:cNvPr id="0" name="abb5_alter_geschlecht.png"/>
                    <pic:cNvPicPr/>
                  </pic:nvPicPr>
                  <pic:blipFill>
                    <a:blip r:embed="rId13"/>
                    <a:stretch>
                      <a:fillRect/>
                    </a:stretch>
                  </pic:blipFill>
                  <pic:spPr>
                    <a:xfrm>
                      <a:off x="0" y="0"/>
                      <a:ext cx="5400000" cy="2209091"/>
                    </a:xfrm>
                    <a:prstGeom prst="rect"/>
                  </pic:spPr>
                </pic:pic>
              </a:graphicData>
            </a:graphic>
          </wp:inline>
        </w:drawing>
      </w:r>
    </w:p>
    <w:p>
      <w:pPr>
        <w:jc w:val="center"/>
      </w:pPr>
      <w:r>
        <w:rPr>
          <w:i/>
          <w:color w:val="595959"/>
          <w:sz w:val="18"/>
        </w:rPr>
        <w:t>Abbildung 5: Altersstruktur und Geschlechterverteilung der SGB-II-Arbeitslosen im letzten Berichtsmonat (Juni 2026).</w:t>
      </w:r>
    </w:p>
    <w:p/>
    <w:p>
      <w:pPr/>
      <w:r>
        <w:t>Für den jeweils aktuellsten Berichtsmonat (Juni 2026) zeigen zwei Balkendiagramme die Struktur der SGB-II-Arbeitslosen: nach Altersgruppen (15 bis unter 25 Jahre, 25 bis unter 50 Jahre, 50 Jahre und älter) sowie nach Geschlecht (Männer/Frauen). Es handelt sich dabei um eine reine Momentaufnahme, keine Zeitreihe — die zeitliche Entwicklung dieser Merkmale ist als mögliche Erweiterung in Kapitel 5 vorgemerkt.</w:t>
      </w:r>
    </w:p>
    <w:p>
      <w:pPr>
        <w:pStyle w:val="Heading2"/>
      </w:pPr>
      <w:r>
        <w:t>3.6 Veränderung zum Vormonat und zum Vorjahresmonat</w:t>
      </w:r>
    </w:p>
    <w:p>
      <w:pPr/>
      <w:r>
        <w:t>Für die vier Kernkennzahlen wird jeweils die absolute und prozentuale Veränderung zum Vormonat sowie zum Vorjahresmonat berechnet. Für den letzten Berichtsmonat (Juni 2026) ergibt sich:</w:t>
      </w:r>
    </w:p>
    <w:p>
      <w:pPr>
        <w:pStyle w:val="ListBullet"/>
      </w:pPr>
      <w:r>
        <w:t>Arbeitslose (Bestand): −52 (−3,4 %) zum Vormonat, −9 (−0,6 %) zum Vorjahresmonat.</w:t>
      </w:r>
    </w:p>
    <w:p>
      <w:pPr>
        <w:pStyle w:val="ListBullet"/>
      </w:pPr>
      <w:r>
        <w:t>Langzeitarbeitslose: −5 (−0,7 %) zum Vormonat, +158 (+28,7 %) zum Vorjahresmonat — die deutliche Vorjahresveränderung bestätigt den in Kapitel 3.3 beschriebenen Trend.</w:t>
      </w:r>
    </w:p>
    <w:p>
      <w:pPr>
        <w:pStyle w:val="ListBullet"/>
      </w:pPr>
      <w:r>
        <w:t>Bedarfsgemeinschaften: −41 (−1,5 %) zum Vormonat, −23 (−0,9 %) zum Vorjahresmonat.</w:t>
      </w:r>
    </w:p>
    <w:p>
      <w:pPr>
        <w:pStyle w:val="ListBullet"/>
      </w:pPr>
      <w:r>
        <w:t>Personen in BG: −65 (−1,2 %) zum Vormonat, −126 (−2,4 %) zum Vorjahresmonat.</w:t>
      </w:r>
    </w:p>
    <w:p>
      <w:pPr>
        <w:pStyle w:val="Heading2"/>
      </w:pPr>
      <w:r>
        <w:t>3.7 Zusammenfassung der Analyseergebnisse</w:t>
      </w:r>
    </w:p>
    <w:p>
      <w:pPr/>
      <w:r>
        <w:t>Auf Basis der 18 Monatsberichte (Januar 2025 bis Juni 2026) für das Jobcenter Regensburg (Rechtskreis SGB II) lassen sich folgende zentrale Befunde festhalten:</w:t>
      </w:r>
    </w:p>
    <w:p>
      <w:pPr>
        <w:pStyle w:val="ListBullet"/>
      </w:pPr>
      <w:r>
        <w:t>Arbeitslose (Bestand): von 1.470 (Januar 2025) auf 1.500 (Juni 2026) — leicht gestiegen, mit einem Zwischenhoch von 1.587 im August 2025 und einem Tiefpunkt von 1.382 im Februar 2025.</w:t>
      </w:r>
    </w:p>
    <w:p>
      <w:pPr>
        <w:pStyle w:val="ListBullet"/>
      </w:pPr>
      <w:r>
        <w:t>Arbeitslosenquote: schwankt eng zwischen 1,2 % und 1,4 %, aktuell wieder bei 1,3 % — insgesamt stabil.</w:t>
      </w:r>
    </w:p>
    <w:p>
      <w:pPr>
        <w:pStyle w:val="ListBullet"/>
      </w:pPr>
      <w:r>
        <w:t>Langzeitarbeitslosigkeit: deutlichster Trend im Datensatz — von 502 auf 709 Personen (+ rund 41 %), mit einem Höchststand von 714 im Mai 2026. Der Anteil an allen Arbeitslosen ist damit von 34,1 % auf 47,3 % spürbar gestiegen.</w:t>
      </w:r>
    </w:p>
    <w:p>
      <w:pPr>
        <w:pStyle w:val="ListBullet"/>
      </w:pPr>
      <w:r>
        <w:t>Bedarfsgemeinschaften / Personen im Leistungsbezug: beide Kennzahlen sind rückläufig (Bedarfsgemeinschaften: 2.797 → 2.673, ca. −4 %; Personen in BG: 5.488 → 5.150, ca. −6 %).</w:t>
      </w:r>
    </w:p>
    <w:p>
      <w:pPr/>
      <w:r>
        <w:t>Interpretation: Während die reine Arbeitslosenzahl und -quote im Beobachtungszeitraum relativ stabil geblieben sind, hat sich die Langzeitarbeitslosigkeit spürbar verschärft — ein Hinweis darauf, dass es für einen wachsenden Teil der Betroffenen schwerer wird, aus der Arbeitslosigkeit herauszukommen, auch wenn die Zahl der Bedarfsgemeinschaften insgesamt sinkt.</w:t>
      </w:r>
    </w:p>
    <w:p>
      <w:r>
        <w:br w:type="page"/>
      </w:r>
    </w:p>
    <w:p>
      <w:pPr>
        <w:pStyle w:val="Heading1"/>
      </w:pPr>
      <w:r>
        <w:t>4 Vertiefte statistische Analyse</w:t>
      </w:r>
    </w:p>
    <w:p>
      <w:pPr/>
      <w:r>
        <w:t>Ergänzend zur inhaltlichen Auswertung in Kapitel 3 wurden im Notebook „03_Statistik.ipynb“ vertiefte statistische Verfahren auf die 18 Monatswerte (Januar 2025 – Juni 2026) angewendet: deskriptive Statistik im Detail, Korrelationsanalyse, Verteilungsanalyse, ein Hypothesentest sowie eine einfache lineare Regression. Da die Zeitreihe nur 18 Beobachtungen umfasst, sind die Ergebnisse mit der gebotenen Vorsicht zu interpretieren.</w:t>
      </w:r>
    </w:p>
    <w:p>
      <w:pPr>
        <w:pStyle w:val="Heading2"/>
      </w:pPr>
      <w:r>
        <w:t>4.1 Deskriptive Statistik im Detail</w:t>
      </w:r>
    </w:p>
    <w:p>
      <w:pPr/>
      <w:r>
        <w:t>Über describe() und Mittelwert/Standardabweichung hinaus wurden zusätzlich Median, Varianz, Interquartilsabstand (IQR) sowie der Variationskoeffizient (CV = Standardabweichung / Mittelwert, in %) berechnet. Der CV macht die vier Kernkennzahlen trotz unterschiedlicher Größenordnungen bezüglich ihrer relativen Streuung vergleichbar:</w:t>
      </w:r>
    </w:p>
    <w:p>
      <w:pPr>
        <w:pStyle w:val="ListBullet"/>
      </w:pPr>
      <w:r>
        <w:t>Arbeitslose (Bestand): Ø 1.504,0, Median 1.513,0, CV ≈ 3,9 %</w:t>
      </w:r>
    </w:p>
    <w:p>
      <w:pPr>
        <w:pStyle w:val="ListBullet"/>
      </w:pPr>
      <w:r>
        <w:t>Langzeitarbeitslose: Ø 602,2, Median 599,0, CV ≈ 11,8 %</w:t>
      </w:r>
    </w:p>
    <w:p>
      <w:pPr>
        <w:pStyle w:val="ListBullet"/>
      </w:pPr>
      <w:r>
        <w:t>Bedarfsgemeinschaften: Ø 2.691,7, Median 2.692,1, CV ≈ 2,1 %</w:t>
      </w:r>
    </w:p>
    <w:p>
      <w:pPr>
        <w:pStyle w:val="ListBullet"/>
      </w:pPr>
      <w:r>
        <w:t>Personen in BG: Ø 5.247,4, Median 5.216,6, CV ≈ 2,4 %</w:t>
      </w:r>
    </w:p>
    <w:p>
      <w:pPr/>
      <w:r>
        <w:t>Die Langzeitarbeitslosen weisen mit rund 11,8 % den mit Abstand höchsten Variationskoeffizienten aller vier Kernkennzahlen auf — ein quantitativer Beleg dafür, dass sich diese Kennzahl im Beobachtungszeitraum relativ am stärksten verändert hat, während Bedarfsgemeinschaften (2,1 %) und Personen in BG (2,4 %) vergleichsweise stabil sind.</w:t>
      </w:r>
    </w:p>
    <w:p>
      <w:pPr>
        <w:pStyle w:val="Heading2"/>
      </w:pPr>
      <w:r>
        <w:t>4.2 Korrelationsanalyse</w:t>
      </w:r>
    </w:p>
    <w:p>
      <w:pPr>
        <w:jc w:val="center"/>
      </w:pPr>
      <w:r>
        <w:drawing>
          <wp:inline xmlns:a="http://schemas.openxmlformats.org/drawingml/2006/main" xmlns:pic="http://schemas.openxmlformats.org/drawingml/2006/picture">
            <wp:extent cx="5400000" cy="4153846"/>
            <wp:docPr id="6" name="Picture 6"/>
            <wp:cNvGraphicFramePr>
              <a:graphicFrameLocks noChangeAspect="1"/>
            </wp:cNvGraphicFramePr>
            <a:graphic>
              <a:graphicData uri="http://schemas.openxmlformats.org/drawingml/2006/picture">
                <pic:pic>
                  <pic:nvPicPr>
                    <pic:cNvPr id="0" name="abb6_korrelation.png"/>
                    <pic:cNvPicPr/>
                  </pic:nvPicPr>
                  <pic:blipFill>
                    <a:blip r:embed="rId14"/>
                    <a:stretch>
                      <a:fillRect/>
                    </a:stretch>
                  </pic:blipFill>
                  <pic:spPr>
                    <a:xfrm>
                      <a:off x="0" y="0"/>
                      <a:ext cx="5400000" cy="4153846"/>
                    </a:xfrm>
                    <a:prstGeom prst="rect"/>
                  </pic:spPr>
                </pic:pic>
              </a:graphicData>
            </a:graphic>
          </wp:inline>
        </w:drawing>
      </w:r>
    </w:p>
    <w:p>
      <w:pPr>
        <w:jc w:val="center"/>
      </w:pPr>
      <w:r>
        <w:rPr>
          <w:i/>
          <w:color w:val="595959"/>
          <w:sz w:val="18"/>
        </w:rPr>
        <w:t>Abbildung 6: Pearson-Korrelationsmatrix der vier Kernkennzahlen.</w:t>
      </w:r>
    </w:p>
    <w:p/>
    <w:p>
      <w:pPr/>
      <w:r>
        <w:t>Die Pearson-Korrelationsmatrix zeigt lineare Zusammenhänge zwischen den vier Kernkennzahlen: Werte nahe +1/−1 bedeuten einen starken positiven/negativen linearen Zusammenhang, Werte nahe 0 keinen linearen Zusammenhang. Auffälligster Wert ist r ≈ 0,95 zwischen Bedarfsgemeinschaften und Personen in BG — plausibel, da die Personenzahl direkt aus der Zahl der Bedarfsgemeinschaften hervorgeht.</w:t>
      </w:r>
    </w:p>
    <w:p>
      <w:pPr>
        <w:jc w:val="center"/>
      </w:pPr>
      <w:r>
        <w:drawing>
          <wp:inline xmlns:a="http://schemas.openxmlformats.org/drawingml/2006/main" xmlns:pic="http://schemas.openxmlformats.org/drawingml/2006/picture">
            <wp:extent cx="5400000" cy="2700000"/>
            <wp:docPr id="7" name="Picture 7"/>
            <wp:cNvGraphicFramePr>
              <a:graphicFrameLocks noChangeAspect="1"/>
            </wp:cNvGraphicFramePr>
            <a:graphic>
              <a:graphicData uri="http://schemas.openxmlformats.org/drawingml/2006/picture">
                <pic:pic>
                  <pic:nvPicPr>
                    <pic:cNvPr id="0" name="abb7_streudiagramm.png"/>
                    <pic:cNvPicPr/>
                  </pic:nvPicPr>
                  <pic:blipFill>
                    <a:blip r:embed="rId15"/>
                    <a:stretch>
                      <a:fillRect/>
                    </a:stretch>
                  </pic:blipFill>
                  <pic:spPr>
                    <a:xfrm>
                      <a:off x="0" y="0"/>
                      <a:ext cx="5400000" cy="2700000"/>
                    </a:xfrm>
                    <a:prstGeom prst="rect"/>
                  </pic:spPr>
                </pic:pic>
              </a:graphicData>
            </a:graphic>
          </wp:inline>
        </w:drawing>
      </w:r>
    </w:p>
    <w:p>
      <w:pPr>
        <w:jc w:val="center"/>
      </w:pPr>
      <w:r>
        <w:rPr>
          <w:i/>
          <w:color w:val="595959"/>
          <w:sz w:val="18"/>
        </w:rPr>
        <w:t>Abbildung 7: Streudiagramm Langzeitarbeitslose vs. Bedarfsgemeinschaften mit OLS-Trendlinie.</w:t>
      </w:r>
    </w:p>
    <w:p/>
    <w:p>
      <w:pPr/>
      <w:r>
        <w:t>Mit r = −0,49 und p = 0,04 besteht ein statistisch signifikanter, moderater negativer Zusammenhang zwischen Langzeitarbeitslosen und Bedarfsgemeinschaften: Je höher die Langzeitarbeitslosigkeit, desto niedriger tendenziell die Zahl der Bedarfsgemeinschaften im selben Monat — inhaltlich plausibel, da Bedarfsgemeinschaften über den Beobachtungszeitraum insgesamt leicht sinken, während die Langzeitarbeitslosigkeit steigt. Bei den ursprünglichen 15 Monaten war dieser Zusammenhang mit r = −0,08 (p = 0,78) noch nicht nachweisbar — ein gutes Beispiel dafür, wie empfindlich Korrelationsschätzungen bei kleinen Stichproben auf zusätzliche Datenpunkte reagieren. Noch deutlicher zeigt sich der Zusammenhang zwischen Langzeitarbeitslosen und dem allgemeinen Arbeitslosenbestand: r = 0,67 (p = 0,002) — jetzt klar signifikant, während er mit 15 Monaten noch knapp unter der Signifikanzschwelle lag (r = 0,48, p = 0,07).</w:t>
      </w:r>
    </w:p>
    <w:p>
      <w:pPr>
        <w:pStyle w:val="Heading2"/>
      </w:pPr>
      <w:r>
        <w:t>4.3 Verteilungen</w:t>
      </w:r>
    </w:p>
    <w:p>
      <w:pPr>
        <w:jc w:val="center"/>
      </w:pPr>
      <w:r>
        <w:drawing>
          <wp:inline xmlns:a="http://schemas.openxmlformats.org/drawingml/2006/main" xmlns:pic="http://schemas.openxmlformats.org/drawingml/2006/picture">
            <wp:extent cx="5400000" cy="2387368"/>
            <wp:docPr id="8" name="Picture 8"/>
            <wp:cNvGraphicFramePr>
              <a:graphicFrameLocks noChangeAspect="1"/>
            </wp:cNvGraphicFramePr>
            <a:graphic>
              <a:graphicData uri="http://schemas.openxmlformats.org/drawingml/2006/picture">
                <pic:pic>
                  <pic:nvPicPr>
                    <pic:cNvPr id="0" name="abb8_verteilung.png"/>
                    <pic:cNvPicPr/>
                  </pic:nvPicPr>
                  <pic:blipFill>
                    <a:blip r:embed="rId16"/>
                    <a:stretch>
                      <a:fillRect/>
                    </a:stretch>
                  </pic:blipFill>
                  <pic:spPr>
                    <a:xfrm>
                      <a:off x="0" y="0"/>
                      <a:ext cx="5400000" cy="2387368"/>
                    </a:xfrm>
                    <a:prstGeom prst="rect"/>
                  </pic:spPr>
                </pic:pic>
              </a:graphicData>
            </a:graphic>
          </wp:inline>
        </w:drawing>
      </w:r>
    </w:p>
    <w:p>
      <w:pPr>
        <w:jc w:val="center"/>
      </w:pPr>
      <w:r>
        <w:rPr>
          <w:i/>
          <w:color w:val="595959"/>
          <w:sz w:val="18"/>
        </w:rPr>
        <w:t>Abbildung 8: Histogramm und Boxplot der Verteilung von Arbeitslose (Bestand) über die 18 Berichtsmonate.</w:t>
      </w:r>
    </w:p>
    <w:p/>
    <w:p>
      <w:pPr/>
      <w:r>
        <w:t>Der Boxplot zeigt keine auffälligen Ausreißer (keine Punkte außerhalb der Whisker); die Verteilung ist leicht linksschief mit einem Median (1.513,0) knapp über dem Mittelwert (1.504,0, siehe Kapitel 4.1).</w:t>
      </w:r>
    </w:p>
    <w:p>
      <w:pPr>
        <w:pStyle w:val="Heading2"/>
      </w:pPr>
      <w:r>
        <w:t>4.4 Inferenzstatistik: Hypothesentest</w:t>
      </w:r>
    </w:p>
    <w:p>
      <w:pPr/>
      <w:r>
        <w:t>Fragestellung: Unterscheidet sich die durchschnittliche Zahl der Langzeitarbeitslosen in der zweiten Hälfte des Beobachtungszeitraums signifikant von der ersten Hälfte? Hypothesen: H₀ — kein Unterschied der Mittelwerte; H₁ — die zweite Hälfte hat einen höheren Mittelwert. Getestet wurde mit einem zweiseitigen Welch-t-Test (ungleiche Varianzen werden nicht vorausgesetzt), Signifikanzniveau α = 0,05.</w:t>
      </w:r>
    </w:p>
    <w:p>
      <w:pPr>
        <w:pStyle w:val="ListBullet"/>
      </w:pPr>
      <w:r>
        <w:t>1. Hälfte (n = 9): Ø 543,3 (± 34,1) Personen</w:t>
      </w:r>
    </w:p>
    <w:p>
      <w:pPr>
        <w:pStyle w:val="ListBullet"/>
      </w:pPr>
      <w:r>
        <w:t>2. Hälfte (n = 9): Ø 661,1 (± 41,2) Personen</w:t>
      </w:r>
    </w:p>
    <w:p>
      <w:pPr>
        <w:pStyle w:val="ListBullet"/>
      </w:pPr>
      <w:r>
        <w:t>Mittelwertdifferenz: 117,8 Personen (95 %-Konfidenzintervall: [82,8; 152,7])</w:t>
      </w:r>
    </w:p>
    <w:p>
      <w:pPr>
        <w:pStyle w:val="ListBullet"/>
      </w:pPr>
      <w:r>
        <w:t>Welch-t-Test: t = 6,61, p ≈ 0,00001</w:t>
      </w:r>
    </w:p>
    <w:p>
      <w:pPr/>
      <w:r>
        <w:t>Mit p ≈ 0,00001 (deutlich unter α = 0,05) wird H₀ verworfen — der Anstieg der Langzeitarbeitslosigkeit von durchschnittlich 543 (erste Hälfte des Zeitraums) auf 661 Personen (zweite Hälfte) ist statistisch hoch signifikant, nicht durch zufällige Schwankungen erklärbar. Das 95 %-Konfidenzintervall für die Differenz (ca. 83 bis 153 Personen) schließt die Null nicht ein, was die Signifikanz bestätigt.</w:t>
      </w:r>
    </w:p>
    <w:p>
      <w:pPr>
        <w:pStyle w:val="Heading2"/>
      </w:pPr>
      <w:r>
        <w:t>4.5 Regressionsanalyse: Trend der Langzeitarbeitslosigkeit</w:t>
      </w:r>
    </w:p>
    <w:p>
      <w:pPr/>
      <w:r>
        <w:t>Einfache lineare Regression der Langzeitarbeitslosen-Zahl über die Zeit (Monatsindex 0 = Januar 2025 bis 17 = Juni 2026), umgesetzt mit sklearn.linear_model.LinearRegression:</w:t>
      </w:r>
    </w:p>
    <w:p>
      <w:pPr>
        <w:pStyle w:val="ListBullet"/>
      </w:pPr>
      <w:r>
        <w:t>Regressionsgleichung: Langzeitarbeitslose = 490,4 + 13,16 × Monatsindex</w:t>
      </w:r>
    </w:p>
    <w:p>
      <w:pPr>
        <w:pStyle w:val="ListBullet"/>
      </w:pPr>
      <w:r>
        <w:t>Steigung: +13,2 Personen pro Monat</w:t>
      </w:r>
    </w:p>
    <w:p>
      <w:pPr>
        <w:pStyle w:val="ListBullet"/>
      </w:pPr>
      <w:r>
        <w:t>Bestimmtheitsmaß: R² = 0,983</w:t>
      </w:r>
    </w:p>
    <w:p>
      <w:pPr>
        <w:pStyle w:val="ListBullet"/>
      </w:pPr>
      <w:r>
        <w:t>Prognose Juli 2026: rund 727 Personen</w:t>
      </w:r>
    </w:p>
    <w:p>
      <w:pPr>
        <w:pStyle w:val="ListBullet"/>
      </w:pPr>
      <w:r>
        <w:t>Prognose August 2026: rund 740 Personen</w:t>
      </w:r>
    </w:p>
    <w:p>
      <w:pPr>
        <w:pStyle w:val="ListBullet"/>
      </w:pPr>
      <w:r>
        <w:t>Prognose September 2026: rund 754 Personen</w:t>
      </w:r>
    </w:p>
    <w:p>
      <w:pPr>
        <w:jc w:val="center"/>
      </w:pPr>
      <w:r>
        <w:drawing>
          <wp:inline xmlns:a="http://schemas.openxmlformats.org/drawingml/2006/main" xmlns:pic="http://schemas.openxmlformats.org/drawingml/2006/picture">
            <wp:extent cx="5400000" cy="2728421"/>
            <wp:docPr id="9" name="Picture 9"/>
            <wp:cNvGraphicFramePr>
              <a:graphicFrameLocks noChangeAspect="1"/>
            </wp:cNvGraphicFramePr>
            <a:graphic>
              <a:graphicData uri="http://schemas.openxmlformats.org/drawingml/2006/picture">
                <pic:pic>
                  <pic:nvPicPr>
                    <pic:cNvPr id="0" name="abb9_regression.png"/>
                    <pic:cNvPicPr/>
                  </pic:nvPicPr>
                  <pic:blipFill>
                    <a:blip r:embed="rId17"/>
                    <a:stretch>
                      <a:fillRect/>
                    </a:stretch>
                  </pic:blipFill>
                  <pic:spPr>
                    <a:xfrm>
                      <a:off x="0" y="0"/>
                      <a:ext cx="5400000" cy="2728421"/>
                    </a:xfrm>
                    <a:prstGeom prst="rect"/>
                  </pic:spPr>
                </pic:pic>
              </a:graphicData>
            </a:graphic>
          </wp:inline>
        </w:drawing>
      </w:r>
    </w:p>
    <w:p>
      <w:pPr>
        <w:jc w:val="center"/>
      </w:pPr>
      <w:r>
        <w:rPr>
          <w:i/>
          <w:color w:val="595959"/>
          <w:sz w:val="18"/>
        </w:rPr>
        <w:t>Abbildung 9: Langzeitarbeitslose — linearer Trend, Regressionsgerade und Prognose für die folgenden drei Monate.</w:t>
      </w:r>
    </w:p>
    <w:p/>
    <w:p>
      <w:pPr/>
      <w:r>
        <w:t>Mit R² = 0,983 erklärt die lineare Zeit-Trendlinie rund 98,3 % der Schwankung der Langzeitarbeitslosen-Zahl — ein außergewöhnlich guter linearer Fit, sogar noch etwas besser als mit den ursprünglichen 15 Monaten (R² = 0,976). Die Steigung von +13,2 Personen pro Monat entspricht der bereits in Kapitel 3.3/3.4 beschriebenen Entwicklung. Die Prognose für die folgenden drei Monate (Juli–September 2026) liegt bei rund 727, 740 und 754 Personen.</w:t>
      </w:r>
    </w:p>
    <w:p>
      <w:pPr/>
      <w:r>
        <w:t>Einschränkung: Die Prognose extrapoliert einen linearen Trend aus nur 18 Datenpunkten in die Zukunft. Sie unterstellt, dass sich der bisherige Trend unverändert fortsetzt, und berücksichtigt keine saisonalen Effekte, Strukturbrüche oder externe Einflüsse (z. B. konjunkturelle Entwicklung, Gesetzesänderungen). Die Prognose ist daher als grobe Orientierung zu verstehen, nicht als verlässliche Vorhersage.</w:t>
      </w:r>
    </w:p>
    <w:p>
      <w:pPr>
        <w:pStyle w:val="Heading2"/>
      </w:pPr>
      <w:r>
        <w:t>4.6 Zusammenfassung der statistischen Befunde</w:t>
      </w:r>
    </w:p>
    <w:p>
      <w:pPr>
        <w:pStyle w:val="ListBullet"/>
      </w:pPr>
      <w:r>
        <w:t>Deskriptive Statistik: Langzeitarbeitslose weisen mit einem Variationskoeffizienten von rund 11,8 % die stärkste relative Veränderung aller vier Kernkennzahlen auf; Bedarfsgemeinschaften (2,1 %) und Personen in BG (2,4 %) sind am stabilsten.</w:t>
      </w:r>
    </w:p>
    <w:p>
      <w:pPr>
        <w:pStyle w:val="ListBullet"/>
      </w:pPr>
      <w:r>
        <w:t>Korrelation: Mit den jetzt 18 Monaten zeigt sich ein statistisch signifikanter, moderater negativer Zusammenhang zwischen Langzeitarbeitslosen und Bedarfsgemeinschaften (r = −0,49, p = 0,04) sowie ein deutlicher positiver Zusammenhang zwischen Langzeitarbeitslosen und dem allgemeinen Arbeitslosenbestand (r = 0,67, p = 0,002) — beide Zusammenhänge waren mit den ursprünglichen 15 Monaten noch nicht signifikant nachweisbar. Bedarfsgemeinschaften und Personen in BG korrelieren weiterhin sehr stark (r ≈ 0,95).</w:t>
      </w:r>
    </w:p>
    <w:p>
      <w:pPr>
        <w:pStyle w:val="ListBullet"/>
      </w:pPr>
      <w:r>
        <w:t>Hypothesentest: Der Anstieg der Langzeitarbeitslosigkeit zwischen erster (Ø 543) und zweiter (Ø 661) Hälfte des Beobachtungszeitraums ist statistisch hoch signifikant (p ≈ 0,00001).</w:t>
      </w:r>
    </w:p>
    <w:p>
      <w:pPr>
        <w:pStyle w:val="ListBullet"/>
      </w:pPr>
      <w:r>
        <w:t>Regression: Ein linearer Zeittrend erklärt mit R² = 0,983 nahezu die gesamte Schwankung der Langzeitarbeitslosen-Zahl; die Prognose für die kommenden drei Monate liegt bei weiterem Anstieg auf rund 727–754 Personen — allerdings mit den oben genannten Einschränkungen einer einfachen linearen Extrapolation.</w:t>
      </w:r>
    </w:p>
    <w:p>
      <w:pPr/>
      <w:r>
        <w:t>Diese statistischen Befunde untermauern quantitativ, was in Kapitel 3 bereits visuell erkennbar war: Die Verschärfung der Langzeitarbeitslosigkeit ist der mit Abstand robusteste und am stärksten abgesicherte Trend im gesamten Datensatz. Bemerkenswert ist zudem, dass die zusätzlichen drei Monate Rohdaten zwei zuvor statistisch nicht nachweisbare Zusammenhänge (Korrelation mit Bedarfsgemeinschaften und mit dem Arbeitslosenbestand) erst sichtbar gemacht haben — ein anschauliches Beispiel für die Bedeutung der Stichprobengröße bei Signifikanztests.</w:t>
      </w:r>
    </w:p>
    <w:p>
      <w:r>
        <w:br w:type="page"/>
      </w:r>
    </w:p>
    <w:p>
      <w:pPr>
        <w:pStyle w:val="Heading1"/>
      </w:pPr>
      <w:r>
        <w:t>5 Fazit und Ausblick</w:t>
      </w:r>
    </w:p>
    <w:p>
      <w:pPr>
        <w:pStyle w:val="Heading2"/>
      </w:pPr>
      <w:r>
        <w:t>Fazit</w:t>
      </w:r>
    </w:p>
    <w:p>
      <w:pPr/>
      <w:r>
        <w:t>Das Projekt hat gezeigt, dass sich aus den monatlichen Rohdaten der Bundesagentur für Arbeit mit vertretbarem Aufwand eine saubere, reproduzierbare Datenpipeline sowie aussagekräftige Visualisierungen aufbauen lassen. Aus 18 Excel-Berichten mit jeweils über 20 Tabellenblättern wurde eine strukturierte Zeitreihe mit neun zentralen SGB-II-Kennzahlen erstellt (Kapitel 2), die in fünf interaktiven Diagrammen sowie einer Kennzahlen-Vergleichstabelle ausgewertet wurde (Kapitel 3). Die Ergebnisse sind zusätzlich in einem öffentlich zugänglichen Streamlit-Dashboard bereitgestellt, sodass sie über die reine Projektdokumentation hinaus nutzbar bleiben.</w:t>
      </w:r>
    </w:p>
    <w:p>
      <w:pPr/>
      <w:r>
        <w:t>Inhaltlich zeigt die Analyse für das Jobcenter Regensburg im Zeitraum Januar 2025 bis Juni 2026 ein differenziertes Bild: Während der Arbeitslosenbestand und die Arbeitslosenquote über den Beobachtungszeitraum weitgehend stabil geblieben sind, hat sich die Langzeitarbeitslosigkeit spürbar verschärft (Anteil an allen Arbeitslosen von 34,1 % auf 47,3 % gestiegen), während die Zahl der Bedarfsgemeinschaften und der Personen im Leistungsbezug leicht rückläufig war. Diese gegenläufige Entwicklung wäre in den Rohdaten allein kaum erkennbar gewesen und verdeutlicht den Mehrwert der strukturierten Aufbereitung und Visualisierung.</w:t>
      </w:r>
    </w:p>
    <w:p>
      <w:pPr>
        <w:pStyle w:val="Heading2"/>
      </w:pPr>
      <w:r>
        <w:t>Ausblick</w:t>
      </w:r>
    </w:p>
    <w:p>
      <w:pPr/>
      <w:r>
        <w:t>Bei der Sichtung aller Tabellenblätter der Rohdaten (Kapitel 2.1) wurden zahlreiche inhaltliche Erweiterungsmöglichkeiten identifiziert, die bislang nicht in die Analyse eingeflossen sind. Diese sind bereits als Platzhalter-Tabs im Dashboard vorbereitet (mit hinterlegter Datenquelle, geplanten Diagrammen und Priorität je Thema) und sollen in folgender Reihenfolge inhaltlich umgesetzt werden:</w:t>
      </w:r>
    </w:p>
    <w:p>
      <w:pPr>
        <w:pStyle w:val="ListBullet"/>
      </w:pPr>
      <w:r>
        <w:t>Fluktuation (Zugang/Abgang) — direkt im Blatt „1.1 Eckwerte“ verfügbar, kein zusätzlicher Aufwand.</w:t>
      </w:r>
    </w:p>
    <w:p>
      <w:pPr>
        <w:pStyle w:val="ListBullet"/>
      </w:pPr>
      <w:r>
        <w:t>Demografie im Zeitverlauf — Alters- und Geschlechterstruktur, bisher nur als Momentaufnahme des letzten Berichtsmonats verfügbar (vgl. Kapitel 3.5).</w:t>
      </w:r>
    </w:p>
    <w:p>
      <w:pPr>
        <w:pStyle w:val="ListBullet"/>
      </w:pPr>
      <w:r>
        <w:t>Erwerbstätigkeit / „Aufstocker“ — neues Themenfeld, ergänzt die Trichter-Logik aus Kapitel 3.1 um Personen, die trotz Job ergänzend Bürgergeld beziehen.</w:t>
      </w:r>
    </w:p>
    <w:p>
      <w:pPr>
        <w:pStyle w:val="ListBullet"/>
      </w:pPr>
      <w:r>
        <w:t>Finanzen (Zahlungsansprüche) — einzige Quelle für tatsächliche Euro-Beträge im Datensatz.</w:t>
      </w:r>
    </w:p>
    <w:p>
      <w:pPr>
        <w:pStyle w:val="ListBullet"/>
      </w:pPr>
      <w:r>
        <w:t>Förderung (aktive Arbeitsmarktpolitik) — inkl. der bereits in den Rohdaten enthaltenen Aktivierungsquote.</w:t>
      </w:r>
    </w:p>
    <w:p>
      <w:pPr>
        <w:pStyle w:val="ListBullet"/>
      </w:pPr>
      <w:r>
        <w:t>Nachrangig: Bezugsdauer (Langzeitleistungsbezug, Drehtür-Effekt, Haushaltsgrößenstruktur).</w:t>
      </w:r>
    </w:p>
    <w:p>
      <w:pPr/>
      <w:r>
        <w:t>Für die Themen 3 bis 6 ist zu beachten, dass die zugrunde liegenden Tabellenblätter der Rohdaten nicht den aktuellen Berichtsmonat, sondern Werte mit 3 bis 6 Monaten Wartezeit melden (siehe Kapitel 2.1).</w:t>
      </w:r>
    </w:p>
    <w:p>
      <w:pPr/>
      <w:r>
        <w:t>Auch methodisch bietet die Analyse weiteres Potenzial über die in Kapitel 4 dokumentierte vertiefte Statistik hinaus: bislang nicht eingesetzt wurden u. a. eine multiple Regression mit mehreren Prädiktoren, eine ANOVA für Mehrgruppenvergleiche sowie Verteilungsdarstellungen wie Violin- oder Pie-Plots.</w:t>
      </w:r>
    </w:p>
    <w:p>
      <w:r>
        <w:br w:type="page"/>
      </w:r>
    </w:p>
    <w:p>
      <w:pPr>
        <w:pStyle w:val="Heading1"/>
      </w:pPr>
      <w:r>
        <w:t>Quellenverzeichnis</w:t>
      </w:r>
    </w:p>
    <w:p>
      <w:pPr/>
      <w:r>
        <w:t>Statistik der Bundesagentur für Arbeit: Eckwerte für Jobcenter, Jobcenter Regensburg (Statistik-Nr. t73906-0), monatliche Berichte Januar 2025 – Juni 2026. https://statistik.arbeitsagentur.de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