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EF77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CONTINUUM AI ANALYTICS</w:t>
      </w:r>
    </w:p>
    <w:p w14:paraId="2DAB7675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Resumen ejecutivo</w:t>
      </w:r>
    </w:p>
    <w:p w14:paraId="25EC3242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 xml:space="preserve">Continuum AI </w:t>
      </w:r>
      <w:proofErr w:type="spellStart"/>
      <w:r w:rsidRPr="00144C87">
        <w:rPr>
          <w:rFonts w:ascii="Times New Roman" w:hAnsi="Times New Roman" w:cs="Times New Roman"/>
        </w:rPr>
        <w:t>Analytics</w:t>
      </w:r>
      <w:proofErr w:type="spellEnd"/>
      <w:r w:rsidRPr="00144C87">
        <w:rPr>
          <w:rFonts w:ascii="Times New Roman" w:hAnsi="Times New Roman" w:cs="Times New Roman"/>
        </w:rPr>
        <w:t xml:space="preserve"> desarrolla tecnologías para medir, monitorizar y analizar fenómenos de convergencia semántica, homogeneización representacional y concentración de sesgos en sistemas avanzados de inteligencia artificial.</w:t>
      </w:r>
    </w:p>
    <w:p w14:paraId="7150D9F3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Problema</w:t>
      </w:r>
    </w:p>
    <w:p w14:paraId="45C64686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Los modelos fundacionales actuales tienden a experimentar procesos de alineamiento, convergencia estadística y homogeneización semántica cuya medición sigue siendo limitada.</w:t>
      </w:r>
    </w:p>
    <w:p w14:paraId="628C5746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 xml:space="preserve">Actualmente existen métricas parciales para evaluar rendimiento, seguridad o </w:t>
      </w:r>
      <w:proofErr w:type="spellStart"/>
      <w:r w:rsidRPr="00144C87">
        <w:rPr>
          <w:rFonts w:ascii="Times New Roman" w:hAnsi="Times New Roman" w:cs="Times New Roman"/>
        </w:rPr>
        <w:t>fairness</w:t>
      </w:r>
      <w:proofErr w:type="spellEnd"/>
      <w:r w:rsidRPr="00144C87">
        <w:rPr>
          <w:rFonts w:ascii="Times New Roman" w:hAnsi="Times New Roman" w:cs="Times New Roman"/>
        </w:rPr>
        <w:t>, pero existe una oportunidad para desarrollar herramientas especializadas en cuantificar pérdida de diversidad semántica, convergencia de representaciones y fenómenos de colapso estructural.</w:t>
      </w:r>
    </w:p>
    <w:p w14:paraId="3CFCF50B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Tecnología</w:t>
      </w:r>
    </w:p>
    <w:p w14:paraId="4F516DF4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La tecnología se basa en un marco matemático de análisis de convergencia semántica sobre espacios representacionales conectados.</w:t>
      </w:r>
    </w:p>
    <w:p w14:paraId="01F40402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El sistema pretende evolucionar hacia:</w:t>
      </w:r>
    </w:p>
    <w:p w14:paraId="094A7674" w14:textId="77777777" w:rsidR="0070135C" w:rsidRPr="00144C87" w:rsidRDefault="0070135C" w:rsidP="00701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Métricas propietarias.</w:t>
      </w:r>
    </w:p>
    <w:p w14:paraId="08AEFCB0" w14:textId="77777777" w:rsidR="0070135C" w:rsidRPr="00144C87" w:rsidRDefault="0070135C" w:rsidP="00701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Índices de convergencia.</w:t>
      </w:r>
    </w:p>
    <w:p w14:paraId="3C20AD6B" w14:textId="77777777" w:rsidR="0070135C" w:rsidRPr="00144C87" w:rsidRDefault="0070135C" w:rsidP="00701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Herramientas de auditoría.</w:t>
      </w:r>
    </w:p>
    <w:p w14:paraId="4CA9A303" w14:textId="77777777" w:rsidR="0070135C" w:rsidRPr="00144C87" w:rsidRDefault="0070135C" w:rsidP="00701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Sistemas de monitorización continua.</w:t>
      </w:r>
    </w:p>
    <w:p w14:paraId="22DF856E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Productos</w:t>
      </w:r>
    </w:p>
    <w:p w14:paraId="740E908B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 A:</w:t>
      </w:r>
      <w:r w:rsidRPr="00144C87">
        <w:rPr>
          <w:rFonts w:ascii="Times New Roman" w:hAnsi="Times New Roman" w:cs="Times New Roman"/>
        </w:rPr>
        <w:br/>
        <w:t>Plataforma SaaS de auditoría de IA.</w:t>
      </w:r>
    </w:p>
    <w:p w14:paraId="6DCC1E8D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 B:</w:t>
      </w:r>
      <w:r w:rsidRPr="00144C87">
        <w:rPr>
          <w:rFonts w:ascii="Times New Roman" w:hAnsi="Times New Roman" w:cs="Times New Roman"/>
        </w:rPr>
        <w:br/>
        <w:t>API para evaluación automática de convergencia semántica.</w:t>
      </w:r>
    </w:p>
    <w:p w14:paraId="4ABD0361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 C:</w:t>
      </w:r>
      <w:r w:rsidRPr="00144C87">
        <w:rPr>
          <w:rFonts w:ascii="Times New Roman" w:hAnsi="Times New Roman" w:cs="Times New Roman"/>
        </w:rPr>
        <w:br/>
        <w:t>SDK para desarrolladores y laboratorios de IA.</w:t>
      </w:r>
    </w:p>
    <w:p w14:paraId="50377954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 D:</w:t>
      </w:r>
      <w:r w:rsidRPr="00144C87">
        <w:rPr>
          <w:rFonts w:ascii="Times New Roman" w:hAnsi="Times New Roman" w:cs="Times New Roman"/>
        </w:rPr>
        <w:br/>
        <w:t>Herramientas de apoyo a cumplimiento regulatorio.</w:t>
      </w:r>
    </w:p>
    <w:p w14:paraId="7B36643A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Producto E:</w:t>
      </w:r>
      <w:r w:rsidRPr="00144C87">
        <w:rPr>
          <w:rFonts w:ascii="Times New Roman" w:hAnsi="Times New Roman" w:cs="Times New Roman"/>
        </w:rPr>
        <w:br/>
        <w:t>Consultoría avanzada y servicios de evaluación.</w:t>
      </w:r>
    </w:p>
    <w:p w14:paraId="70B007AB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Mercado objetivo</w:t>
      </w:r>
    </w:p>
    <w:p w14:paraId="2C231C0A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lastRenderedPageBreak/>
        <w:t>Empresas que desarrollan IA.</w:t>
      </w:r>
    </w:p>
    <w:p w14:paraId="59F77B48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 xml:space="preserve">Organizaciones que integran </w:t>
      </w:r>
      <w:proofErr w:type="spellStart"/>
      <w:r w:rsidRPr="00144C87">
        <w:rPr>
          <w:rFonts w:ascii="Times New Roman" w:hAnsi="Times New Roman" w:cs="Times New Roman"/>
        </w:rPr>
        <w:t>LLMs</w:t>
      </w:r>
      <w:proofErr w:type="spellEnd"/>
      <w:r w:rsidRPr="00144C87">
        <w:rPr>
          <w:rFonts w:ascii="Times New Roman" w:hAnsi="Times New Roman" w:cs="Times New Roman"/>
        </w:rPr>
        <w:t>.</w:t>
      </w:r>
    </w:p>
    <w:p w14:paraId="06415639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Consultoras tecnológicas.</w:t>
      </w:r>
    </w:p>
    <w:p w14:paraId="13956CC0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Entidades públicas.</w:t>
      </w:r>
    </w:p>
    <w:p w14:paraId="6679C363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Organismos reguladores.</w:t>
      </w:r>
    </w:p>
    <w:p w14:paraId="68498B4C" w14:textId="77777777" w:rsidR="0070135C" w:rsidRPr="00144C87" w:rsidRDefault="0070135C" w:rsidP="00701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Proveedores de auditoría tecnológica.</w:t>
      </w:r>
    </w:p>
    <w:p w14:paraId="6871D6BF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Ventaja diferencial</w:t>
      </w:r>
    </w:p>
    <w:p w14:paraId="72484C0E" w14:textId="77777777" w:rsidR="0070135C" w:rsidRPr="00144C87" w:rsidRDefault="0070135C" w:rsidP="00701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Enfoque específico sobre convergencia semántica.</w:t>
      </w:r>
    </w:p>
    <w:p w14:paraId="5A9A99CA" w14:textId="77777777" w:rsidR="0070135C" w:rsidRPr="00144C87" w:rsidRDefault="0070135C" w:rsidP="00701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Marco matemático propio.</w:t>
      </w:r>
    </w:p>
    <w:p w14:paraId="780AB904" w14:textId="77777777" w:rsidR="0070135C" w:rsidRPr="00144C87" w:rsidRDefault="0070135C" w:rsidP="00701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Capacidad de generar métricas interpretables.</w:t>
      </w:r>
    </w:p>
    <w:p w14:paraId="4E68B81A" w14:textId="77777777" w:rsidR="0070135C" w:rsidRPr="00144C87" w:rsidRDefault="0070135C" w:rsidP="00701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Posible integración transversal con múltiples modelos.</w:t>
      </w:r>
    </w:p>
    <w:p w14:paraId="226B9BC8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Estado actual</w:t>
      </w:r>
    </w:p>
    <w:p w14:paraId="1544156F" w14:textId="77777777" w:rsidR="0070135C" w:rsidRPr="00144C87" w:rsidRDefault="0070135C" w:rsidP="00701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Marco teórico desarrollado.</w:t>
      </w:r>
    </w:p>
    <w:p w14:paraId="6FF70BA1" w14:textId="77777777" w:rsidR="0070135C" w:rsidRPr="00144C87" w:rsidRDefault="0070135C" w:rsidP="00701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Fase de validación experimental pendiente.</w:t>
      </w:r>
    </w:p>
    <w:p w14:paraId="73860430" w14:textId="77777777" w:rsidR="0070135C" w:rsidRPr="00144C87" w:rsidRDefault="0070135C" w:rsidP="00701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Búsqueda de socios técnicos.</w:t>
      </w:r>
    </w:p>
    <w:p w14:paraId="775BAA6F" w14:textId="77777777" w:rsidR="0070135C" w:rsidRPr="00144C87" w:rsidRDefault="0070135C" w:rsidP="00701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 xml:space="preserve">Exploración de vía spin-off </w:t>
      </w:r>
      <w:proofErr w:type="spellStart"/>
      <w:r w:rsidRPr="00144C87">
        <w:rPr>
          <w:rFonts w:ascii="Times New Roman" w:hAnsi="Times New Roman" w:cs="Times New Roman"/>
        </w:rPr>
        <w:t>UVigo</w:t>
      </w:r>
      <w:proofErr w:type="spellEnd"/>
      <w:r w:rsidRPr="00144C87">
        <w:rPr>
          <w:rFonts w:ascii="Times New Roman" w:hAnsi="Times New Roman" w:cs="Times New Roman"/>
        </w:rPr>
        <w:t>.</w:t>
      </w:r>
    </w:p>
    <w:p w14:paraId="12A64E0D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Modelo de ingresos</w:t>
      </w:r>
    </w:p>
    <w:p w14:paraId="110D0797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Licencias software.</w:t>
      </w:r>
    </w:p>
    <w:p w14:paraId="3BE8EE8B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Suscripciones SaaS.</w:t>
      </w:r>
    </w:p>
    <w:p w14:paraId="7214174B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API de pago por uso.</w:t>
      </w:r>
    </w:p>
    <w:p w14:paraId="07CE9F6C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Servicios profesionales.</w:t>
      </w:r>
    </w:p>
    <w:p w14:paraId="1CC6996D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Licenciamiento tecnológico.</w:t>
      </w:r>
    </w:p>
    <w:p w14:paraId="09F89E01" w14:textId="77777777" w:rsidR="0070135C" w:rsidRPr="00144C87" w:rsidRDefault="0070135C" w:rsidP="00701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Acuerdos empresariales.</w:t>
      </w:r>
    </w:p>
    <w:p w14:paraId="21D230B5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Objetivo a 36 meses</w:t>
      </w:r>
    </w:p>
    <w:p w14:paraId="17A346E7" w14:textId="77777777" w:rsidR="0070135C" w:rsidRPr="00144C87" w:rsidRDefault="0070135C" w:rsidP="0070135C">
      <w:pPr>
        <w:rPr>
          <w:rFonts w:ascii="Times New Roman" w:hAnsi="Times New Roman" w:cs="Times New Roman"/>
        </w:rPr>
      </w:pPr>
      <w:r w:rsidRPr="00144C87">
        <w:rPr>
          <w:rFonts w:ascii="Times New Roman" w:hAnsi="Times New Roman" w:cs="Times New Roman"/>
        </w:rPr>
        <w:t>Convertirse en una referencia europea en medición y monitorización de fenómenos de homogeneización semántica y convergencia de sesgos en sistemas de IA.</w:t>
      </w:r>
    </w:p>
    <w:p w14:paraId="17D1E90B" w14:textId="77777777" w:rsidR="0022230F" w:rsidRDefault="0022230F"/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603"/>
    <w:multiLevelType w:val="multilevel"/>
    <w:tmpl w:val="DBF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459B"/>
    <w:multiLevelType w:val="multilevel"/>
    <w:tmpl w:val="08A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73EB"/>
    <w:multiLevelType w:val="multilevel"/>
    <w:tmpl w:val="863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1280E"/>
    <w:multiLevelType w:val="multilevel"/>
    <w:tmpl w:val="9C2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664B7"/>
    <w:multiLevelType w:val="multilevel"/>
    <w:tmpl w:val="F95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751149">
    <w:abstractNumId w:val="0"/>
  </w:num>
  <w:num w:numId="2" w16cid:durableId="835222249">
    <w:abstractNumId w:val="3"/>
  </w:num>
  <w:num w:numId="3" w16cid:durableId="304164492">
    <w:abstractNumId w:val="2"/>
  </w:num>
  <w:num w:numId="4" w16cid:durableId="371880814">
    <w:abstractNumId w:val="4"/>
  </w:num>
  <w:num w:numId="5" w16cid:durableId="86189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5C"/>
    <w:rsid w:val="00144C87"/>
    <w:rsid w:val="0022230F"/>
    <w:rsid w:val="003C05BF"/>
    <w:rsid w:val="0070135C"/>
    <w:rsid w:val="009227B6"/>
    <w:rsid w:val="00EB3D36"/>
    <w:rsid w:val="00FB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0E24"/>
  <w15:chartTrackingRefBased/>
  <w15:docId w15:val="{253E7FFD-139E-4D0D-8029-73693C72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2026-06-02T08:23:00Z</dcterms:created>
  <dcterms:modified xsi:type="dcterms:W3CDTF">2026-06-03T13:44:00Z</dcterms:modified>
</cp:coreProperties>
</file>