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F160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¿POR QUÉ CSI?</w:t>
      </w:r>
    </w:p>
    <w:p w14:paraId="1EC4BE1A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7CBDB732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PROBLEMA</w:t>
      </w:r>
    </w:p>
    <w:p w14:paraId="1529EB82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043C94E6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Los sistemas de IA pueden presentar fenómenos de:</w:t>
      </w:r>
    </w:p>
    <w:p w14:paraId="2328F7A6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75B168B4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convergencia semántica,</w:t>
      </w:r>
    </w:p>
    <w:p w14:paraId="320AB395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pérdida de diversidad cognitiva,</w:t>
      </w:r>
    </w:p>
    <w:p w14:paraId="5F982E13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homogeneización representacional.</w:t>
      </w:r>
    </w:p>
    <w:p w14:paraId="6C2C6BA9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7F2B2DA6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Actualmente existen pocas herramientas específicas para medir estos fenómenos.</w:t>
      </w:r>
    </w:p>
    <w:p w14:paraId="368331DD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621CCF2A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--------------------------------------------------</w:t>
      </w:r>
    </w:p>
    <w:p w14:paraId="06445CF9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07AF605A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SOLUCIÓN</w:t>
      </w:r>
    </w:p>
    <w:p w14:paraId="6E101065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7951D944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CONTINUUM SEMANTIC INDEX (CSI)</w:t>
      </w:r>
    </w:p>
    <w:p w14:paraId="5408F92B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774BBD03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Metodología destinada a:</w:t>
      </w:r>
    </w:p>
    <w:p w14:paraId="2F9F067D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02C8C08E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detectar convergencia semántica,</w:t>
      </w:r>
    </w:p>
    <w:p w14:paraId="6A8FC493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medir pérdida de distinción,</w:t>
      </w:r>
    </w:p>
    <w:p w14:paraId="28753610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evaluar diversidad representacional.</w:t>
      </w:r>
    </w:p>
    <w:p w14:paraId="33A7DB8E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499EA4F6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--------------------------------------------------</w:t>
      </w:r>
    </w:p>
    <w:p w14:paraId="662B4B0E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25EB4230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IMPACTO</w:t>
      </w:r>
    </w:p>
    <w:p w14:paraId="4D56E6B5" w14:textId="77777777" w:rsidR="00531FB7" w:rsidRPr="007712CE" w:rsidRDefault="00531FB7" w:rsidP="00531FB7">
      <w:pPr>
        <w:rPr>
          <w:rFonts w:ascii="Times New Roman" w:hAnsi="Times New Roman" w:cs="Times New Roman"/>
        </w:rPr>
      </w:pPr>
    </w:p>
    <w:p w14:paraId="19DD7B3B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Auditoría de IA.</w:t>
      </w:r>
    </w:p>
    <w:p w14:paraId="60CD593A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lastRenderedPageBreak/>
        <w:t>- Gobernanza algorítmica.</w:t>
      </w:r>
    </w:p>
    <w:p w14:paraId="40E4FB42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Cumplimiento normativo.</w:t>
      </w:r>
    </w:p>
    <w:p w14:paraId="2B87F01D" w14:textId="77777777" w:rsidR="00531FB7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Evaluación de riesgos emergentes.</w:t>
      </w:r>
    </w:p>
    <w:p w14:paraId="028B9F88" w14:textId="191359E9" w:rsidR="0022230F" w:rsidRPr="007712CE" w:rsidRDefault="00531FB7" w:rsidP="00531FB7">
      <w:pPr>
        <w:rPr>
          <w:rFonts w:ascii="Times New Roman" w:hAnsi="Times New Roman" w:cs="Times New Roman"/>
        </w:rPr>
      </w:pPr>
      <w:r w:rsidRPr="007712CE">
        <w:rPr>
          <w:rFonts w:ascii="Times New Roman" w:hAnsi="Times New Roman" w:cs="Times New Roman"/>
        </w:rPr>
        <w:t>- Transferencia tecnológica.</w:t>
      </w:r>
    </w:p>
    <w:sectPr w:rsidR="0022230F" w:rsidRPr="00771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67"/>
    <w:rsid w:val="001A134E"/>
    <w:rsid w:val="001D74FD"/>
    <w:rsid w:val="0022230F"/>
    <w:rsid w:val="003C05BF"/>
    <w:rsid w:val="00531FB7"/>
    <w:rsid w:val="00731267"/>
    <w:rsid w:val="007712CE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B8F335-32F7-4E30-AAB3-F4E18FD70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2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2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2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2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2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2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4</cp:revision>
  <dcterms:created xsi:type="dcterms:W3CDTF">2026-06-03T10:42:00Z</dcterms:created>
  <dcterms:modified xsi:type="dcterms:W3CDTF">2026-06-03T13:52:00Z</dcterms:modified>
</cp:coreProperties>
</file>