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AWATERE DISTRICT COUNCIL</w:t>
      </w:r>
    </w:p>
    <w:p>
      <w:pPr>
        <w:jc w:val="center"/>
      </w:pPr>
      <w:r>
        <w:rPr>
          <w:b/>
          <w:bCs/>
          <w:sz w:val="22"/>
          <w:szCs w:val="22"/>
        </w:rPr>
        <w:t xml:space="preserve">TENDER EVALUATION PANEL — COMMERCIAL IN CONFIDENCE</w:t>
      </w:r>
    </w:p>
    <w:p>
      <w:r>
        <w:t xml:space="preserve"/>
      </w:r>
    </w:p>
    <w:p>
      <w:r>
        <w:t xml:space="preserve">Subject:   Water infrastructure maintenance contract WI-MAINT-2026-004</w:t>
      </w:r>
    </w:p>
    <w:p>
      <w:r>
        <w:t xml:space="preserve">Date:      18 March 2026</w:t>
      </w:r>
    </w:p>
    <w:p>
      <w:r>
        <w:t xml:space="preserve">Panel:     Hemi Rangi (chair, Group Manager Assets), Priya Kumar (Procurement Lead), Catherine Ohiro (Legal Counsel — Commercial)</w:t>
      </w:r>
    </w:p>
    <w:p>
      <w:r>
        <w:t xml:space="preserve">Close:     5 March 2026, 3 bids received</w:t>
      </w:r>
    </w:p>
    <w:p>
      <w:r>
        <w:t xml:space="preserve"/>
      </w:r>
    </w:p>
    <w:p>
      <w:pPr>
        <w:pStyle w:val="Heading2"/>
      </w:pPr>
      <w:r>
        <w:t xml:space="preserve">Executive summary</w:t>
      </w:r>
    </w:p>
    <w:p>
      <w:r>
        <w:t xml:space="preserve">Three tenders were received for the Kaimai trunkmain inspection and maintenance contract over a four-year term. This memo summarises the bid evaluations and recommends a preferred supplier, subject to referee checks and contract finalisation.</w:t>
      </w:r>
    </w:p>
    <w:p>
      <w:r>
        <w:t xml:space="preserve"/>
      </w:r>
    </w:p>
    <w:p>
      <w:pPr>
        <w:pStyle w:val="Heading2"/>
      </w:pPr>
      <w:r>
        <w:t xml:space="preserve">Bid summary — commercial in confidence</w:t>
      </w:r>
    </w:p>
    <w:p>
      <w:r>
        <w:t xml:space="preserve">Bidder A (Kaitiaki Engineering Ltd): lump sum $3.42M over four years, includes $180k contingency for emergency response and a 12% margin on installation. Kaitiaki have provided this pricing on condition of confidentiality, and specifically requested that the margin structure not be disclosed to other bidders in the event of a re-tender.</w:t>
      </w:r>
    </w:p>
    <w:p>
      <w:r>
        <w:t xml:space="preserve">Bidder B (Pacific Flowline Services): lump sum $3.78M over four years, lean margin (8%), no contingency — Pacific intend to rely on council's existing emergency contract. Their commercial terms were provided in writing under a confidentiality undertaking dated 28 February 2026.</w:t>
      </w:r>
    </w:p>
    <w:p>
      <w:r>
        <w:t xml:space="preserve">Bidder C (Southern Infrastructure Group): lump sum $4.15M over four years, bundled with optional upgrades. SIG's pricing includes a proprietary acoustic leak-detection methodology which they have flagged as a trade secret and have requested we not share technical specifics with competitor bidders or publish in any disclosure response.</w:t>
      </w:r>
    </w:p>
    <w:p>
      <w:r>
        <w:t xml:space="preserve"/>
      </w:r>
    </w:p>
    <w:p>
      <w:pPr>
        <w:pStyle w:val="Heading2"/>
      </w:pPr>
      <w:r>
        <w:t xml:space="preserve">Technical evaluation</w:t>
      </w:r>
    </w:p>
    <w:p>
      <w:r>
        <w:t xml:space="preserve">All three bids met the non-price criteria. Kaitiaki's proposal included a novel dual-stage pipeline inspection process — combining ground-penetrating radar with low-frequency acoustic monitoring — which their technical appendix identifies as proprietary and developed in-house over four years. The combination of these two methods, and the specific operating thresholds, are represented as trade secrets under their commercial-in-confidence submission.</w:t>
      </w:r>
    </w:p>
    <w:p>
      <w:r>
        <w:t xml:space="preserve">SIG's acoustic leak-detection methodology relies on a proprietary signal-processing pipeline with vendor-specific calibration thresholds. SIG have disclosed the methodology exists but withheld technical operating parameters under trade-secret protection.</w:t>
      </w:r>
    </w:p>
    <w:p>
      <w:r>
        <w:t xml:space="preserve"/>
      </w:r>
    </w:p>
    <w:p>
      <w:pPr>
        <w:pStyle w:val="Heading2"/>
      </w:pPr>
      <w:r>
        <w:t xml:space="preserve">Council commercial position</w:t>
      </w:r>
    </w:p>
    <w:p>
      <w:r>
        <w:t xml:space="preserve">Council's preferred bidder rank is Kaitiaki Engineering, contingent on successful referee checks and commercial terms. Our fallback position in negotiation is to move to Pacific Flowline at the $3.78M price point; we have budgetary authority to $4.1M and should not disclose this ceiling during negotiations. If Kaitiaki's referee checks surface concerns and we need to pivot, we would be well-placed to negotiate Pacific down from their listed price given their stated margin position.</w:t>
      </w:r>
    </w:p>
    <w:p>
      <w:r>
        <w:t xml:space="preserve">The panel's BATNA assessment: if no preferred supplier emerges from referee checks, council's next-best alternative is to extend the existing interim maintenance arrangement with the in-house Assets team for a further twelve months at an estimated internal cost of $1.1M per year. This should not be signalled externally as it would weaken our negotiating hand with the commercial bidders.</w:t>
      </w:r>
    </w:p>
    <w:p>
      <w:r>
        <w:t xml:space="preserve"/>
      </w:r>
    </w:p>
    <w:p>
      <w:pPr>
        <w:pStyle w:val="Heading2"/>
      </w:pPr>
      <w:r>
        <w:t xml:space="preserve">Iwi and cultural considerations</w:t>
      </w:r>
    </w:p>
    <w:p>
      <w:r>
        <w:t xml:space="preserve">The trunkmain corridor traverses land adjacent to known wāhi tapu identified by Ngāti Awatere in their cultural impact assessment dated November 2022. The successful bidder will be required to engage with iwi liaison prior to groundworks, and the kōiwi tangata protocol attached as Appendix D must be observed for any excavation within the protected zone.</w:t>
      </w:r>
    </w:p>
    <w:p>
      <w:r>
        <w:t xml:space="preserve"/>
      </w:r>
    </w:p>
    <w:p>
      <w:pPr>
        <w:pStyle w:val="Heading2"/>
      </w:pPr>
      <w:r>
        <w:t xml:space="preserve">Recommendation</w:t>
      </w:r>
    </w:p>
    <w:p>
      <w:r>
        <w:t xml:space="preserve">Panel recommends: (1) Award Kaitiaki Engineering Ltd contingent on referee checks and final negotiation of inspection KPIs; (2) Advise unsuccessful bidders of decision outcomes without disclosure of competing bid pricing; (3) Hold Bidder B and Bidder C's commercial terms in confidence for the duration of any re-tender process.</w:t>
      </w:r>
    </w:p>
    <w:p>
      <w:r>
        <w:t xml:space="preserve"/>
      </w:r>
    </w:p>
    <w:p>
      <w:r>
        <w:t xml:space="preserve">Submitted by:  Priya Kumar, Procurement Lead</w:t>
      </w:r>
    </w:p>
    <w:p>
      <w:r>
        <w:t xml:space="preserve">Reviewed by:   Catherine Ohiro, Legal Counsel — Commercial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C1_Tender_Evaluation_Commercial</dc:title>
  <dc:subject>Detection-coverage benchmark — commercial pathway</dc:subject>
  <dc:creator>Veil Bench Fixture Generator</dc:creator>
  <cp:keywords>veil bench fixture commercial trade-secret negotiation</cp:keywords>
  <dc:description>Synthetic commercial-pathway benchmark fixture</dc:description>
  <cp:lastModifiedBy>Veil Bench Fixture Generator</cp:lastModifiedBy>
  <cp:revision>1</cp:revision>
  <dcterms:created xsi:type="dcterms:W3CDTF">2026-04-20T00:00:00.000Z</dcterms:created>
  <dcterms:modified xsi:type="dcterms:W3CDTF">2026-04-20T00:00:00.000Z</dcterms:modified>
</cp:coreProperties>
</file>

<file path=docProps/custom.xml><?xml version="1.0" encoding="utf-8"?>
<Properties xmlns="http://schemas.openxmlformats.org/officeDocument/2006/custom-properties" xmlns:vt="http://schemas.openxmlformats.org/officeDocument/2006/docPropsVTypes"/>
</file>