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LGOIMA Disclosure Package — Synthetic Test Fixture</w:t>
      </w:r>
    </w:p>
    <w:p>
      <w:r>
        <w:t xml:space="preserve"/>
      </w:r>
    </w:p>
    <w:p>
      <w:r>
        <w:t xml:space="preserve"/>
      </w:r>
    </w:p>
    <w:p>
      <w:pPr>
        <w:jc w:val="center"/>
      </w:pPr>
      <w:r>
        <w:rPr>
          <w:i/>
          <w:iCs/>
        </w:rPr>
        <w:t xml:space="preserve">Case reference: LGOIMA-2026-LARGE-FIXTURE</w:t>
      </w:r>
    </w:p>
    <w:p>
      <w:r>
        <w:br w:type="page"/>
      </w:r>
    </w:p>
    <w:p>
      <w:pPr>
        <w:pStyle w:val="Heading1"/>
      </w:pPr>
      <w:r>
        <w:t xml:space="preserve">Section 1: Policy context and statutory framing</w:t>
      </w:r>
    </w:p>
    <w:p>
      <w:r>
        <w:t xml:space="preserve">This section records the policy context for LGOIMA request LGOIMA-2026-014. The request was lodged by a member of Ngāti Rangitāne on 15 March 2026 and relates to infrastructure consent decisions made by the Awatere District Council between January and December 2025.</w:t>
      </w:r>
    </w:p>
    <w:p>
      <w:r>
        <w:t xml:space="preserve">Primary respondent: the council's Infrastructure General Manager. Secondary respondents include the Policy Advisor, Legal &amp; Governance, and the RMA Consents Lead. The primary contact for follow-up is maia.rangi@example.nz with a direct line of (06) 759 3400.</w:t>
      </w:r>
    </w:p>
    <w:p>
      <w:pPr>
        <w:pStyle w:val="Heading2"/>
      </w:pPr>
      <w:r>
        <w:t xml:space="preserve">1.1 Relevant statutory provisions</w:t>
      </w:r>
    </w:p>
    <w:p>
      <w:r>
        <w:t xml:space="preserve">Local Government Official Information and Meetings Act 1987, sections 6, 7, and 17. Resource Management Act 1991, sections 6(e) and 7(a). Privacy Act 2020, principle 11 (personal information disclosure). Public Records Act 2005, retention obligations.</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LGOIMA Disclosure Package — Synthetic Test Fixture</dc:title>
  <dc:subject>Phase 2 spike fixture</dc:subject>
  <dc:creator>Veil Test Fixture Generator</dc:creator>
  <cp:keywords>veil lgoima test fixture</cp:keywords>
  <dc:description>Deterministic 20+ page DOCX for Phase 2 latency spike</dc:description>
  <cp:lastModifiedBy>Veil Test Fixture Generator</cp:lastModifiedBy>
  <cp:revision>1</cp:revision>
  <dcterms:created xsi:type="dcterms:W3CDTF">2026-04-01T00:00:00.000Z</dcterms:created>
  <dcterms:modified xsi:type="dcterms:W3CDTF">2026-04-01T00:00:00.000Z</dcterms:modified>
</cp:coreProperties>
</file>

<file path=docProps/custom.xml><?xml version="1.0" encoding="utf-8"?>
<Properties xmlns="http://schemas.openxmlformats.org/officeDocument/2006/custom-properties" xmlns:vt="http://schemas.openxmlformats.org/officeDocument/2006/docPropsVTypes"/>
</file>