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B22222"/>
          <w:sz w:val="24"/>
          <w:szCs w:val="24"/>
        </w:rPr>
        <w:t xml:space="preserve">STRICTLY CONFIDENTIAL — HR INVESTIGATION FILE</w:t>
      </w:r>
    </w:p>
    <w:p>
      <w:pPr>
        <w:jc w:val="center"/>
      </w:pPr>
      <w:r>
        <w:rPr>
          <w:b/>
          <w:bCs/>
          <w:sz w:val="28"/>
          <w:szCs w:val="28"/>
        </w:rPr>
        <w:t xml:space="preserve">AWATERE DISTRICT COUNCIL</w:t>
      </w:r>
    </w:p>
    <w:p>
      <w:pPr>
        <w:jc w:val="center"/>
      </w:pPr>
      <w:r>
        <w:rPr>
          <w:sz w:val="22"/>
          <w:szCs w:val="22"/>
        </w:rPr>
        <w:t xml:space="preserve">People &amp; Culture Directorate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File reference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HR-INV-2026-018</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Matter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Complaint of workplace bullying — Ferguson v Kellogg</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Investigator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Sarah Mitchell, HR Manager, Awatere District Council</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External adviser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Holroyd Partners (Ben Mahuika, Partner) — subject to legal professional privilege</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Report date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12 March 2026</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Classification</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s7(2)(a) personal information, s9(2)(a) individual privacy, s7(2)(g) legal privilege, s7(2)(f) free and frank</w:t>
            </w:r>
          </w:p>
        </w:tc>
      </w:tr>
    </w:tbl>
    <w:p>
      <w:r>
        <w:t xml:space="preserve"/>
      </w:r>
    </w:p>
    <w:p>
      <w:pPr>
        <w:pStyle w:val="Heading1"/>
      </w:pPr>
      <w:r>
        <w:t xml:space="preserve">1. Parties</w:t>
      </w:r>
    </w:p>
    <w:p>
      <w:pPr>
        <w:pStyle w:val="Heading2"/>
      </w:pPr>
      <w:r>
        <w:t xml:space="preserve">1.1 Complainant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Full name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Helen Margaret Ferguson</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Position</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Team Leader, District Planning</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Date of birth</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14 June 1983</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Employee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ADC-2284</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IRD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108-412-889</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NHI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JKA1234</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NZ driver licence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EA123456</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Home address</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42 Whiteman Street, Awatere 4310</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Personal email</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hferg1983@gmail.com</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Personal mobile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027 412 6789</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Work email</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helen.ferguson@awateredc.govt.nz</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Bank account (for payroll)</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12-3456-7890123-00</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Start date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6 April 2018</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Current salary band</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Band 5 ($102,400 p.a.)</w:t>
            </w:r>
          </w:p>
        </w:tc>
      </w:tr>
    </w:tbl>
    <w:p>
      <w:pPr>
        <w:pStyle w:val="Heading2"/>
      </w:pPr>
      <w:r>
        <w:t xml:space="preserve">1.2 Respondent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Full name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David Michael Kellogg</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Position</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Senior Planner, District Planning</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Date of birth</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3 November 1978</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Employee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ADC-0917</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IRD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049-091-850</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NHI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MNE9087</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NZ passport number</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LA429183</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Home address</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8b Marlin Grove, Awatere 4318</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Personal mobile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022 337 8812</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Work email</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david.kellogg@awateredc.govt.nz</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Start date</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22 January 2009</w:t>
            </w:r>
          </w:p>
        </w:tc>
      </w:tr>
      <w:tr>
        <w:tc>
          <w:tcPr>
            <w:tcW w:type="dxa" w:w="2880"/>
            <w:tcBorders>
              <w:top w:val="single" w:color="BFBFBF" w:sz="1"/>
              <w:left w:val="single" w:color="BFBFBF" w:sz="1"/>
              <w:bottom w:val="single" w:color="BFBFBF" w:sz="1"/>
              <w:right w:val="single" w:color="BFBFBF" w:sz="1"/>
            </w:tcBorders>
            <w:shd w:fill="EEF2F7" w:color="auto" w:val="clear"/>
            <w:tcMar>
              <w:top w:type="dxa" w:w="70"/>
              <w:left w:type="dxa" w:w="120"/>
              <w:bottom w:type="dxa" w:w="70"/>
              <w:right w:type="dxa" w:w="120"/>
            </w:tcMar>
          </w:tcPr>
          <w:p>
            <w:r>
              <w:rPr>
                <w:b/>
                <w:bCs/>
              </w:rPr>
              <w:t xml:space="preserve">Current salary band</w:t>
            </w:r>
          </w:p>
        </w:tc>
        <w:tc>
          <w:tcPr>
            <w:tcW w:type="dxa" w:w="6480"/>
            <w:tcBorders>
              <w:top w:val="single" w:color="BFBFBF" w:sz="1"/>
              <w:left w:val="single" w:color="BFBFBF" w:sz="1"/>
              <w:bottom w:val="single" w:color="BFBFBF" w:sz="1"/>
              <w:right w:val="single" w:color="BFBFBF" w:sz="1"/>
            </w:tcBorders>
            <w:tcMar>
              <w:top w:type="dxa" w:w="70"/>
              <w:left w:type="dxa" w:w="120"/>
              <w:bottom w:type="dxa" w:w="70"/>
              <w:right w:type="dxa" w:w="120"/>
            </w:tcMar>
          </w:tcPr>
          <w:p>
            <w:r>
              <w:t xml:space="preserve">Band 6 ($124,800 p.a.)</w:t>
            </w:r>
          </w:p>
        </w:tc>
      </w:tr>
    </w:tbl>
    <w:p>
      <w:pPr>
        <w:pStyle w:val="Heading1"/>
      </w:pPr>
      <w:r>
        <w:t xml:space="preserve">2. Summary of complaint</w:t>
      </w:r>
    </w:p>
    <w:p>
      <w:r>
        <w:t xml:space="preserve">On 23 February 2026 Ms Ferguson lodged a formal written complaint under the Council's Positive Workplace Policy alleging a sustained pattern of bullying behaviour by Mr Kellogg over a period of approximately 14 months. The substantive allegations are summarised as follows:</w:t>
      </w:r>
    </w:p>
    <w:p>
      <w:pPr>
        <w:pStyle w:val="ListParagraph"/>
        <w:numPr>
          <w:ilvl w:val="0"/>
          <w:numId w:val="2"/>
        </w:numPr>
      </w:pPr>
      <w:r>
        <w:t xml:space="preserve">Repeated belittling remarks in front of junior staff;</w:t>
      </w:r>
    </w:p>
    <w:p>
      <w:pPr>
        <w:pStyle w:val="ListParagraph"/>
        <w:numPr>
          <w:ilvl w:val="0"/>
          <w:numId w:val="2"/>
        </w:numPr>
      </w:pPr>
      <w:r>
        <w:t xml:space="preserve">Public criticism of Ms Ferguson's professional competence in a team meeting on 17 November 2025 and again on 4 February 2026;</w:t>
      </w:r>
    </w:p>
    <w:p>
      <w:pPr>
        <w:pStyle w:val="ListParagraph"/>
        <w:numPr>
          <w:ilvl w:val="0"/>
          <w:numId w:val="2"/>
        </w:numPr>
      </w:pPr>
      <w:r>
        <w:t xml:space="preserve">Withholding of information and approvals required for Ms Ferguson to perform her role;</w:t>
      </w:r>
    </w:p>
    <w:p>
      <w:pPr>
        <w:pStyle w:val="ListParagraph"/>
        <w:numPr>
          <w:ilvl w:val="0"/>
          <w:numId w:val="2"/>
        </w:numPr>
      </w:pPr>
      <w:r>
        <w:t xml:space="preserve">One specific incident on 11 February 2026 in which Mr Kellogg is alleged to have said, "you're out of your depth — you got this job because they needed a woman on the panel," in the presence of two witnesses.</w:t>
      </w:r>
    </w:p>
    <w:p>
      <w:pPr>
        <w:pStyle w:val="Heading1"/>
      </w:pPr>
      <w:r>
        <w:t xml:space="preserve">3. Medical and wellbeing information</w:t>
      </w:r>
    </w:p>
    <w:p>
      <w:r>
        <w:t xml:space="preserve">Ms Ferguson has been on personal leave since 15 February 2026. Her general practitioner, Dr Sarah Liang of Awatere Medical Centre (s.liang@awateremedical.co.nz, (06) 759 2217), has provided a medical certificate dated 15 February 2026 recording a diagnosis of adjustment disorder with mixed anxiety and depressed mood (ICD-10 F43.23). A further medical certificate dated 2 March 2026 extends leave through to 29 March 2026.</w:t>
      </w:r>
    </w:p>
    <w:p>
      <w:r>
        <w:rPr>
          <w:i/>
          <w:iCs/>
        </w:rPr>
        <w:t xml:space="preserve">Ms Ferguson has authorised the investigator to contact her GP in writing but not verbally. EAP counselling has been arranged through Benestar (session reference BEN-48291).</w:t>
      </w:r>
    </w:p>
    <w:p>
      <w:pPr>
        <w:pStyle w:val="Heading1"/>
      </w:pPr>
      <w:r>
        <w:t xml:space="preserve">4. Interviews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BFBFBF" w:sz="1"/>
              <w:left w:val="single" w:color="BFBFBF" w:sz="1"/>
              <w:bottom w:val="single" w:color="BFBFBF" w:sz="1"/>
              <w:right w:val="single" w:color="BFBFBF" w:sz="1"/>
            </w:tcBorders>
            <w:shd w:fill="1F3A5F" w:color="auto" w:val="clear"/>
            <w:tcMar>
              <w:top w:type="dxa" w:w="80"/>
              <w:left w:type="dxa" w:w="120"/>
              <w:bottom w:type="dxa" w:w="80"/>
              <w:right w:type="dxa" w:w="120"/>
            </w:tcMar>
          </w:tcPr>
          <w:p>
            <w:r>
              <w:rPr>
                <w:b/>
                <w:bCs/>
                <w:color w:val="FFFFFF"/>
              </w:rPr>
              <w:t xml:space="preserve">Witness</w:t>
            </w:r>
          </w:p>
        </w:tc>
        <w:tc>
          <w:tcPr>
            <w:tcW w:type="dxa" w:w="2400"/>
            <w:tcBorders>
              <w:top w:val="single" w:color="BFBFBF" w:sz="1"/>
              <w:left w:val="single" w:color="BFBFBF" w:sz="1"/>
              <w:bottom w:val="single" w:color="BFBFBF" w:sz="1"/>
              <w:right w:val="single" w:color="BFBFBF" w:sz="1"/>
            </w:tcBorders>
            <w:shd w:fill="1F3A5F" w:color="auto" w:val="clear"/>
            <w:tcMar>
              <w:top w:type="dxa" w:w="80"/>
              <w:left w:type="dxa" w:w="120"/>
              <w:bottom w:type="dxa" w:w="80"/>
              <w:right w:type="dxa" w:w="120"/>
            </w:tcMar>
          </w:tcPr>
          <w:p>
            <w:r>
              <w:rPr>
                <w:b/>
                <w:bCs/>
                <w:color w:val="FFFFFF"/>
              </w:rPr>
              <w:t xml:space="preserve">Role</w:t>
            </w:r>
          </w:p>
        </w:tc>
        <w:tc>
          <w:tcPr>
            <w:tcW w:type="dxa" w:w="2400"/>
            <w:tcBorders>
              <w:top w:val="single" w:color="BFBFBF" w:sz="1"/>
              <w:left w:val="single" w:color="BFBFBF" w:sz="1"/>
              <w:bottom w:val="single" w:color="BFBFBF" w:sz="1"/>
              <w:right w:val="single" w:color="BFBFBF" w:sz="1"/>
            </w:tcBorders>
            <w:shd w:fill="1F3A5F" w:color="auto" w:val="clear"/>
            <w:tcMar>
              <w:top w:type="dxa" w:w="80"/>
              <w:left w:type="dxa" w:w="120"/>
              <w:bottom w:type="dxa" w:w="80"/>
              <w:right w:type="dxa" w:w="120"/>
            </w:tcMar>
          </w:tcPr>
          <w:p>
            <w:r>
              <w:rPr>
                <w:b/>
                <w:bCs/>
                <w:color w:val="FFFFFF"/>
              </w:rPr>
              <w:t xml:space="preserve">Contact</w:t>
            </w:r>
          </w:p>
        </w:tc>
        <w:tc>
          <w:tcPr>
            <w:tcW w:type="dxa" w:w="1560"/>
            <w:tcBorders>
              <w:top w:val="single" w:color="BFBFBF" w:sz="1"/>
              <w:left w:val="single" w:color="BFBFBF" w:sz="1"/>
              <w:bottom w:val="single" w:color="BFBFBF" w:sz="1"/>
              <w:right w:val="single" w:color="BFBFBF" w:sz="1"/>
            </w:tcBorders>
            <w:shd w:fill="1F3A5F" w:color="auto" w:val="clear"/>
            <w:tcMar>
              <w:top w:type="dxa" w:w="80"/>
              <w:left w:type="dxa" w:w="120"/>
              <w:bottom w:type="dxa" w:w="80"/>
              <w:right w:type="dxa" w:w="120"/>
            </w:tcMar>
          </w:tcPr>
          <w:p>
            <w:r>
              <w:rPr>
                <w:b/>
                <w:bCs/>
                <w:color w:val="FFFFFF"/>
              </w:rPr>
              <w:t xml:space="preserve">Date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Angela Torres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Senior Planner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angela.torres@awateredc.govt.nz</w:t>
            </w:r>
          </w:p>
          <w:p>
            <w:r>
              <w:t xml:space="preserve">021 887 3021</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26 Feb 2026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Jonathan Briggs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Graduate Planner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j.briggs@awateredc.govt.nz</w:t>
            </w:r>
          </w:p>
          <w:p>
            <w:r>
              <w:t xml:space="preserve">027 129 4480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27 Feb 2026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Priya Sharma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Director, Planning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priya.sharma@awateredc.govt.nz</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 Mar 2026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Mere Rauhihi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Executive Assistant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mere.rauhihi@awateredc.govt.nz</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Mar 2026</w:t>
            </w:r>
          </w:p>
        </w:tc>
      </w:tr>
    </w:tbl>
    <w:p>
      <w:r>
        <w:t xml:space="preserve"/>
      </w:r>
    </w:p>
    <w:p>
      <w:pPr>
        <w:pStyle w:val="Heading1"/>
      </w:pPr>
      <w:r>
        <w:t xml:space="preserve">5. Findings of fact</w:t>
      </w:r>
    </w:p>
    <w:p>
      <w:r>
        <w:t xml:space="preserve">On the balance of probabilities the investigator finds that:</w:t>
      </w:r>
    </w:p>
    <w:p>
      <w:pPr>
        <w:pStyle w:val="ListParagraph"/>
        <w:numPr>
          <w:ilvl w:val="0"/>
          <w:numId w:val="2"/>
        </w:numPr>
      </w:pPr>
      <w:r>
        <w:t xml:space="preserve">The 17 November 2025 and 4 February 2026 incidents occurred substantially as described by the complainant and corroborated by Ms Torres and Mr Briggs.</w:t>
      </w:r>
    </w:p>
    <w:p>
      <w:pPr>
        <w:pStyle w:val="ListParagraph"/>
        <w:numPr>
          <w:ilvl w:val="0"/>
          <w:numId w:val="2"/>
        </w:numPr>
      </w:pPr>
      <w:r>
        <w:t xml:space="preserve">The remark attributed to Mr Kellogg on 11 February 2026 was made in the terms alleged. Ms Torres, who was present, provided a contemporaneous note at the time.</w:t>
      </w:r>
    </w:p>
    <w:p>
      <w:pPr>
        <w:pStyle w:val="ListParagraph"/>
        <w:numPr>
          <w:ilvl w:val="0"/>
          <w:numId w:val="2"/>
        </w:numPr>
      </w:pPr>
      <w:r>
        <w:t xml:space="preserve">There is no evidence that Mr Kellogg has been systematically withholding approvals, although his communication style has at times been curt.</w:t>
      </w:r>
    </w:p>
    <w:p>
      <w:pPr>
        <w:pStyle w:val="ListParagraph"/>
        <w:numPr>
          <w:ilvl w:val="0"/>
          <w:numId w:val="2"/>
        </w:numPr>
      </w:pPr>
      <w:r>
        <w:t xml:space="preserve">Mr Kellogg's conduct on 11 February 2026 in particular falls below the standard expected of a senior employee and, in the investigator's view, constitutes bullying as defined in the Council's policy.</w:t>
      </w:r>
    </w:p>
    <w:p>
      <w:pPr>
        <w:pStyle w:val="Heading1"/>
      </w:pPr>
      <w:r>
        <w:t xml:space="preserve">6. Candid investigator commentary (free and frank)</w:t>
      </w:r>
    </w:p>
    <w:p>
      <w:r>
        <w:t xml:space="preserve">This section is provided for the Chief Executive only and is not part of the formal findings. It would materially chill future investigator candour if it were released (s7(2)(f)):</w:t>
      </w:r>
    </w:p>
    <w:p>
      <w:r>
        <w:t xml:space="preserve">In my assessment Mr Kellogg's conduct crosses the line of what is acceptable, but this is not a clear-cut case. Both parties have credibility issues. Ms Ferguson has a reputation among her peers for being abrasive and for escalating minor disagreements. Two witnesses (not named in the formal findings to avoid retaliation) described her management style as "exhausting". That does not excuse the conduct complained of, but it is relevant context for any remedy.</w:t>
      </w:r>
    </w:p>
    <w:p>
      <w:r>
        <w:rPr>
          <w:i/>
          <w:iCs/>
        </w:rPr>
        <w:t xml:space="preserve">My honest read is that this matter is better resolved by a facilitated conversation and a formal written warning, rather than by dismissal. A dismissal would almost certainly result in a personal grievance and, given the mixed evidence, Council would be exposed to a significant settlement risk. Ben Mahuika's initial estimate (covered in his separate privileged advice) is that our settlement range in the event of a PG is $55,000 — $110,000 plus costs.</w:t>
      </w:r>
    </w:p>
    <w:p>
      <w:pPr>
        <w:pStyle w:val="Heading1"/>
      </w:pPr>
      <w:r>
        <w:t xml:space="preserve">7. Recommendations</w:t>
      </w:r>
    </w:p>
    <w:p>
      <w:pPr>
        <w:pStyle w:val="ListParagraph"/>
        <w:numPr>
          <w:ilvl w:val="0"/>
          <w:numId w:val="2"/>
        </w:numPr>
      </w:pPr>
      <w:r>
        <w:t xml:space="preserve">Issue Mr Kellogg with a final written warning in accordance with clause 24 of his individual employment agreement;</w:t>
      </w:r>
    </w:p>
    <w:p>
      <w:pPr>
        <w:pStyle w:val="ListParagraph"/>
        <w:numPr>
          <w:ilvl w:val="0"/>
          <w:numId w:val="2"/>
        </w:numPr>
      </w:pPr>
      <w:r>
        <w:t xml:space="preserve">Require Mr Kellogg to attend accredited leadership coaching at Council's expense;</w:t>
      </w:r>
    </w:p>
    <w:p>
      <w:pPr>
        <w:pStyle w:val="ListParagraph"/>
        <w:numPr>
          <w:ilvl w:val="0"/>
          <w:numId w:val="2"/>
        </w:numPr>
      </w:pPr>
      <w:r>
        <w:t xml:space="preserve">Arrange a return-to-work plan for Ms Ferguson with reporting line temporarily altered to the Director;</w:t>
      </w:r>
    </w:p>
    <w:p>
      <w:pPr>
        <w:pStyle w:val="ListParagraph"/>
        <w:numPr>
          <w:ilvl w:val="0"/>
          <w:numId w:val="2"/>
        </w:numPr>
      </w:pPr>
      <w:r>
        <w:t xml:space="preserve">Record the outcome on both personnel files; close the complaint subject to acceptance by both parties.</w:t>
      </w:r>
    </w:p>
    <w:p>
      <w:r>
        <w:t xml:space="preserve"/>
      </w:r>
    </w:p>
    <w:p>
      <w:r>
        <w:t xml:space="preserve">Prepared by: Sarah Mitchell, HR Manager</w:t>
      </w:r>
    </w:p>
    <w:p>
      <w:r>
        <w:t xml:space="preserve">Signed: [signature on file]</w:t>
      </w:r>
    </w:p>
    <w:p>
      <w:r>
        <w:t xml:space="preserve">Date: 12 March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Investigation Report — Kellogg/Ferguson</dc:title>
  <dc:creator>Awatere District Council</dc:creator>
  <cp:lastModifiedBy>Un-named</cp:lastModifiedBy>
  <cp:revision>1</cp:revision>
  <dcterms:created xsi:type="dcterms:W3CDTF">2026-04-16T21:30:05.994Z</dcterms:created>
  <dcterms:modified xsi:type="dcterms:W3CDTF">2026-04-16T21:30:05.996Z</dcterms:modified>
</cp:coreProperties>
</file>

<file path=docProps/custom.xml><?xml version="1.0" encoding="utf-8"?>
<Properties xmlns="http://schemas.openxmlformats.org/officeDocument/2006/custom-properties" xmlns:vt="http://schemas.openxmlformats.org/officeDocument/2006/docPropsVTypes"/>
</file>