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Building a Health-Domain Language Model</w:t>
      </w:r>
    </w:p>
    <w:p>
      <w:pPr>
        <w:pStyle w:val="Heading3"/>
      </w:pPr>
      <w:r>
        <w:t>A technical journal for Prosit 1, Section C (domain-adapted English model)</w:t>
      </w:r>
    </w:p>
    <w:p>
      <w:r>
        <w:rPr>
          <w:b/>
          <w:i w:val="0"/>
        </w:rPr>
        <w:t>Project:</w:t>
      </w:r>
      <w:r>
        <w:rPr>
          <w:b w:val="0"/>
          <w:i w:val="0"/>
        </w:rPr>
        <w:t xml:space="preserve"> Fine-tuning an open language model (Qwen3.5-2B-Base) to work as a general-practice (GP) style health assistant</w:t>
      </w:r>
      <w:r>
        <w:br/>
      </w:r>
      <w:r>
        <w:rPr>
          <w:b/>
          <w:i w:val="0"/>
        </w:rPr>
        <w:t>Course:</w:t>
      </w:r>
      <w:r>
        <w:rPr>
          <w:b w:val="0"/>
          <w:i w:val="0"/>
        </w:rPr>
        <w:t xml:space="preserve"> ICS554 Natural Language Processing, Ashesi University (Master's in Intelligent Computing Systems)</w:t>
      </w:r>
      <w:r>
        <w:br/>
      </w:r>
      <w:r>
        <w:rPr>
          <w:b/>
          <w:i w:val="0"/>
        </w:rPr>
        <w:t>Code repository:</w:t>
      </w:r>
      <w:r>
        <w:rPr>
          <w:b w:val="0"/>
          <w:i w:val="0"/>
        </w:rPr>
        <w:t xml:space="preserve"> </w:t>
      </w:r>
      <w:r>
        <w:rPr>
          <w:b w:val="0"/>
          <w:i/>
        </w:rPr>
        <w:t>(paste your GitHub link here; the prosit requires it on page 1 of the report and the slides)</w:t>
      </w:r>
    </w:p>
    <w:p>
      <w:pPr>
        <w:pBdr>
          <w:bottom w:val="single" w:sz="6" w:space="4" w:color="999999"/>
        </w:pBdr>
      </w:pPr>
    </w:p>
    <w:p>
      <w:pPr>
        <w:pStyle w:val="Heading2"/>
      </w:pPr>
      <w:r>
        <w:t>How to use this document</w:t>
      </w:r>
    </w:p>
    <w:p>
      <w:r>
        <w:rPr>
          <w:b w:val="0"/>
          <w:i w:val="0"/>
        </w:rPr>
        <w:t xml:space="preserve">This is a </w:t>
      </w:r>
      <w:r>
        <w:rPr>
          <w:b/>
          <w:i w:val="0"/>
        </w:rPr>
        <w:t>working journal</w:t>
      </w:r>
      <w:r>
        <w:rPr>
          <w:b w:val="0"/>
          <w:i w:val="0"/>
        </w:rPr>
        <w:t>, written so that two kinds of reader can follow it:</w:t>
      </w:r>
    </w:p>
    <w:p>
      <w:pPr>
        <w:spacing w:after="60"/>
        <w:ind w:left="510" w:hanging="283"/>
      </w:pPr>
      <w:r>
        <w:rPr>
          <w:b w:val="0"/>
          <w:i w:val="0"/>
        </w:rPr>
        <w:t xml:space="preserve">•  a </w:t>
      </w:r>
      <w:r>
        <w:rPr>
          <w:b/>
          <w:i w:val="0"/>
        </w:rPr>
        <w:t>lay reader</w:t>
      </w:r>
      <w:r>
        <w:rPr>
          <w:b w:val="0"/>
          <w:i w:val="0"/>
        </w:rPr>
        <w:t xml:space="preserve"> can read only the boxes marked </w:t>
      </w:r>
      <w:r>
        <w:rPr>
          <w:b/>
          <w:i w:val="0"/>
        </w:rPr>
        <w:t>In plain words</w:t>
      </w:r>
      <w:r>
        <w:rPr>
          <w:b w:val="0"/>
          <w:i w:val="0"/>
        </w:rPr>
        <w:t xml:space="preserve"> and still understand what was done and why;</w:t>
      </w:r>
    </w:p>
    <w:p>
      <w:pPr>
        <w:spacing w:after="60"/>
        <w:ind w:left="510" w:hanging="283"/>
      </w:pPr>
      <w:r>
        <w:rPr>
          <w:b w:val="0"/>
          <w:i w:val="0"/>
        </w:rPr>
        <w:t xml:space="preserve">•  a </w:t>
      </w:r>
      <w:r>
        <w:rPr>
          <w:b/>
          <w:i w:val="0"/>
        </w:rPr>
        <w:t>technical reader</w:t>
      </w:r>
      <w:r>
        <w:rPr>
          <w:b w:val="0"/>
          <w:i w:val="0"/>
        </w:rPr>
        <w:t xml:space="preserve"> (you, your lecturer) gets the details, formulas, settings and evidence underneath each box.</w:t>
      </w:r>
    </w:p>
    <w:p>
      <w:r>
        <w:rPr>
          <w:b w:val="0"/>
          <w:i w:val="0"/>
        </w:rPr>
        <w:t>It is organised around the six questions of Section C of the prosit, followed by lessons learned, a viva-preparation sheet and appendices.</w:t>
      </w:r>
    </w:p>
    <w:tbl>
      <w:tblPr>
        <w:tblStyle w:val="TableGrid"/>
        <w:tblW w:type="auto" w:w="0"/>
        <w:tblLayout w:type="fixed"/>
        <w:tblLook w:firstColumn="1" w:firstRow="1" w:lastColumn="0" w:lastRow="0" w:noHBand="0" w:noVBand="1" w:val="04A0"/>
      </w:tblPr>
      <w:tblGrid>
        <w:gridCol w:w="4592"/>
        <w:gridCol w:w="4592"/>
      </w:tblGrid>
      <w:tr>
        <w:tc>
          <w:tcPr>
            <w:tcW w:type="dxa" w:w="4877"/>
            <w:shd w:val="clear" w:color="auto" w:fill="DBE5F1"/>
          </w:tcPr>
          <w:p>
            <w:pPr>
              <w:spacing w:after="20"/>
            </w:pPr>
            <w:r/>
            <w:r>
              <w:rPr>
                <w:b/>
                <w:i w:val="0"/>
                <w:sz w:val="18"/>
              </w:rPr>
              <w:t>Prosit item</w:t>
            </w:r>
          </w:p>
        </w:tc>
        <w:tc>
          <w:tcPr>
            <w:tcW w:type="dxa" w:w="4308"/>
            <w:shd w:val="clear" w:color="auto" w:fill="DBE5F1"/>
          </w:tcPr>
          <w:p>
            <w:pPr>
              <w:spacing w:after="20"/>
            </w:pPr>
            <w:r/>
            <w:r>
              <w:rPr>
                <w:b/>
                <w:i w:val="0"/>
                <w:sz w:val="18"/>
              </w:rPr>
              <w:t>Where to find it here</w:t>
            </w:r>
          </w:p>
        </w:tc>
      </w:tr>
      <w:tr>
        <w:tc>
          <w:tcPr>
            <w:tcW w:type="dxa" w:w="4877"/>
          </w:tcPr>
          <w:p>
            <w:pPr>
              <w:spacing w:after="20"/>
            </w:pPr>
            <w:r/>
            <w:r>
              <w:rPr>
                <w:b w:val="0"/>
                <w:i w:val="0"/>
                <w:sz w:val="18"/>
              </w:rPr>
              <w:t>Section C, Q1 (data)</w:t>
            </w:r>
          </w:p>
        </w:tc>
        <w:tc>
          <w:tcPr>
            <w:tcW w:type="dxa" w:w="4308"/>
          </w:tcPr>
          <w:p>
            <w:pPr>
              <w:spacing w:after="20"/>
            </w:pPr>
            <w:r/>
            <w:r>
              <w:rPr>
                <w:b w:val="0"/>
                <w:i w:val="0"/>
                <w:sz w:val="18"/>
              </w:rPr>
              <w:t>Part 3</w:t>
            </w:r>
          </w:p>
        </w:tc>
      </w:tr>
      <w:tr>
        <w:tc>
          <w:tcPr>
            <w:tcW w:type="dxa" w:w="4877"/>
          </w:tcPr>
          <w:p>
            <w:pPr>
              <w:spacing w:after="20"/>
            </w:pPr>
            <w:r/>
            <w:r>
              <w:rPr>
                <w:b w:val="0"/>
                <w:i w:val="0"/>
                <w:sz w:val="18"/>
              </w:rPr>
              <w:t>Section C, Q2 (approaches, and which one and why)</w:t>
            </w:r>
          </w:p>
        </w:tc>
        <w:tc>
          <w:tcPr>
            <w:tcW w:type="dxa" w:w="4308"/>
          </w:tcPr>
          <w:p>
            <w:pPr>
              <w:spacing w:after="20"/>
            </w:pPr>
            <w:r/>
            <w:r>
              <w:rPr>
                <w:b w:val="0"/>
                <w:i w:val="0"/>
                <w:sz w:val="18"/>
              </w:rPr>
              <w:t>Part 4</w:t>
            </w:r>
          </w:p>
        </w:tc>
      </w:tr>
      <w:tr>
        <w:tc>
          <w:tcPr>
            <w:tcW w:type="dxa" w:w="4877"/>
          </w:tcPr>
          <w:p>
            <w:pPr>
              <w:spacing w:after="20"/>
            </w:pPr>
            <w:r/>
            <w:r>
              <w:rPr>
                <w:b w:val="0"/>
                <w:i w:val="0"/>
                <w:sz w:val="18"/>
              </w:rPr>
              <w:t>Section C, Q3 (how you trained; what convinced you it was learning)</w:t>
            </w:r>
          </w:p>
        </w:tc>
        <w:tc>
          <w:tcPr>
            <w:tcW w:type="dxa" w:w="4308"/>
          </w:tcPr>
          <w:p>
            <w:pPr>
              <w:spacing w:after="20"/>
            </w:pPr>
            <w:r/>
            <w:r>
              <w:rPr>
                <w:b w:val="0"/>
                <w:i w:val="0"/>
                <w:sz w:val="18"/>
              </w:rPr>
              <w:t>Part 5</w:t>
            </w:r>
          </w:p>
        </w:tc>
      </w:tr>
      <w:tr>
        <w:tc>
          <w:tcPr>
            <w:tcW w:type="dxa" w:w="4877"/>
          </w:tcPr>
          <w:p>
            <w:pPr>
              <w:spacing w:after="20"/>
            </w:pPr>
            <w:r/>
            <w:r>
              <w:rPr>
                <w:b w:val="0"/>
                <w:i w:val="0"/>
                <w:sz w:val="18"/>
              </w:rPr>
              <w:t>Section C, Q4 (how you evaluated)</w:t>
            </w:r>
          </w:p>
        </w:tc>
        <w:tc>
          <w:tcPr>
            <w:tcW w:type="dxa" w:w="4308"/>
          </w:tcPr>
          <w:p>
            <w:pPr>
              <w:spacing w:after="20"/>
            </w:pPr>
            <w:r/>
            <w:r>
              <w:rPr>
                <w:b w:val="0"/>
                <w:i w:val="0"/>
                <w:sz w:val="18"/>
              </w:rPr>
              <w:t>Part 6</w:t>
            </w:r>
          </w:p>
        </w:tc>
      </w:tr>
      <w:tr>
        <w:tc>
          <w:tcPr>
            <w:tcW w:type="dxa" w:w="4877"/>
          </w:tcPr>
          <w:p>
            <w:pPr>
              <w:spacing w:after="20"/>
            </w:pPr>
            <w:r/>
            <w:r>
              <w:rPr>
                <w:b w:val="0"/>
                <w:i w:val="0"/>
                <w:sz w:val="18"/>
              </w:rPr>
              <w:t>Section C, Q5 (results)</w:t>
            </w:r>
          </w:p>
        </w:tc>
        <w:tc>
          <w:tcPr>
            <w:tcW w:type="dxa" w:w="4308"/>
          </w:tcPr>
          <w:p>
            <w:pPr>
              <w:spacing w:after="20"/>
            </w:pPr>
            <w:r/>
            <w:r>
              <w:rPr>
                <w:b w:val="0"/>
                <w:i w:val="0"/>
                <w:sz w:val="18"/>
              </w:rPr>
              <w:t>Part 7 (</w:t>
            </w:r>
            <w:r>
              <w:rPr>
                <w:b/>
                <w:i w:val="0"/>
                <w:sz w:val="18"/>
              </w:rPr>
              <w:t>to be filled after the Colab run</w:t>
            </w:r>
            <w:r>
              <w:rPr>
                <w:b w:val="0"/>
                <w:i w:val="0"/>
                <w:sz w:val="18"/>
              </w:rPr>
              <w:t>)</w:t>
            </w:r>
          </w:p>
        </w:tc>
      </w:tr>
      <w:tr>
        <w:tc>
          <w:tcPr>
            <w:tcW w:type="dxa" w:w="4877"/>
          </w:tcPr>
          <w:p>
            <w:pPr>
              <w:spacing w:after="20"/>
            </w:pPr>
            <w:r/>
            <w:r>
              <w:rPr>
                <w:b w:val="0"/>
                <w:i w:val="0"/>
                <w:sz w:val="18"/>
              </w:rPr>
              <w:t>Section C, Q6 (what else we should know)</w:t>
            </w:r>
          </w:p>
        </w:tc>
        <w:tc>
          <w:tcPr>
            <w:tcW w:type="dxa" w:w="4308"/>
          </w:tcPr>
          <w:p>
            <w:pPr>
              <w:spacing w:after="20"/>
            </w:pPr>
            <w:r/>
            <w:r>
              <w:rPr>
                <w:b w:val="0"/>
                <w:i w:val="0"/>
                <w:sz w:val="18"/>
              </w:rPr>
              <w:t>Part 8</w:t>
            </w:r>
          </w:p>
        </w:tc>
      </w:tr>
      <w:tr>
        <w:tc>
          <w:tcPr>
            <w:tcW w:type="dxa" w:w="4877"/>
          </w:tcPr>
          <w:p>
            <w:pPr>
              <w:spacing w:after="20"/>
            </w:pPr>
            <w:r/>
            <w:r>
              <w:rPr>
                <w:b w:val="0"/>
                <w:i w:val="0"/>
                <w:sz w:val="18"/>
              </w:rPr>
              <w:t>Section A, Q9 to Q13 (pre-training, instruction tuning, alignment, fine-tuning, ethics)</w:t>
            </w:r>
          </w:p>
        </w:tc>
        <w:tc>
          <w:tcPr>
            <w:tcW w:type="dxa" w:w="4308"/>
          </w:tcPr>
          <w:p>
            <w:pPr>
              <w:spacing w:after="20"/>
            </w:pPr>
            <w:r/>
            <w:r>
              <w:rPr>
                <w:b w:val="0"/>
                <w:i w:val="0"/>
                <w:sz w:val="18"/>
              </w:rPr>
              <w:t>Parts 2, 5, 8 give worked examples you can cite</w:t>
            </w:r>
          </w:p>
        </w:tc>
      </w:tr>
      <w:tr>
        <w:tc>
          <w:tcPr>
            <w:tcW w:type="dxa" w:w="4877"/>
          </w:tcPr>
          <w:p>
            <w:pPr>
              <w:spacing w:after="20"/>
            </w:pPr>
            <w:r/>
            <w:r>
              <w:rPr>
                <w:b w:val="0"/>
                <w:i w:val="0"/>
                <w:sz w:val="18"/>
              </w:rPr>
              <w:t>Section B (n-gram model)</w:t>
            </w:r>
          </w:p>
        </w:tc>
        <w:tc>
          <w:tcPr>
            <w:tcW w:type="dxa" w:w="4308"/>
          </w:tcPr>
          <w:p>
            <w:pPr>
              <w:spacing w:after="20"/>
            </w:pPr>
            <w:r/>
            <w:r>
              <w:rPr>
                <w:b w:val="0"/>
                <w:i w:val="0"/>
                <w:sz w:val="18"/>
              </w:rPr>
              <w:t>Not covered here: merge with your Section B journal</w:t>
            </w:r>
          </w:p>
        </w:tc>
      </w:tr>
      <w:tr>
        <w:tc>
          <w:tcPr>
            <w:tcW w:type="dxa" w:w="4877"/>
          </w:tcPr>
          <w:p>
            <w:pPr>
              <w:spacing w:after="20"/>
            </w:pPr>
            <w:r/>
            <w:r>
              <w:rPr>
                <w:b w:val="0"/>
                <w:i w:val="0"/>
                <w:sz w:val="18"/>
              </w:rPr>
              <w:t>Viva (35% of the grade)</w:t>
            </w:r>
          </w:p>
        </w:tc>
        <w:tc>
          <w:tcPr>
            <w:tcW w:type="dxa" w:w="4308"/>
          </w:tcPr>
          <w:p>
            <w:pPr>
              <w:spacing w:after="20"/>
            </w:pPr>
            <w:r/>
            <w:r>
              <w:rPr>
                <w:b w:val="0"/>
                <w:i w:val="0"/>
                <w:sz w:val="18"/>
              </w:rPr>
              <w:t>Appendix D</w:t>
            </w:r>
          </w:p>
        </w:tc>
      </w:tr>
    </w:tbl>
    <w:p>
      <w:pPr>
        <w:spacing w:after="40"/>
      </w:pPr>
    </w:p>
    <w:p>
      <w:pPr>
        <w:spacing w:after="40"/>
        <w:ind w:left="227"/>
        <w:shd w:val="clear" w:color="auto" w:fill="EEF3FA"/>
        <w:pBdr>
          <w:left w:val="single" w:sz="18" w:space="4" w:color="2F5496"/>
        </w:pBdr>
      </w:pPr>
      <w:r>
        <w:rPr>
          <w:b/>
          <w:i w:val="0"/>
        </w:rPr>
        <w:t>Important honesty notes</w:t>
      </w:r>
    </w:p>
    <w:p>
      <w:pPr>
        <w:spacing w:after="40"/>
        <w:ind w:left="227"/>
        <w:shd w:val="clear" w:color="auto" w:fill="EEF3FA"/>
        <w:pBdr>
          <w:left w:val="single" w:sz="18" w:space="4" w:color="2F5496"/>
        </w:pBdr>
      </w:pPr>
      <w:r>
        <w:rPr>
          <w:b w:val="0"/>
          <w:i w:val="0"/>
        </w:rPr>
        <w:t xml:space="preserve">1. </w:t>
      </w:r>
      <w:r>
        <w:rPr>
          <w:b/>
          <w:i w:val="0"/>
        </w:rPr>
        <w:t>Results are not in yet.</w:t>
      </w:r>
      <w:r>
        <w:rPr>
          <w:b w:val="0"/>
          <w:i w:val="0"/>
        </w:rPr>
        <w:t xml:space="preserve"> Everything about the data, code and design is real and was tested on the laptop. The training itself runs on Google Colab, and the numbers in Part 7 are marked </w:t>
      </w:r>
      <w:r>
        <w:rPr>
          <w:b/>
          <w:i w:val="0"/>
        </w:rPr>
        <w:t>TBD</w:t>
      </w:r>
      <w:r>
        <w:rPr>
          <w:b w:val="0"/>
          <w:i w:val="0"/>
        </w:rPr>
        <w:t xml:space="preserve"> until you run it. Do not present TBD values as findings.</w:t>
      </w:r>
    </w:p>
    <w:p>
      <w:pPr>
        <w:spacing w:after="40"/>
        <w:ind w:left="227"/>
        <w:shd w:val="clear" w:color="auto" w:fill="EEF3FA"/>
        <w:pBdr>
          <w:left w:val="single" w:sz="18" w:space="4" w:color="2F5496"/>
        </w:pBdr>
      </w:pPr>
      <w:r>
        <w:rPr>
          <w:b w:val="0"/>
          <w:i w:val="0"/>
        </w:rPr>
        <w:t xml:space="preserve">2. </w:t>
      </w:r>
      <w:r>
        <w:rPr>
          <w:b/>
          <w:i w:val="0"/>
        </w:rPr>
        <w:t>Write the final report in your own words.</w:t>
      </w:r>
      <w:r>
        <w:rPr>
          <w:b w:val="0"/>
          <w:i w:val="0"/>
        </w:rPr>
        <w:t xml:space="preserve"> Section A of the prosit explicitly asks for your own synthesis, and the viva tests whether you understand the work. Use this journal as a scaffold and a fact sheet, then rewrite and add your own reasoning.</w:t>
      </w:r>
    </w:p>
    <w:p>
      <w:pPr>
        <w:spacing w:after="160"/>
        <w:ind w:left="227"/>
        <w:shd w:val="clear" w:color="auto" w:fill="EEF3FA"/>
        <w:pBdr>
          <w:left w:val="single" w:sz="18" w:space="4" w:color="2F5496"/>
        </w:pBdr>
      </w:pPr>
      <w:r>
        <w:rPr>
          <w:b w:val="0"/>
          <w:i w:val="0"/>
        </w:rPr>
        <w:t xml:space="preserve">3. Sections B and C are meant to have </w:t>
      </w:r>
      <w:r>
        <w:rPr>
          <w:b/>
          <w:i w:val="0"/>
        </w:rPr>
        <w:t>the same content across the team</w:t>
      </w:r>
      <w:r>
        <w:rPr>
          <w:b w:val="0"/>
          <w:i w:val="0"/>
        </w:rPr>
        <w:t>. Agree the wording of Section C with your teammates.</w:t>
      </w:r>
    </w:p>
    <w:p>
      <w:pPr>
        <w:pBdr>
          <w:bottom w:val="single" w:sz="6" w:space="4" w:color="999999"/>
        </w:pBdr>
      </w:pPr>
    </w:p>
    <w:p>
      <w:pPr>
        <w:pStyle w:val="Heading2"/>
      </w:pPr>
      <w:r>
        <w:t>Part 1. The project in one page</w:t>
      </w:r>
    </w:p>
    <w:p>
      <w:pPr>
        <w:spacing w:after="160"/>
        <w:ind w:left="227"/>
        <w:shd w:val="clear" w:color="auto" w:fill="EEF3FA"/>
        <w:pBdr>
          <w:left w:val="single" w:sz="18" w:space="4" w:color="2F5496"/>
        </w:pBdr>
      </w:pPr>
      <w:r>
        <w:rPr>
          <w:b/>
          <w:i w:val="0"/>
        </w:rPr>
        <w:t>In plain words.</w:t>
      </w:r>
      <w:r>
        <w:rPr>
          <w:b w:val="0"/>
          <w:i w:val="0"/>
        </w:rPr>
        <w:t xml:space="preserve"> A </w:t>
      </w:r>
      <w:r>
        <w:rPr>
          <w:b w:val="0"/>
          <w:i/>
        </w:rPr>
        <w:t>language model</w:t>
      </w:r>
      <w:r>
        <w:rPr>
          <w:b w:val="0"/>
          <w:i w:val="0"/>
        </w:rPr>
        <w:t xml:space="preserve"> is a computer program that has learned, from a huge amount of text, which words tend to follow which. Big ones (LLMs) can then answer questions and write text. Off the shelf, they are generalists. Our job was to take one open model and make it better at </w:t>
      </w:r>
      <w:r>
        <w:rPr>
          <w:b/>
          <w:i w:val="0"/>
        </w:rPr>
        <w:t>health</w:t>
      </w:r>
      <w:r>
        <w:rPr>
          <w:b w:val="0"/>
          <w:i w:val="0"/>
        </w:rPr>
        <w:t xml:space="preserve"> by giving it more health reading and some practice at answering health questions, like a medical student who first reads widely and then practises consultations. Then we measure whether it really improved, using tests it has never seen.</w:t>
      </w:r>
    </w:p>
    <w:p>
      <w:r>
        <w:rPr>
          <w:b/>
          <w:i w:val="0"/>
        </w:rPr>
        <w:t>Goal.</w:t>
      </w:r>
      <w:r>
        <w:rPr>
          <w:b w:val="0"/>
          <w:i w:val="0"/>
        </w:rPr>
        <w:t xml:space="preserve"> Adapt an existing English LLM to the health domain, specifically </w:t>
      </w:r>
      <w:r>
        <w:rPr>
          <w:b w:val="0"/>
          <w:i/>
        </w:rPr>
        <w:t>general consultation</w:t>
      </w:r>
      <w:r>
        <w:rPr>
          <w:b w:val="0"/>
          <w:i w:val="0"/>
        </w:rPr>
        <w:t>: a patient describes symptoms, and the model suggests likely explanations, questions to ask, sensible next steps, and warning signs that need urgent care. Ghana is our setting, so the training text includes the Ghana Standard Treatment Guidelines.</w:t>
      </w:r>
    </w:p>
    <w:p>
      <w:r>
        <w:rPr>
          <w:b/>
          <w:i w:val="0"/>
        </w:rPr>
        <w:t>What we built.</w:t>
      </w:r>
    </w:p>
    <w:p>
      <w:pPr>
        <w:spacing w:after="60"/>
        <w:ind w:left="510" w:hanging="283"/>
      </w:pPr>
      <w:r>
        <w:rPr>
          <w:b w:val="0"/>
          <w:i w:val="0"/>
        </w:rPr>
        <w:t xml:space="preserve">1.  A </w:t>
      </w:r>
      <w:r>
        <w:rPr>
          <w:b/>
          <w:i w:val="0"/>
        </w:rPr>
        <w:t>data collection and preparation pipeline</w:t>
      </w:r>
      <w:r>
        <w:rPr>
          <w:b w:val="0"/>
          <w:i w:val="0"/>
        </w:rPr>
        <w:t xml:space="preserve"> that gathers about 14 million words of open health text and about 9,000 medical question-and-answer examples, tracks the licence of every source, and sets aside test data </w:t>
      </w:r>
      <w:r>
        <w:rPr>
          <w:b w:val="0"/>
          <w:i/>
        </w:rPr>
        <w:t>before</w:t>
      </w:r>
      <w:r>
        <w:rPr>
          <w:b w:val="0"/>
          <w:i w:val="0"/>
        </w:rPr>
        <w:t xml:space="preserve"> any training.</w:t>
      </w:r>
    </w:p>
    <w:p>
      <w:pPr>
        <w:spacing w:after="60"/>
        <w:ind w:left="510" w:hanging="283"/>
      </w:pPr>
      <w:r>
        <w:rPr>
          <w:b w:val="0"/>
          <w:i w:val="0"/>
        </w:rPr>
        <w:t xml:space="preserve">2.  A </w:t>
      </w:r>
      <w:r>
        <w:rPr>
          <w:b/>
          <w:i w:val="0"/>
        </w:rPr>
        <w:t>two-stage training recipe</w:t>
      </w:r>
      <w:r>
        <w:rPr>
          <w:b w:val="0"/>
          <w:i w:val="0"/>
        </w:rPr>
        <w:t xml:space="preserve"> run on a free Google Colab T4 GPU: Stage 1 </w:t>
      </w:r>
      <w:r>
        <w:rPr>
          <w:b w:val="0"/>
          <w:i/>
        </w:rPr>
        <w:t>continued pre-training</w:t>
      </w:r>
      <w:r>
        <w:rPr>
          <w:b w:val="0"/>
          <w:i w:val="0"/>
        </w:rPr>
        <w:t xml:space="preserve"> (read widely), Stage 2 </w:t>
      </w:r>
      <w:r>
        <w:rPr>
          <w:b w:val="0"/>
          <w:i/>
        </w:rPr>
        <w:t>instruction tuning</w:t>
      </w:r>
      <w:r>
        <w:rPr>
          <w:b w:val="0"/>
          <w:i w:val="0"/>
        </w:rPr>
        <w:t xml:space="preserve"> (practise answering).</w:t>
      </w:r>
    </w:p>
    <w:p>
      <w:pPr>
        <w:spacing w:after="60"/>
        <w:ind w:left="510" w:hanging="283"/>
      </w:pPr>
      <w:r>
        <w:rPr>
          <w:b w:val="0"/>
          <w:i w:val="0"/>
        </w:rPr>
        <w:t xml:space="preserve">3.  An </w:t>
      </w:r>
      <w:r>
        <w:rPr>
          <w:b/>
          <w:i w:val="0"/>
        </w:rPr>
        <w:t>evaluation harness</w:t>
      </w:r>
      <w:r>
        <w:rPr>
          <w:b w:val="0"/>
          <w:i w:val="0"/>
        </w:rPr>
        <w:t xml:space="preserve"> that compares three models on identical tests: the untouched base model (A), base plus Stage 1 (B), and base plus Stages 1 and 2 (C).</w:t>
      </w:r>
    </w:p>
    <w:p>
      <w:pPr>
        <w:jc w:val="center"/>
      </w:pPr>
      <w:r>
        <w:drawing>
          <wp:inline xmlns:a="http://schemas.openxmlformats.org/drawingml/2006/main" xmlns:pic="http://schemas.openxmlformats.org/drawingml/2006/picture">
            <wp:extent cx="5486400" cy="1913641"/>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486400" cy="1913641"/>
                    </a:xfrm>
                    <a:prstGeom prst="rect"/>
                  </pic:spPr>
                </pic:pic>
              </a:graphicData>
            </a:graphic>
          </wp:inline>
        </w:drawing>
      </w:r>
    </w:p>
    <w:p>
      <w:r>
        <w:rPr>
          <w:b w:val="0"/>
          <w:i/>
        </w:rPr>
        <w:t>Figure 1. The pipeline. Held-out test data is separated in step 2, before any model sees the training text.</w:t>
      </w:r>
    </w:p>
    <w:p>
      <w:r>
        <w:rPr>
          <w:b/>
          <w:i w:val="0"/>
        </w:rPr>
        <w:t>What this is not.</w:t>
      </w:r>
      <w:r>
        <w:rPr>
          <w:b w:val="0"/>
          <w:i w:val="0"/>
        </w:rPr>
        <w:t xml:space="preserve"> It is not a medical device. It has not been validated by clinicians. It is a learning exercise in adapting language models, and its outputs must never replace professional care.</w:t>
      </w:r>
    </w:p>
    <w:p>
      <w:pPr>
        <w:pBdr>
          <w:bottom w:val="single" w:sz="6" w:space="4" w:color="999999"/>
        </w:pBdr>
      </w:pPr>
    </w:p>
    <w:p>
      <w:pPr>
        <w:pStyle w:val="Heading2"/>
      </w:pPr>
      <w:r>
        <w:t>Part 2. Background you need (simple first, then technical)</w:t>
      </w:r>
    </w:p>
    <w:p>
      <w:pPr>
        <w:pStyle w:val="Heading3"/>
      </w:pPr>
      <w:r>
        <w:t>2.1 Language models and next-word prediction</w:t>
      </w:r>
    </w:p>
    <w:p>
      <w:pPr>
        <w:spacing w:after="160"/>
        <w:ind w:left="227"/>
        <w:shd w:val="clear" w:color="auto" w:fill="EEF3FA"/>
        <w:pBdr>
          <w:left w:val="single" w:sz="18" w:space="4" w:color="2F5496"/>
        </w:pBdr>
      </w:pPr>
      <w:r>
        <w:rPr>
          <w:b/>
          <w:i w:val="0"/>
        </w:rPr>
        <w:t>In plain words.</w:t>
      </w:r>
      <w:r>
        <w:rPr>
          <w:b w:val="0"/>
          <w:i w:val="0"/>
        </w:rPr>
        <w:t xml:space="preserve"> Imagine your phone's keyboard suggesting the next word. A language model does that at enormous scale. Nobody teaches it grammar or medicine directly; it becomes good at both because predicting the next word well requires knowing them.</w:t>
      </w:r>
    </w:p>
    <w:p>
      <w:r>
        <w:rPr>
          <w:b/>
          <w:i w:val="0"/>
        </w:rPr>
        <w:t>Technical.</w:t>
      </w:r>
      <w:r>
        <w:rPr>
          <w:b w:val="0"/>
          <w:i w:val="0"/>
        </w:rPr>
        <w:t xml:space="preserve"> A language model assigns a probability to text. It factorises the probability of a sequence of tokens x₁…x_N by the chain rule:</w:t>
      </w:r>
    </w:p>
    <w:p>
      <w:pPr>
        <w:shd w:val="clear" w:color="auto" w:fill="F3F3F3"/>
      </w:pPr>
      <w:r>
        <w:rPr>
          <w:rFonts w:ascii="Consolas" w:hAnsi="Consolas"/>
          <w:sz w:val="18"/>
        </w:rPr>
        <w:t>P(x₁, …, x_N) = Π_{i=1..N}  P(x_i | x₁, …, x_{i-1})</w:t>
      </w:r>
    </w:p>
    <w:p>
      <w:r>
        <w:rPr>
          <w:b w:val="0"/>
          <w:i w:val="0"/>
        </w:rPr>
        <w:t xml:space="preserve">A neural LLM (a Transformer-style network, with parameters θ) outputs P_θ(x_i | x_{&lt;i}). Training minimises the average negative log-likelihood, called </w:t>
      </w:r>
      <w:r>
        <w:rPr>
          <w:b w:val="0"/>
          <w:i/>
        </w:rPr>
        <w:t>cross-entropy loss</w:t>
      </w:r>
      <w:r>
        <w:rPr>
          <w:b w:val="0"/>
          <w:i w:val="0"/>
        </w:rPr>
        <w:t>:</w:t>
      </w:r>
    </w:p>
    <w:p>
      <w:pPr>
        <w:shd w:val="clear" w:color="auto" w:fill="F3F3F3"/>
      </w:pPr>
      <w:r>
        <w:rPr>
          <w:rFonts w:ascii="Consolas" w:hAnsi="Consolas"/>
          <w:sz w:val="18"/>
        </w:rPr>
        <w:t>Loss(θ) = − (1/N) Σ_i  log P_θ(x_i | x_{&lt;i})</w:t>
      </w:r>
    </w:p>
    <w:p>
      <w:r>
        <w:rPr>
          <w:b w:val="0"/>
          <w:i w:val="0"/>
        </w:rPr>
        <w:t xml:space="preserve">A </w:t>
      </w:r>
      <w:r>
        <w:rPr>
          <w:b w:val="0"/>
          <w:i/>
        </w:rPr>
        <w:t>token</w:t>
      </w:r>
      <w:r>
        <w:rPr>
          <w:b w:val="0"/>
          <w:i w:val="0"/>
        </w:rPr>
        <w:t xml:space="preserve"> is a piece of a word (for example "diabetes" may be one token, an unusual drug name several).</w:t>
      </w:r>
    </w:p>
    <w:p>
      <w:pPr>
        <w:pStyle w:val="Heading3"/>
      </w:pPr>
      <w:r>
        <w:t>2.2 The three ideas behind our two stages</w:t>
      </w:r>
    </w:p>
    <w:tbl>
      <w:tblPr>
        <w:tblStyle w:val="TableGrid"/>
        <w:tblW w:type="auto" w:w="0"/>
        <w:tblLayout w:type="fixed"/>
        <w:tblLook w:firstColumn="1" w:firstRow="1" w:lastColumn="0" w:lastRow="0" w:noHBand="0" w:noVBand="1" w:val="04A0"/>
      </w:tblPr>
      <w:tblGrid>
        <w:gridCol w:w="2296"/>
        <w:gridCol w:w="2296"/>
        <w:gridCol w:w="2296"/>
        <w:gridCol w:w="2296"/>
      </w:tblGrid>
      <w:tr>
        <w:tc>
          <w:tcPr>
            <w:tcW w:type="dxa" w:w="2097"/>
            <w:shd w:val="clear" w:color="auto" w:fill="DBE5F1"/>
          </w:tcPr>
          <w:p>
            <w:pPr>
              <w:spacing w:after="20"/>
            </w:pPr>
            <w:r/>
            <w:r>
              <w:rPr>
                <w:b/>
                <w:i w:val="0"/>
                <w:sz w:val="18"/>
              </w:rPr>
              <w:t>Term</w:t>
            </w:r>
          </w:p>
        </w:tc>
        <w:tc>
          <w:tcPr>
            <w:tcW w:type="dxa" w:w="2055"/>
            <w:shd w:val="clear" w:color="auto" w:fill="DBE5F1"/>
          </w:tcPr>
          <w:p>
            <w:pPr>
              <w:spacing w:after="20"/>
            </w:pPr>
            <w:r/>
            <w:r>
              <w:rPr>
                <w:b/>
                <w:i w:val="0"/>
                <w:sz w:val="18"/>
              </w:rPr>
              <w:t>Everyday analogy</w:t>
            </w:r>
          </w:p>
        </w:tc>
        <w:tc>
          <w:tcPr>
            <w:tcW w:type="dxa" w:w="2516"/>
            <w:shd w:val="clear" w:color="auto" w:fill="DBE5F1"/>
          </w:tcPr>
          <w:p>
            <w:pPr>
              <w:spacing w:after="20"/>
            </w:pPr>
            <w:r/>
            <w:r>
              <w:rPr>
                <w:b/>
                <w:i w:val="0"/>
                <w:sz w:val="18"/>
              </w:rPr>
              <w:t>What the model does</w:t>
            </w:r>
          </w:p>
        </w:tc>
        <w:tc>
          <w:tcPr>
            <w:tcW w:type="dxa" w:w="2516"/>
            <w:shd w:val="clear" w:color="auto" w:fill="DBE5F1"/>
          </w:tcPr>
          <w:p>
            <w:pPr>
              <w:spacing w:after="20"/>
            </w:pPr>
            <w:r/>
            <w:r>
              <w:rPr>
                <w:b/>
                <w:i w:val="0"/>
                <w:sz w:val="18"/>
              </w:rPr>
              <w:t>In our project</w:t>
            </w:r>
          </w:p>
        </w:tc>
      </w:tr>
      <w:tr>
        <w:tc>
          <w:tcPr>
            <w:tcW w:type="dxa" w:w="2097"/>
          </w:tcPr>
          <w:p>
            <w:pPr>
              <w:spacing w:after="20"/>
            </w:pPr>
            <w:r/>
            <w:r>
              <w:rPr>
                <w:b/>
                <w:i w:val="0"/>
                <w:sz w:val="18"/>
              </w:rPr>
              <w:t>Pre-training</w:t>
            </w:r>
          </w:p>
        </w:tc>
        <w:tc>
          <w:tcPr>
            <w:tcW w:type="dxa" w:w="2055"/>
          </w:tcPr>
          <w:p>
            <w:pPr>
              <w:spacing w:after="20"/>
            </w:pPr>
            <w:r/>
            <w:r>
              <w:rPr>
                <w:b w:val="0"/>
                <w:i w:val="0"/>
                <w:sz w:val="18"/>
              </w:rPr>
              <w:t>A child learning language by reading everything</w:t>
            </w:r>
          </w:p>
        </w:tc>
        <w:tc>
          <w:tcPr>
            <w:tcW w:type="dxa" w:w="2516"/>
          </w:tcPr>
          <w:p>
            <w:pPr>
              <w:spacing w:after="20"/>
            </w:pPr>
            <w:r/>
            <w:r>
              <w:rPr>
                <w:b w:val="0"/>
                <w:i w:val="0"/>
                <w:sz w:val="18"/>
              </w:rPr>
              <w:t>Predict the next token over a vast, general corpus</w:t>
            </w:r>
          </w:p>
        </w:tc>
        <w:tc>
          <w:tcPr>
            <w:tcW w:type="dxa" w:w="2516"/>
          </w:tcPr>
          <w:p>
            <w:pPr>
              <w:spacing w:after="20"/>
            </w:pPr>
            <w:r/>
            <w:r>
              <w:rPr>
                <w:b w:val="0"/>
                <w:i w:val="0"/>
                <w:sz w:val="18"/>
              </w:rPr>
              <w:t>Already done by Alibaba (the Qwen team). We start from that result.</w:t>
            </w:r>
          </w:p>
        </w:tc>
      </w:tr>
      <w:tr>
        <w:tc>
          <w:tcPr>
            <w:tcW w:type="dxa" w:w="2097"/>
          </w:tcPr>
          <w:p>
            <w:pPr>
              <w:spacing w:after="20"/>
            </w:pPr>
            <w:r/>
            <w:r>
              <w:rPr>
                <w:b/>
                <w:i w:val="0"/>
                <w:sz w:val="18"/>
              </w:rPr>
              <w:t>Continued pre-training</w:t>
            </w:r>
            <w:r>
              <w:rPr>
                <w:b w:val="0"/>
                <w:i w:val="0"/>
                <w:sz w:val="18"/>
              </w:rPr>
              <w:t xml:space="preserve"> (domain adaptation)</w:t>
            </w:r>
          </w:p>
        </w:tc>
        <w:tc>
          <w:tcPr>
            <w:tcW w:type="dxa" w:w="2055"/>
          </w:tcPr>
          <w:p>
            <w:pPr>
              <w:spacing w:after="20"/>
            </w:pPr>
            <w:r/>
            <w:r>
              <w:rPr>
                <w:b w:val="0"/>
                <w:i w:val="0"/>
                <w:sz w:val="18"/>
              </w:rPr>
              <w:t>A doctor-to-be reading medical journals</w:t>
            </w:r>
          </w:p>
        </w:tc>
        <w:tc>
          <w:tcPr>
            <w:tcW w:type="dxa" w:w="2516"/>
          </w:tcPr>
          <w:p>
            <w:pPr>
              <w:spacing w:after="20"/>
            </w:pPr>
            <w:r/>
            <w:r>
              <w:rPr>
                <w:b w:val="0"/>
                <w:i w:val="0"/>
                <w:sz w:val="18"/>
              </w:rPr>
              <w:t>Same objective as pre-training, but on domain text</w:t>
            </w:r>
          </w:p>
        </w:tc>
        <w:tc>
          <w:tcPr>
            <w:tcW w:type="dxa" w:w="2516"/>
          </w:tcPr>
          <w:p>
            <w:pPr>
              <w:spacing w:after="20"/>
            </w:pPr>
            <w:r/>
            <w:r>
              <w:rPr>
                <w:b/>
                <w:i w:val="0"/>
                <w:sz w:val="18"/>
              </w:rPr>
              <w:t>Stage 1</w:t>
            </w:r>
            <w:r>
              <w:rPr>
                <w:b w:val="0"/>
                <w:i w:val="0"/>
                <w:sz w:val="18"/>
              </w:rPr>
              <w:t>: PubMed Central, MedlinePlus, Ghana guidelines</w:t>
            </w:r>
          </w:p>
        </w:tc>
      </w:tr>
      <w:tr>
        <w:tc>
          <w:tcPr>
            <w:tcW w:type="dxa" w:w="2097"/>
          </w:tcPr>
          <w:p>
            <w:pPr>
              <w:spacing w:after="20"/>
            </w:pPr>
            <w:r/>
            <w:r>
              <w:rPr>
                <w:b/>
                <w:i w:val="0"/>
                <w:sz w:val="18"/>
              </w:rPr>
              <w:t>Instruction tuning</w:t>
            </w:r>
            <w:r>
              <w:rPr>
                <w:b w:val="0"/>
                <w:i w:val="0"/>
                <w:sz w:val="18"/>
              </w:rPr>
              <w:t xml:space="preserve"> (supervised fine-tuning, SFT)</w:t>
            </w:r>
          </w:p>
        </w:tc>
        <w:tc>
          <w:tcPr>
            <w:tcW w:type="dxa" w:w="2055"/>
          </w:tcPr>
          <w:p>
            <w:pPr>
              <w:spacing w:after="20"/>
            </w:pPr>
            <w:r/>
            <w:r>
              <w:rPr>
                <w:b w:val="0"/>
                <w:i w:val="0"/>
                <w:sz w:val="18"/>
              </w:rPr>
              <w:t>Practising consultations with a supervisor</w:t>
            </w:r>
          </w:p>
        </w:tc>
        <w:tc>
          <w:tcPr>
            <w:tcW w:type="dxa" w:w="2516"/>
          </w:tcPr>
          <w:p>
            <w:pPr>
              <w:spacing w:after="20"/>
            </w:pPr>
            <w:r/>
            <w:r>
              <w:rPr>
                <w:b w:val="0"/>
                <w:i w:val="0"/>
                <w:sz w:val="18"/>
              </w:rPr>
              <w:t xml:space="preserve">Learn to </w:t>
            </w:r>
            <w:r>
              <w:rPr>
                <w:b w:val="0"/>
                <w:i/>
                <w:sz w:val="18"/>
              </w:rPr>
              <w:t>respond</w:t>
            </w:r>
            <w:r>
              <w:rPr>
                <w:b w:val="0"/>
                <w:i w:val="0"/>
                <w:sz w:val="18"/>
              </w:rPr>
              <w:t xml:space="preserve"> to a request in a useful format, with the loss counted only on the answer</w:t>
            </w:r>
          </w:p>
        </w:tc>
        <w:tc>
          <w:tcPr>
            <w:tcW w:type="dxa" w:w="2516"/>
          </w:tcPr>
          <w:p>
            <w:pPr>
              <w:spacing w:after="20"/>
            </w:pPr>
            <w:r/>
            <w:r>
              <w:rPr>
                <w:b/>
                <w:i w:val="0"/>
                <w:sz w:val="18"/>
              </w:rPr>
              <w:t>Stage 2</w:t>
            </w:r>
            <w:r>
              <w:rPr>
                <w:b w:val="0"/>
                <w:i w:val="0"/>
                <w:sz w:val="18"/>
              </w:rPr>
              <w:t>: about 6,000 to 9,000 medical Q&amp;A examples</w:t>
            </w:r>
          </w:p>
        </w:tc>
      </w:tr>
      <w:tr>
        <w:tc>
          <w:tcPr>
            <w:tcW w:type="dxa" w:w="2097"/>
          </w:tcPr>
          <w:p>
            <w:pPr>
              <w:spacing w:after="20"/>
            </w:pPr>
            <w:r/>
            <w:r>
              <w:rPr>
                <w:b/>
                <w:i w:val="0"/>
                <w:sz w:val="18"/>
              </w:rPr>
              <w:t>Alignment</w:t>
            </w:r>
            <w:r>
              <w:rPr>
                <w:b w:val="0"/>
                <w:i w:val="0"/>
                <w:sz w:val="18"/>
              </w:rPr>
              <w:t xml:space="preserve"> (not done here)</w:t>
            </w:r>
          </w:p>
        </w:tc>
        <w:tc>
          <w:tcPr>
            <w:tcW w:type="dxa" w:w="2055"/>
          </w:tcPr>
          <w:p>
            <w:pPr>
              <w:spacing w:after="20"/>
            </w:pPr>
            <w:r/>
            <w:r>
              <w:rPr>
                <w:b w:val="0"/>
                <w:i w:val="0"/>
                <w:sz w:val="18"/>
              </w:rPr>
              <w:t>Learning bedside manner and safety</w:t>
            </w:r>
          </w:p>
        </w:tc>
        <w:tc>
          <w:tcPr>
            <w:tcW w:type="dxa" w:w="2516"/>
          </w:tcPr>
          <w:p>
            <w:pPr>
              <w:spacing w:after="20"/>
            </w:pPr>
            <w:r/>
            <w:r>
              <w:rPr>
                <w:b w:val="0"/>
                <w:i w:val="0"/>
                <w:sz w:val="18"/>
              </w:rPr>
              <w:t>Adjust behaviour to human preferences using feedback</w:t>
            </w:r>
          </w:p>
        </w:tc>
        <w:tc>
          <w:tcPr>
            <w:tcW w:type="dxa" w:w="2516"/>
          </w:tcPr>
          <w:p>
            <w:pPr>
              <w:spacing w:after="20"/>
            </w:pPr>
            <w:r/>
            <w:r>
              <w:rPr>
                <w:b w:val="0"/>
                <w:i w:val="0"/>
                <w:sz w:val="18"/>
              </w:rPr>
              <w:t>Out of scope; discussed in Part 8</w:t>
            </w:r>
          </w:p>
        </w:tc>
      </w:tr>
    </w:tbl>
    <w:p>
      <w:pPr>
        <w:spacing w:after="40"/>
      </w:pPr>
    </w:p>
    <w:p>
      <w:r>
        <w:rPr>
          <w:b w:val="0"/>
          <w:i w:val="0"/>
        </w:rPr>
        <w:t xml:space="preserve">A </w:t>
      </w:r>
      <w:r>
        <w:rPr>
          <w:b/>
          <w:i w:val="0"/>
        </w:rPr>
        <w:t>base model</w:t>
      </w:r>
      <w:r>
        <w:rPr>
          <w:b w:val="0"/>
          <w:i w:val="0"/>
        </w:rPr>
        <w:t xml:space="preserve"> has only been pre-trained; it completes text but does not reliably follow instructions. An </w:t>
      </w:r>
      <w:r>
        <w:rPr>
          <w:b/>
          <w:i w:val="0"/>
        </w:rPr>
        <w:t>instruct model</w:t>
      </w:r>
      <w:r>
        <w:rPr>
          <w:b w:val="0"/>
          <w:i w:val="0"/>
        </w:rPr>
        <w:t xml:space="preserve"> has also been instruction-tuned. We deliberately start from the </w:t>
      </w:r>
      <w:r>
        <w:rPr>
          <w:b w:val="0"/>
          <w:i/>
        </w:rPr>
        <w:t>base</w:t>
      </w:r>
      <w:r>
        <w:rPr>
          <w:b w:val="0"/>
          <w:i w:val="0"/>
        </w:rPr>
        <w:t xml:space="preserve"> model (</w:t>
      </w:r>
      <w:r>
        <w:rPr>
          <w:rFonts w:ascii="Consolas" w:hAnsi="Consolas"/>
          <w:b w:val="0"/>
          <w:i w:val="0"/>
          <w:sz w:val="19"/>
        </w:rPr>
        <w:t>Qwen3.5-2B-Base</w:t>
      </w:r>
      <w:r>
        <w:rPr>
          <w:b w:val="0"/>
          <w:i w:val="0"/>
        </w:rPr>
        <w:t>) so that we can attribute every change to our own two stages.</w:t>
      </w:r>
    </w:p>
    <w:p>
      <w:pPr>
        <w:pStyle w:val="Heading3"/>
      </w:pPr>
      <w:r>
        <w:t>2.3 Fine-tuning cheaply: LoRA</w:t>
      </w:r>
    </w:p>
    <w:p>
      <w:pPr>
        <w:spacing w:after="160"/>
        <w:ind w:left="227"/>
        <w:shd w:val="clear" w:color="auto" w:fill="EEF3FA"/>
        <w:pBdr>
          <w:left w:val="single" w:sz="18" w:space="4" w:color="2F5496"/>
        </w:pBdr>
      </w:pPr>
      <w:r>
        <w:rPr>
          <w:b/>
          <w:i w:val="0"/>
        </w:rPr>
        <w:t>In plain words.</w:t>
      </w:r>
      <w:r>
        <w:rPr>
          <w:b w:val="0"/>
          <w:i w:val="0"/>
        </w:rPr>
        <w:t xml:space="preserve"> Retraining all of a model is like rewriting an entire encyclopaedia to add a chapter. LoRA instead attaches a small "sticky note" of new knowledge to each page and leaves the encyclopaedia untouched.</w:t>
      </w:r>
    </w:p>
    <w:p>
      <w:r>
        <w:rPr>
          <w:b/>
          <w:i w:val="0"/>
        </w:rPr>
        <w:t>Technical.</w:t>
      </w:r>
      <w:r>
        <w:rPr>
          <w:b w:val="0"/>
          <w:i w:val="0"/>
        </w:rPr>
        <w:t xml:space="preserve"> For a frozen weight matrix W (d × d), LoRA learns two small matrices B (d × r) and A (r × d) with rank r much smaller than d, and uses</w:t>
      </w:r>
    </w:p>
    <w:p>
      <w:pPr>
        <w:shd w:val="clear" w:color="auto" w:fill="F3F3F3"/>
      </w:pPr>
      <w:r>
        <w:rPr>
          <w:rFonts w:ascii="Consolas" w:hAnsi="Consolas"/>
          <w:sz w:val="18"/>
        </w:rPr>
        <w:t>W' = W + (α / r) · B · A</w:t>
      </w:r>
    </w:p>
    <w:p>
      <w:r>
        <w:rPr>
          <w:b w:val="0"/>
          <w:i w:val="0"/>
        </w:rPr>
        <w:t>Only A and B receive gradient updates. In our runs r = 32 and α = 64 on the attention and feed-forward projection layers (q, k, v, o, gate, up, down). Benefits: far less GPU memory, small files to save (an "adapter"), and the base model stays intact (so "Model A" is exactly recoverable).</w:t>
      </w:r>
    </w:p>
    <w:p>
      <w:pPr>
        <w:jc w:val="center"/>
      </w:pPr>
      <w:r>
        <w:drawing>
          <wp:inline xmlns:a="http://schemas.openxmlformats.org/drawingml/2006/main" xmlns:pic="http://schemas.openxmlformats.org/drawingml/2006/picture">
            <wp:extent cx="5486400" cy="2156133"/>
            <wp:docPr id="2" name="Picture 2"/>
            <wp:cNvGraphicFramePr>
              <a:graphicFrameLocks noChangeAspect="1"/>
            </wp:cNvGraphicFramePr>
            <a:graphic>
              <a:graphicData uri="http://schemas.openxmlformats.org/drawingml/2006/picture">
                <pic:pic>
                  <pic:nvPicPr>
                    <pic:cNvPr id="0" name="lora.png"/>
                    <pic:cNvPicPr/>
                  </pic:nvPicPr>
                  <pic:blipFill>
                    <a:blip r:embed="rId10"/>
                    <a:stretch>
                      <a:fillRect/>
                    </a:stretch>
                  </pic:blipFill>
                  <pic:spPr>
                    <a:xfrm>
                      <a:off x="0" y="0"/>
                      <a:ext cx="5486400" cy="2156133"/>
                    </a:xfrm>
                    <a:prstGeom prst="rect"/>
                  </pic:spPr>
                </pic:pic>
              </a:graphicData>
            </a:graphic>
          </wp:inline>
        </w:drawing>
      </w:r>
    </w:p>
    <w:p>
      <w:r>
        <w:rPr>
          <w:b w:val="0"/>
          <w:i/>
        </w:rPr>
        <w:t>Figure 2. LoRA in one picture.</w:t>
      </w:r>
    </w:p>
    <w:p>
      <w:pPr>
        <w:pStyle w:val="Heading3"/>
      </w:pPr>
      <w:r>
        <w:t>2.4 Perplexity, the standard score for language models</w:t>
      </w:r>
    </w:p>
    <w:p>
      <w:pPr>
        <w:spacing w:after="160"/>
        <w:ind w:left="227"/>
        <w:shd w:val="clear" w:color="auto" w:fill="EEF3FA"/>
        <w:pBdr>
          <w:left w:val="single" w:sz="18" w:space="4" w:color="2F5496"/>
        </w:pBdr>
      </w:pPr>
      <w:r>
        <w:rPr>
          <w:b/>
          <w:i w:val="0"/>
        </w:rPr>
        <w:t>In plain words.</w:t>
      </w:r>
      <w:r>
        <w:rPr>
          <w:b w:val="0"/>
          <w:i w:val="0"/>
        </w:rPr>
        <w:t xml:space="preserve"> Perplexity measures how </w:t>
      </w:r>
      <w:r>
        <w:rPr>
          <w:b w:val="0"/>
          <w:i/>
        </w:rPr>
        <w:t>surprised</w:t>
      </w:r>
      <w:r>
        <w:rPr>
          <w:b w:val="0"/>
          <w:i w:val="0"/>
        </w:rPr>
        <w:t xml:space="preserve"> the model is by real text it has never seen. Lower surprise means the model has a better feel for that kind of writing. If our health training worked, the model should be </w:t>
      </w:r>
      <w:r>
        <w:rPr>
          <w:b w:val="0"/>
          <w:i/>
        </w:rPr>
        <w:t>less surprised</w:t>
      </w:r>
      <w:r>
        <w:rPr>
          <w:b w:val="0"/>
          <w:i w:val="0"/>
        </w:rPr>
        <w:t xml:space="preserve"> by unseen health text.</w:t>
      </w:r>
    </w:p>
    <w:p>
      <w:r>
        <w:rPr>
          <w:b/>
          <w:i w:val="0"/>
        </w:rPr>
        <w:t>Technical.</w:t>
      </w:r>
    </w:p>
    <w:p>
      <w:pPr>
        <w:shd w:val="clear" w:color="auto" w:fill="F3F3F3"/>
      </w:pPr>
      <w:r>
        <w:rPr>
          <w:rFonts w:ascii="Consolas" w:hAnsi="Consolas"/>
          <w:sz w:val="18"/>
        </w:rPr>
        <w:t>Perplexity = exp( − (1/N) Σ_i log P_θ(x_i | x_{&lt;i}) )  = exp(cross-entropy)</w:t>
      </w:r>
    </w:p>
    <w:p>
      <w:r>
        <w:rPr>
          <w:b w:val="0"/>
          <w:i w:val="0"/>
        </w:rPr>
        <w:t xml:space="preserve">It can be read as "the effective number of equally likely next tokens the model is choosing between". Perplexities are only comparable when the </w:t>
      </w:r>
      <w:r>
        <w:rPr>
          <w:b/>
          <w:i w:val="0"/>
        </w:rPr>
        <w:t>tokenizer and the text are identical</w:t>
      </w:r>
      <w:r>
        <w:rPr>
          <w:b w:val="0"/>
          <w:i w:val="0"/>
        </w:rPr>
        <w:t>, which is why all three of our models use the same tokenizer and the same held-out passages.</w:t>
      </w:r>
    </w:p>
    <w:p>
      <w:pPr>
        <w:pBdr>
          <w:bottom w:val="single" w:sz="6" w:space="4" w:color="999999"/>
        </w:pBdr>
      </w:pPr>
    </w:p>
    <w:p>
      <w:pPr>
        <w:pStyle w:val="Heading2"/>
      </w:pPr>
      <w:r>
        <w:t>Part 3. Section C, Q1: What data did we use?</w:t>
      </w:r>
    </w:p>
    <w:p>
      <w:pPr>
        <w:spacing w:after="160"/>
        <w:ind w:left="227"/>
        <w:shd w:val="clear" w:color="auto" w:fill="EEF3FA"/>
        <w:pBdr>
          <w:left w:val="single" w:sz="18" w:space="4" w:color="2F5496"/>
        </w:pBdr>
      </w:pPr>
      <w:r>
        <w:rPr>
          <w:b/>
          <w:i w:val="0"/>
        </w:rPr>
        <w:t>In plain words.</w:t>
      </w:r>
      <w:r>
        <w:rPr>
          <w:b w:val="0"/>
          <w:i w:val="0"/>
        </w:rPr>
        <w:t xml:space="preserve"> We collected free, legally reusable health writing: research articles, patient-information pages, Ghana's national treatment guidelines, and sets of medical exam-style questions with answers. We kept a record of where each item came from and what licence it carries, and we locked away some text for testing before training started.</w:t>
      </w:r>
    </w:p>
    <w:p>
      <w:pPr>
        <w:pStyle w:val="Heading3"/>
      </w:pPr>
      <w:r>
        <w:t>3.1 Sources</w:t>
      </w:r>
    </w:p>
    <w:p>
      <w:r>
        <w:rPr>
          <w:b/>
          <w:i w:val="0"/>
        </w:rPr>
        <w:t>Stage 1 (continued pre-training) text, about 14.0 million words</w:t>
      </w:r>
    </w:p>
    <w:tbl>
      <w:tblPr>
        <w:tblStyle w:val="TableGrid"/>
        <w:tblW w:type="auto" w:w="0"/>
        <w:tblLayout w:type="fixed"/>
        <w:tblLook w:firstColumn="1" w:firstRow="1" w:lastColumn="0" w:lastRow="0" w:noHBand="0" w:noVBand="1" w:val="04A0"/>
      </w:tblPr>
      <w:tblGrid>
        <w:gridCol w:w="2296"/>
        <w:gridCol w:w="2296"/>
        <w:gridCol w:w="2296"/>
        <w:gridCol w:w="2296"/>
      </w:tblGrid>
      <w:tr>
        <w:tc>
          <w:tcPr>
            <w:tcW w:type="dxa" w:w="2471"/>
            <w:shd w:val="clear" w:color="auto" w:fill="DBE5F1"/>
          </w:tcPr>
          <w:p>
            <w:pPr>
              <w:spacing w:after="20"/>
            </w:pPr>
            <w:r/>
            <w:r>
              <w:rPr>
                <w:b/>
                <w:i w:val="0"/>
                <w:sz w:val="18"/>
              </w:rPr>
              <w:t>Source</w:t>
            </w:r>
          </w:p>
        </w:tc>
        <w:tc>
          <w:tcPr>
            <w:tcW w:type="dxa" w:w="1771"/>
            <w:shd w:val="clear" w:color="auto" w:fill="DBE5F1"/>
          </w:tcPr>
          <w:p>
            <w:pPr>
              <w:spacing w:after="20"/>
            </w:pPr>
            <w:r/>
            <w:r>
              <w:rPr>
                <w:b/>
                <w:i w:val="0"/>
                <w:sz w:val="18"/>
              </w:rPr>
              <w:t>What it is</w:t>
            </w:r>
          </w:p>
        </w:tc>
        <w:tc>
          <w:tcPr>
            <w:tcW w:type="dxa" w:w="2471"/>
            <w:shd w:val="clear" w:color="auto" w:fill="DBE5F1"/>
          </w:tcPr>
          <w:p>
            <w:pPr>
              <w:spacing w:after="20"/>
            </w:pPr>
            <w:r/>
            <w:r>
              <w:rPr>
                <w:b/>
                <w:i w:val="0"/>
                <w:sz w:val="18"/>
              </w:rPr>
              <w:t>Amount used</w:t>
            </w:r>
          </w:p>
        </w:tc>
        <w:tc>
          <w:tcPr>
            <w:tcW w:type="dxa" w:w="2471"/>
            <w:shd w:val="clear" w:color="auto" w:fill="DBE5F1"/>
          </w:tcPr>
          <w:p>
            <w:pPr>
              <w:spacing w:after="20"/>
            </w:pPr>
            <w:r/>
            <w:r>
              <w:rPr>
                <w:b/>
                <w:i w:val="0"/>
                <w:sz w:val="18"/>
              </w:rPr>
              <w:t>Licence / terms</w:t>
            </w:r>
          </w:p>
        </w:tc>
      </w:tr>
      <w:tr>
        <w:tc>
          <w:tcPr>
            <w:tcW w:type="dxa" w:w="2471"/>
          </w:tcPr>
          <w:p>
            <w:pPr>
              <w:spacing w:after="20"/>
            </w:pPr>
            <w:r/>
            <w:r>
              <w:rPr>
                <w:b/>
                <w:i w:val="0"/>
                <w:sz w:val="18"/>
              </w:rPr>
              <w:t>PubMed Central Open Access</w:t>
            </w:r>
            <w:r>
              <w:rPr>
                <w:b w:val="0"/>
                <w:i w:val="0"/>
                <w:sz w:val="18"/>
              </w:rPr>
              <w:t xml:space="preserve"> (via the AWS open-data bucket, the sanctioned bulk channel)</w:t>
            </w:r>
          </w:p>
        </w:tc>
        <w:tc>
          <w:tcPr>
            <w:tcW w:type="dxa" w:w="1771"/>
          </w:tcPr>
          <w:p>
            <w:pPr>
              <w:spacing w:after="20"/>
            </w:pPr>
            <w:r/>
            <w:r>
              <w:rPr>
                <w:b w:val="0"/>
                <w:i w:val="0"/>
                <w:sz w:val="18"/>
              </w:rPr>
              <w:t>Full-text research articles</w:t>
            </w:r>
          </w:p>
        </w:tc>
        <w:tc>
          <w:tcPr>
            <w:tcW w:type="dxa" w:w="2471"/>
          </w:tcPr>
          <w:p>
            <w:pPr>
              <w:spacing w:after="20"/>
            </w:pPr>
            <w:r/>
            <w:r>
              <w:rPr>
                <w:b w:val="0"/>
                <w:i w:val="0"/>
                <w:sz w:val="18"/>
              </w:rPr>
              <w:t>about 2,575 randomly sampled clinical articles (13.2M words)</w:t>
            </w:r>
          </w:p>
        </w:tc>
        <w:tc>
          <w:tcPr>
            <w:tcW w:type="dxa" w:w="2471"/>
          </w:tcPr>
          <w:p>
            <w:pPr>
              <w:spacing w:after="20"/>
            </w:pPr>
            <w:r/>
            <w:r>
              <w:rPr>
                <w:b w:val="0"/>
                <w:i w:val="0"/>
                <w:sz w:val="18"/>
              </w:rPr>
              <w:t>Recorded per article: CC BY (1,927), CC BY-NC (521), CC BY-NC-SA (117), CC0 (10). No-derivatives (ND) licences excluded.</w:t>
            </w:r>
          </w:p>
        </w:tc>
      </w:tr>
      <w:tr>
        <w:tc>
          <w:tcPr>
            <w:tcW w:type="dxa" w:w="2471"/>
          </w:tcPr>
          <w:p>
            <w:pPr>
              <w:spacing w:after="20"/>
            </w:pPr>
            <w:r/>
            <w:r>
              <w:rPr>
                <w:b/>
                <w:i w:val="0"/>
                <w:sz w:val="18"/>
              </w:rPr>
              <w:t>MedlinePlus health topics</w:t>
            </w:r>
            <w:r>
              <w:rPr>
                <w:b w:val="0"/>
                <w:i w:val="0"/>
                <w:sz w:val="18"/>
              </w:rPr>
              <w:t xml:space="preserve"> (US National Library of Medicine)</w:t>
            </w:r>
          </w:p>
        </w:tc>
        <w:tc>
          <w:tcPr>
            <w:tcW w:type="dxa" w:w="1771"/>
          </w:tcPr>
          <w:p>
            <w:pPr>
              <w:spacing w:after="20"/>
            </w:pPr>
            <w:r/>
            <w:r>
              <w:rPr>
                <w:b w:val="0"/>
                <w:i w:val="0"/>
                <w:sz w:val="18"/>
              </w:rPr>
              <w:t>Plain-language descriptions of conditions</w:t>
            </w:r>
          </w:p>
        </w:tc>
        <w:tc>
          <w:tcPr>
            <w:tcW w:type="dxa" w:w="2471"/>
          </w:tcPr>
          <w:p>
            <w:pPr>
              <w:spacing w:after="20"/>
            </w:pPr>
            <w:r/>
            <w:r>
              <w:rPr>
                <w:b w:val="0"/>
                <w:i w:val="0"/>
                <w:sz w:val="18"/>
              </w:rPr>
              <w:t>1,014 topics (0.35M words)</w:t>
            </w:r>
          </w:p>
        </w:tc>
        <w:tc>
          <w:tcPr>
            <w:tcW w:type="dxa" w:w="2471"/>
          </w:tcPr>
          <w:p>
            <w:pPr>
              <w:spacing w:after="20"/>
            </w:pPr>
            <w:r/>
            <w:r>
              <w:rPr>
                <w:b w:val="0"/>
                <w:i w:val="0"/>
                <w:sz w:val="18"/>
              </w:rPr>
              <w:t>Public domain; credit "Courtesy of MedlinePlus from the National Library of Medicine"</w:t>
            </w:r>
          </w:p>
        </w:tc>
      </w:tr>
      <w:tr>
        <w:tc>
          <w:tcPr>
            <w:tcW w:type="dxa" w:w="2471"/>
          </w:tcPr>
          <w:p>
            <w:pPr>
              <w:spacing w:after="20"/>
            </w:pPr>
            <w:r/>
            <w:r>
              <w:rPr>
                <w:b/>
                <w:i w:val="0"/>
                <w:sz w:val="18"/>
              </w:rPr>
              <w:t>Ghana Standard Treatment Guidelines (7th ed., 2017)</w:t>
            </w:r>
            <w:r>
              <w:rPr>
                <w:b w:val="0"/>
                <w:i w:val="0"/>
                <w:sz w:val="18"/>
              </w:rPr>
              <w:t xml:space="preserve"> and </w:t>
            </w:r>
            <w:r>
              <w:rPr>
                <w:b/>
                <w:i w:val="0"/>
                <w:sz w:val="18"/>
              </w:rPr>
              <w:t>Essential Medicines List (7th ed., 2017)</w:t>
            </w:r>
          </w:p>
        </w:tc>
        <w:tc>
          <w:tcPr>
            <w:tcW w:type="dxa" w:w="1771"/>
          </w:tcPr>
          <w:p>
            <w:pPr>
              <w:spacing w:after="20"/>
            </w:pPr>
            <w:r/>
            <w:r>
              <w:rPr>
                <w:b w:val="0"/>
                <w:i w:val="0"/>
                <w:sz w:val="18"/>
              </w:rPr>
              <w:t>National clinical guidance</w:t>
            </w:r>
          </w:p>
        </w:tc>
        <w:tc>
          <w:tcPr>
            <w:tcW w:type="dxa" w:w="2471"/>
          </w:tcPr>
          <w:p>
            <w:pPr>
              <w:spacing w:after="20"/>
            </w:pPr>
            <w:r/>
            <w:r>
              <w:rPr>
                <w:b w:val="0"/>
                <w:i w:val="0"/>
                <w:sz w:val="18"/>
              </w:rPr>
              <w:t>176k words (repeated 3× in training so the model actually sees local content)</w:t>
            </w:r>
          </w:p>
        </w:tc>
        <w:tc>
          <w:tcPr>
            <w:tcW w:type="dxa" w:w="2471"/>
          </w:tcPr>
          <w:p>
            <w:pPr>
              <w:spacing w:after="20"/>
            </w:pPr>
            <w:r/>
            <w:r>
              <w:rPr>
                <w:b w:val="0"/>
                <w:i w:val="0"/>
                <w:sz w:val="18"/>
              </w:rPr>
              <w:t>Ghana Ministry of Health publications; reuse terms should be checked before redistribution</w:t>
            </w:r>
          </w:p>
        </w:tc>
      </w:tr>
    </w:tbl>
    <w:p>
      <w:pPr>
        <w:spacing w:after="40"/>
      </w:pPr>
    </w:p>
    <w:p>
      <w:r>
        <w:rPr>
          <w:b/>
          <w:i w:val="0"/>
        </w:rPr>
        <w:t>Stage 2 (instruction tuning) data, 9,000 training and 300 validation examples</w:t>
      </w:r>
    </w:p>
    <w:tbl>
      <w:tblPr>
        <w:tblStyle w:val="TableGrid"/>
        <w:tblW w:type="auto" w:w="0"/>
        <w:tblLayout w:type="fixed"/>
        <w:tblLook w:firstColumn="1" w:firstRow="1" w:lastColumn="0" w:lastRow="0" w:noHBand="0" w:noVBand="1" w:val="04A0"/>
      </w:tblPr>
      <w:tblGrid>
        <w:gridCol w:w="3061"/>
        <w:gridCol w:w="3061"/>
        <w:gridCol w:w="3061"/>
      </w:tblGrid>
      <w:tr>
        <w:tc>
          <w:tcPr>
            <w:tcW w:type="dxa" w:w="3966"/>
            <w:shd w:val="clear" w:color="auto" w:fill="DBE5F1"/>
          </w:tcPr>
          <w:p>
            <w:pPr>
              <w:spacing w:after="20"/>
            </w:pPr>
            <w:r/>
            <w:r>
              <w:rPr>
                <w:b/>
                <w:i w:val="0"/>
                <w:sz w:val="18"/>
              </w:rPr>
              <w:t>Source</w:t>
            </w:r>
          </w:p>
        </w:tc>
        <w:tc>
          <w:tcPr>
            <w:tcW w:type="dxa" w:w="1044"/>
            <w:shd w:val="clear" w:color="auto" w:fill="DBE5F1"/>
          </w:tcPr>
          <w:p>
            <w:pPr>
              <w:spacing w:after="20"/>
            </w:pPr>
            <w:r/>
            <w:r>
              <w:rPr>
                <w:b/>
                <w:i w:val="0"/>
                <w:sz w:val="18"/>
              </w:rPr>
              <w:t>Examples used</w:t>
            </w:r>
          </w:p>
        </w:tc>
        <w:tc>
          <w:tcPr>
            <w:tcW w:type="dxa" w:w="4175"/>
            <w:shd w:val="clear" w:color="auto" w:fill="DBE5F1"/>
          </w:tcPr>
          <w:p>
            <w:pPr>
              <w:spacing w:after="20"/>
            </w:pPr>
            <w:r/>
            <w:r>
              <w:rPr>
                <w:b/>
                <w:i w:val="0"/>
                <w:sz w:val="18"/>
              </w:rPr>
              <w:t>Licence</w:t>
            </w:r>
          </w:p>
        </w:tc>
      </w:tr>
      <w:tr>
        <w:tc>
          <w:tcPr>
            <w:tcW w:type="dxa" w:w="3966"/>
          </w:tcPr>
          <w:p>
            <w:pPr>
              <w:spacing w:after="20"/>
            </w:pPr>
            <w:r/>
            <w:r>
              <w:rPr>
                <w:b w:val="0"/>
                <w:i w:val="0"/>
                <w:sz w:val="18"/>
              </w:rPr>
              <w:t>medical-o1-reasoning-SFT (English)</w:t>
            </w:r>
          </w:p>
        </w:tc>
        <w:tc>
          <w:tcPr>
            <w:tcW w:type="dxa" w:w="1044"/>
          </w:tcPr>
          <w:p>
            <w:pPr>
              <w:spacing w:after="20"/>
            </w:pPr>
            <w:r/>
            <w:r>
              <w:rPr>
                <w:b w:val="0"/>
                <w:i w:val="0"/>
                <w:sz w:val="18"/>
              </w:rPr>
              <w:t>3,000</w:t>
            </w:r>
          </w:p>
        </w:tc>
        <w:tc>
          <w:tcPr>
            <w:tcW w:type="dxa" w:w="4175"/>
          </w:tcPr>
          <w:p>
            <w:pPr>
              <w:spacing w:after="20"/>
            </w:pPr>
            <w:r/>
            <w:r>
              <w:rPr>
                <w:b w:val="0"/>
                <w:i w:val="0"/>
                <w:sz w:val="18"/>
              </w:rPr>
              <w:t>Apache 2.0</w:t>
            </w:r>
          </w:p>
        </w:tc>
      </w:tr>
      <w:tr>
        <w:tc>
          <w:tcPr>
            <w:tcW w:type="dxa" w:w="3966"/>
          </w:tcPr>
          <w:p>
            <w:pPr>
              <w:spacing w:after="20"/>
            </w:pPr>
            <w:r/>
            <w:r>
              <w:rPr>
                <w:b w:val="0"/>
                <w:i w:val="0"/>
                <w:sz w:val="18"/>
              </w:rPr>
              <w:t>MedText (clinical vignettes with diagnosis and plan)</w:t>
            </w:r>
          </w:p>
        </w:tc>
        <w:tc>
          <w:tcPr>
            <w:tcW w:type="dxa" w:w="1044"/>
          </w:tcPr>
          <w:p>
            <w:pPr>
              <w:spacing w:after="20"/>
            </w:pPr>
            <w:r/>
            <w:r>
              <w:rPr>
                <w:b w:val="0"/>
                <w:i w:val="0"/>
                <w:sz w:val="18"/>
              </w:rPr>
              <w:t>1,300</w:t>
            </w:r>
          </w:p>
        </w:tc>
        <w:tc>
          <w:tcPr>
            <w:tcW w:type="dxa" w:w="4175"/>
          </w:tcPr>
          <w:p>
            <w:pPr>
              <w:spacing w:after="20"/>
            </w:pPr>
            <w:r/>
            <w:r>
              <w:rPr>
                <w:b w:val="0"/>
                <w:i w:val="0"/>
                <w:sz w:val="18"/>
              </w:rPr>
              <w:t>CC BY 4.0</w:t>
            </w:r>
          </w:p>
        </w:tc>
      </w:tr>
      <w:tr>
        <w:tc>
          <w:tcPr>
            <w:tcW w:type="dxa" w:w="3966"/>
          </w:tcPr>
          <w:p>
            <w:pPr>
              <w:spacing w:after="20"/>
            </w:pPr>
            <w:r/>
            <w:r>
              <w:rPr>
                <w:b w:val="0"/>
                <w:i w:val="0"/>
                <w:sz w:val="18"/>
              </w:rPr>
              <w:t>MedQuAD (NIH consumer health Q&amp;A)</w:t>
            </w:r>
          </w:p>
        </w:tc>
        <w:tc>
          <w:tcPr>
            <w:tcW w:type="dxa" w:w="1044"/>
          </w:tcPr>
          <w:p>
            <w:pPr>
              <w:spacing w:after="20"/>
            </w:pPr>
            <w:r/>
            <w:r>
              <w:rPr>
                <w:b w:val="0"/>
                <w:i w:val="0"/>
                <w:sz w:val="18"/>
              </w:rPr>
              <w:t>2,500</w:t>
            </w:r>
          </w:p>
        </w:tc>
        <w:tc>
          <w:tcPr>
            <w:tcW w:type="dxa" w:w="4175"/>
          </w:tcPr>
          <w:p>
            <w:pPr>
              <w:spacing w:after="20"/>
            </w:pPr>
            <w:r/>
            <w:r>
              <w:rPr>
                <w:b w:val="0"/>
                <w:i w:val="0"/>
                <w:sz w:val="18"/>
              </w:rPr>
              <w:t>CC BY 4.0 per the original release (the Hugging Face card lists no licence field; verify)</w:t>
            </w:r>
          </w:p>
        </w:tc>
      </w:tr>
      <w:tr>
        <w:tc>
          <w:tcPr>
            <w:tcW w:type="dxa" w:w="3966"/>
          </w:tcPr>
          <w:p>
            <w:pPr>
              <w:spacing w:after="20"/>
            </w:pPr>
            <w:r/>
            <w:r>
              <w:rPr>
                <w:b w:val="0"/>
                <w:i w:val="0"/>
                <w:sz w:val="18"/>
              </w:rPr>
              <w:t>MedMCQA, train split (exam questions with explanations)</w:t>
            </w:r>
          </w:p>
        </w:tc>
        <w:tc>
          <w:tcPr>
            <w:tcW w:type="dxa" w:w="1044"/>
          </w:tcPr>
          <w:p>
            <w:pPr>
              <w:spacing w:after="20"/>
            </w:pPr>
            <w:r/>
            <w:r>
              <w:rPr>
                <w:b w:val="0"/>
                <w:i w:val="0"/>
                <w:sz w:val="18"/>
              </w:rPr>
              <w:t>1,500</w:t>
            </w:r>
          </w:p>
        </w:tc>
        <w:tc>
          <w:tcPr>
            <w:tcW w:type="dxa" w:w="4175"/>
          </w:tcPr>
          <w:p>
            <w:pPr>
              <w:spacing w:after="20"/>
            </w:pPr>
            <w:r/>
            <w:r>
              <w:rPr>
                <w:b w:val="0"/>
                <w:i w:val="0"/>
                <w:sz w:val="18"/>
              </w:rPr>
              <w:t>Apache 2.0</w:t>
            </w:r>
          </w:p>
        </w:tc>
      </w:tr>
      <w:tr>
        <w:tc>
          <w:tcPr>
            <w:tcW w:type="dxa" w:w="3966"/>
          </w:tcPr>
          <w:p>
            <w:pPr>
              <w:spacing w:after="20"/>
            </w:pPr>
            <w:r/>
            <w:r>
              <w:rPr>
                <w:b w:val="0"/>
                <w:i w:val="0"/>
                <w:sz w:val="18"/>
              </w:rPr>
              <w:t>MedQA-USMLE, train split</w:t>
            </w:r>
          </w:p>
        </w:tc>
        <w:tc>
          <w:tcPr>
            <w:tcW w:type="dxa" w:w="1044"/>
          </w:tcPr>
          <w:p>
            <w:pPr>
              <w:spacing w:after="20"/>
            </w:pPr>
            <w:r/>
            <w:r>
              <w:rPr>
                <w:b w:val="0"/>
                <w:i w:val="0"/>
                <w:sz w:val="18"/>
              </w:rPr>
              <w:t>1,000</w:t>
            </w:r>
          </w:p>
        </w:tc>
        <w:tc>
          <w:tcPr>
            <w:tcW w:type="dxa" w:w="4175"/>
          </w:tcPr>
          <w:p>
            <w:pPr>
              <w:spacing w:after="20"/>
            </w:pPr>
            <w:r/>
            <w:r>
              <w:rPr>
                <w:b w:val="0"/>
                <w:i w:val="0"/>
                <w:sz w:val="18"/>
              </w:rPr>
              <w:t>CC BY 4.0</w:t>
            </w:r>
          </w:p>
        </w:tc>
      </w:tr>
    </w:tbl>
    <w:p>
      <w:pPr>
        <w:spacing w:after="40"/>
      </w:pPr>
    </w:p>
    <w:p>
      <w:r>
        <w:rPr>
          <w:b/>
          <w:i w:val="0"/>
        </w:rPr>
        <w:t>Evaluation-only data (never trained on)</w:t>
      </w:r>
    </w:p>
    <w:tbl>
      <w:tblPr>
        <w:tblStyle w:val="TableGrid"/>
        <w:tblW w:type="auto" w:w="0"/>
        <w:tblLayout w:type="fixed"/>
        <w:tblLook w:firstColumn="1" w:firstRow="1" w:lastColumn="0" w:lastRow="0" w:noHBand="0" w:noVBand="1" w:val="04A0"/>
      </w:tblPr>
      <w:tblGrid>
        <w:gridCol w:w="3061"/>
        <w:gridCol w:w="3061"/>
        <w:gridCol w:w="3061"/>
      </w:tblGrid>
      <w:tr>
        <w:tc>
          <w:tcPr>
            <w:tcW w:type="dxa" w:w="3936"/>
            <w:shd w:val="clear" w:color="auto" w:fill="DBE5F1"/>
          </w:tcPr>
          <w:p>
            <w:pPr>
              <w:spacing w:after="20"/>
            </w:pPr>
            <w:r/>
            <w:r>
              <w:rPr>
                <w:b/>
                <w:i w:val="0"/>
                <w:sz w:val="18"/>
              </w:rPr>
              <w:t>Source</w:t>
            </w:r>
          </w:p>
        </w:tc>
        <w:tc>
          <w:tcPr>
            <w:tcW w:type="dxa" w:w="3018"/>
            <w:shd w:val="clear" w:color="auto" w:fill="DBE5F1"/>
          </w:tcPr>
          <w:p>
            <w:pPr>
              <w:spacing w:after="20"/>
            </w:pPr>
            <w:r/>
            <w:r>
              <w:rPr>
                <w:b/>
                <w:i w:val="0"/>
                <w:sz w:val="18"/>
              </w:rPr>
              <w:t>Purpose</w:t>
            </w:r>
          </w:p>
        </w:tc>
        <w:tc>
          <w:tcPr>
            <w:tcW w:type="dxa" w:w="2230"/>
            <w:shd w:val="clear" w:color="auto" w:fill="DBE5F1"/>
          </w:tcPr>
          <w:p>
            <w:pPr>
              <w:spacing w:after="20"/>
            </w:pPr>
            <w:r/>
            <w:r>
              <w:rPr>
                <w:b/>
                <w:i w:val="0"/>
                <w:sz w:val="18"/>
              </w:rPr>
              <w:t>Size used</w:t>
            </w:r>
          </w:p>
        </w:tc>
      </w:tr>
      <w:tr>
        <w:tc>
          <w:tcPr>
            <w:tcW w:type="dxa" w:w="3936"/>
          </w:tcPr>
          <w:p>
            <w:pPr>
              <w:spacing w:after="20"/>
            </w:pPr>
            <w:r/>
            <w:r>
              <w:rPr>
                <w:b w:val="0"/>
                <w:i w:val="0"/>
                <w:sz w:val="18"/>
              </w:rPr>
              <w:t>MedQA test split</w:t>
            </w:r>
          </w:p>
        </w:tc>
        <w:tc>
          <w:tcPr>
            <w:tcW w:type="dxa" w:w="3018"/>
          </w:tcPr>
          <w:p>
            <w:pPr>
              <w:spacing w:after="20"/>
            </w:pPr>
            <w:r/>
            <w:r>
              <w:rPr>
                <w:b w:val="0"/>
                <w:i w:val="0"/>
                <w:sz w:val="18"/>
              </w:rPr>
              <w:t>Multiple-choice exam accuracy</w:t>
            </w:r>
          </w:p>
        </w:tc>
        <w:tc>
          <w:tcPr>
            <w:tcW w:type="dxa" w:w="2230"/>
          </w:tcPr>
          <w:p>
            <w:pPr>
              <w:spacing w:after="20"/>
            </w:pPr>
            <w:r/>
            <w:r>
              <w:rPr>
                <w:b w:val="0"/>
                <w:i w:val="0"/>
                <w:sz w:val="18"/>
              </w:rPr>
              <w:t>up to 500 (default run uses 300)</w:t>
            </w:r>
          </w:p>
        </w:tc>
      </w:tr>
      <w:tr>
        <w:tc>
          <w:tcPr>
            <w:tcW w:type="dxa" w:w="3936"/>
          </w:tcPr>
          <w:p>
            <w:pPr>
              <w:spacing w:after="20"/>
            </w:pPr>
            <w:r/>
            <w:r>
              <w:rPr>
                <w:b w:val="0"/>
                <w:i w:val="0"/>
                <w:sz w:val="18"/>
              </w:rPr>
              <w:t>MedMCQA validation split (single-answer questions)</w:t>
            </w:r>
          </w:p>
        </w:tc>
        <w:tc>
          <w:tcPr>
            <w:tcW w:type="dxa" w:w="3018"/>
          </w:tcPr>
          <w:p>
            <w:pPr>
              <w:spacing w:after="20"/>
            </w:pPr>
            <w:r/>
            <w:r>
              <w:rPr>
                <w:b w:val="0"/>
                <w:i w:val="0"/>
                <w:sz w:val="18"/>
              </w:rPr>
              <w:t>Multiple-choice exam accuracy</w:t>
            </w:r>
          </w:p>
        </w:tc>
        <w:tc>
          <w:tcPr>
            <w:tcW w:type="dxa" w:w="2230"/>
          </w:tcPr>
          <w:p>
            <w:pPr>
              <w:spacing w:after="20"/>
            </w:pPr>
            <w:r/>
            <w:r>
              <w:rPr>
                <w:b w:val="0"/>
                <w:i w:val="0"/>
                <w:sz w:val="18"/>
              </w:rPr>
              <w:t>up to 500 (300)</w:t>
            </w:r>
          </w:p>
        </w:tc>
      </w:tr>
      <w:tr>
        <w:tc>
          <w:tcPr>
            <w:tcW w:type="dxa" w:w="3936"/>
          </w:tcPr>
          <w:p>
            <w:pPr>
              <w:spacing w:after="20"/>
            </w:pPr>
            <w:r/>
            <w:r>
              <w:rPr>
                <w:b w:val="0"/>
                <w:i w:val="0"/>
                <w:sz w:val="18"/>
              </w:rPr>
              <w:t>PubMedQA (labelled)</w:t>
            </w:r>
          </w:p>
        </w:tc>
        <w:tc>
          <w:tcPr>
            <w:tcW w:type="dxa" w:w="3018"/>
          </w:tcPr>
          <w:p>
            <w:pPr>
              <w:spacing w:after="20"/>
            </w:pPr>
            <w:r/>
            <w:r>
              <w:rPr>
                <w:b w:val="0"/>
                <w:i w:val="0"/>
                <w:sz w:val="18"/>
              </w:rPr>
              <w:t>Yes / no / maybe from an abstract</w:t>
            </w:r>
          </w:p>
        </w:tc>
        <w:tc>
          <w:tcPr>
            <w:tcW w:type="dxa" w:w="2230"/>
          </w:tcPr>
          <w:p>
            <w:pPr>
              <w:spacing w:after="20"/>
            </w:pPr>
            <w:r/>
            <w:r>
              <w:rPr>
                <w:b w:val="0"/>
                <w:i w:val="0"/>
                <w:sz w:val="18"/>
              </w:rPr>
              <w:t>up to 500 (300)</w:t>
            </w:r>
          </w:p>
        </w:tc>
      </w:tr>
      <w:tr>
        <w:tc>
          <w:tcPr>
            <w:tcW w:type="dxa" w:w="3936"/>
          </w:tcPr>
          <w:p>
            <w:pPr>
              <w:spacing w:after="20"/>
            </w:pPr>
            <w:r/>
            <w:r>
              <w:rPr>
                <w:b w:val="0"/>
                <w:i w:val="0"/>
                <w:sz w:val="18"/>
              </w:rPr>
              <w:t>WikiText-2 test split (CC BY-SA 3.0)</w:t>
            </w:r>
          </w:p>
        </w:tc>
        <w:tc>
          <w:tcPr>
            <w:tcW w:type="dxa" w:w="3018"/>
          </w:tcPr>
          <w:p>
            <w:pPr>
              <w:spacing w:after="20"/>
            </w:pPr>
            <w:r/>
            <w:r>
              <w:rPr>
                <w:b/>
                <w:i w:val="0"/>
                <w:sz w:val="18"/>
              </w:rPr>
              <w:t>General-English control</w:t>
            </w:r>
            <w:r>
              <w:rPr>
                <w:b w:val="0"/>
                <w:i w:val="0"/>
                <w:sz w:val="18"/>
              </w:rPr>
              <w:t xml:space="preserve"> to detect forgetting</w:t>
            </w:r>
          </w:p>
        </w:tc>
        <w:tc>
          <w:tcPr>
            <w:tcW w:type="dxa" w:w="2230"/>
          </w:tcPr>
          <w:p>
            <w:pPr>
              <w:spacing w:after="20"/>
            </w:pPr>
            <w:r/>
            <w:r>
              <w:rPr>
                <w:b w:val="0"/>
                <w:i w:val="0"/>
                <w:sz w:val="18"/>
              </w:rPr>
              <w:t>150 passages</w:t>
            </w:r>
          </w:p>
        </w:tc>
      </w:tr>
      <w:tr>
        <w:tc>
          <w:tcPr>
            <w:tcW w:type="dxa" w:w="3936"/>
          </w:tcPr>
          <w:p>
            <w:pPr>
              <w:spacing w:after="20"/>
            </w:pPr>
            <w:r/>
            <w:r>
              <w:rPr>
                <w:b w:val="0"/>
                <w:i w:val="0"/>
                <w:sz w:val="18"/>
              </w:rPr>
              <w:t>22 GP vignettes (12 written by us around Ghanaian cases, 10 from held-out MedText)</w:t>
            </w:r>
          </w:p>
        </w:tc>
        <w:tc>
          <w:tcPr>
            <w:tcW w:type="dxa" w:w="3018"/>
          </w:tcPr>
          <w:p>
            <w:pPr>
              <w:spacing w:after="20"/>
            </w:pPr>
            <w:r/>
            <w:r>
              <w:rPr>
                <w:b w:val="0"/>
                <w:i w:val="0"/>
                <w:sz w:val="18"/>
              </w:rPr>
              <w:t>Side-by-side qualitative comparison</w:t>
            </w:r>
          </w:p>
        </w:tc>
        <w:tc>
          <w:tcPr>
            <w:tcW w:type="dxa" w:w="2230"/>
          </w:tcPr>
          <w:p>
            <w:pPr>
              <w:spacing w:after="20"/>
            </w:pPr>
            <w:r/>
            <w:r>
              <w:rPr>
                <w:b w:val="0"/>
                <w:i w:val="0"/>
                <w:sz w:val="18"/>
              </w:rPr>
              <w:t>22</w:t>
            </w:r>
          </w:p>
        </w:tc>
      </w:tr>
    </w:tbl>
    <w:p>
      <w:pPr>
        <w:spacing w:after="40"/>
      </w:pPr>
    </w:p>
    <w:p>
      <w:pPr>
        <w:pStyle w:val="Heading3"/>
      </w:pPr>
      <w:r>
        <w:t>3.2 What we deliberately did not use, and why</w:t>
      </w:r>
    </w:p>
    <w:p>
      <w:pPr>
        <w:spacing w:after="60"/>
        <w:ind w:left="510" w:hanging="283"/>
      </w:pPr>
      <w:r>
        <w:rPr>
          <w:b w:val="0"/>
          <w:i w:val="0"/>
        </w:rPr>
        <w:t xml:space="preserve">•  </w:t>
      </w:r>
      <w:r>
        <w:rPr>
          <w:b/>
          <w:i w:val="0"/>
        </w:rPr>
        <w:t>Scraped patient-doctor chat sets</w:t>
      </w:r>
      <w:r>
        <w:rPr>
          <w:b w:val="0"/>
          <w:i w:val="0"/>
        </w:rPr>
        <w:t xml:space="preserve"> (for example ChatDoctor / HealthCareMagic): scraped from private Q&amp;A sites with unclear rights and possible personal data.</w:t>
      </w:r>
    </w:p>
    <w:p>
      <w:pPr>
        <w:spacing w:after="60"/>
        <w:ind w:left="510" w:hanging="283"/>
      </w:pPr>
      <w:r>
        <w:rPr>
          <w:b w:val="0"/>
          <w:i w:val="0"/>
        </w:rPr>
        <w:t xml:space="preserve">•  </w:t>
      </w:r>
      <w:r>
        <w:rPr>
          <w:b/>
          <w:i w:val="0"/>
        </w:rPr>
        <w:t>StatPearls:</w:t>
      </w:r>
      <w:r>
        <w:rPr>
          <w:b w:val="0"/>
          <w:i w:val="0"/>
        </w:rPr>
        <w:t xml:space="preserve"> licensed CC BY-NC-ND (no derivatives), which conflicts with fine-tuning.</w:t>
      </w:r>
    </w:p>
    <w:p>
      <w:pPr>
        <w:spacing w:after="60"/>
        <w:ind w:left="510" w:hanging="283"/>
      </w:pPr>
      <w:r>
        <w:rPr>
          <w:b w:val="0"/>
          <w:i w:val="0"/>
        </w:rPr>
        <w:t xml:space="preserve">•  </w:t>
      </w:r>
      <w:r>
        <w:rPr>
          <w:b/>
          <w:i w:val="0"/>
        </w:rPr>
        <w:t>USMLE textbook corpora:</w:t>
      </w:r>
      <w:r>
        <w:rPr>
          <w:b w:val="0"/>
          <w:i w:val="0"/>
        </w:rPr>
        <w:t xml:space="preserve"> copyrighted.</w:t>
      </w:r>
    </w:p>
    <w:p>
      <w:pPr>
        <w:spacing w:after="60"/>
        <w:ind w:left="510" w:hanging="283"/>
      </w:pPr>
      <w:r>
        <w:rPr>
          <w:b w:val="0"/>
          <w:i w:val="0"/>
        </w:rPr>
        <w:t xml:space="preserve">•  </w:t>
      </w:r>
      <w:r>
        <w:rPr>
          <w:b/>
          <w:i w:val="0"/>
        </w:rPr>
        <w:t>GPL-licensed term lists:</w:t>
      </w:r>
      <w:r>
        <w:rPr>
          <w:b w:val="0"/>
          <w:i w:val="0"/>
        </w:rPr>
        <w:t xml:space="preserve"> copyleft terms could attach to the resulting work.</w:t>
      </w:r>
    </w:p>
    <w:p>
      <w:pPr>
        <w:pStyle w:val="Heading3"/>
      </w:pPr>
      <w:r>
        <w:t>3.3 Preparation steps</w:t>
      </w:r>
    </w:p>
    <w:p>
      <w:pPr>
        <w:spacing w:after="60"/>
        <w:ind w:left="510" w:hanging="283"/>
      </w:pPr>
      <w:r>
        <w:rPr>
          <w:b w:val="0"/>
          <w:i w:val="0"/>
        </w:rPr>
        <w:t xml:space="preserve">1.  </w:t>
      </w:r>
      <w:r>
        <w:rPr>
          <w:b/>
          <w:i w:val="0"/>
        </w:rPr>
        <w:t>Collect</w:t>
      </w:r>
      <w:r>
        <w:rPr>
          <w:b w:val="0"/>
          <w:i w:val="0"/>
        </w:rPr>
        <w:t xml:space="preserve"> (</w:t>
      </w:r>
      <w:r>
        <w:rPr>
          <w:rFonts w:ascii="Consolas" w:hAnsi="Consolas"/>
          <w:b w:val="0"/>
          <w:i w:val="0"/>
          <w:sz w:val="19"/>
        </w:rPr>
        <w:t>collect.py</w:t>
      </w:r>
      <w:r>
        <w:rPr>
          <w:b w:val="0"/>
          <w:i w:val="0"/>
        </w:rPr>
        <w:t xml:space="preserve">): download each source, keep </w:t>
      </w:r>
      <w:r>
        <w:rPr>
          <w:rFonts w:ascii="Consolas" w:hAnsi="Consolas"/>
          <w:b w:val="0"/>
          <w:i w:val="0"/>
          <w:sz w:val="19"/>
        </w:rPr>
        <w:t>{id, source, title, url, license, text}</w:t>
      </w:r>
      <w:r>
        <w:rPr>
          <w:b w:val="0"/>
          <w:i w:val="0"/>
        </w:rPr>
        <w:t xml:space="preserve"> for every item.</w:t>
      </w:r>
    </w:p>
    <w:p>
      <w:pPr>
        <w:spacing w:after="60"/>
        <w:ind w:left="510" w:hanging="283"/>
      </w:pPr>
      <w:r>
        <w:rPr>
          <w:b w:val="0"/>
          <w:i w:val="0"/>
        </w:rPr>
        <w:t xml:space="preserve">2.  </w:t>
      </w:r>
      <w:r>
        <w:rPr>
          <w:b/>
          <w:i w:val="0"/>
        </w:rPr>
        <w:t>Clean:</w:t>
      </w:r>
      <w:r>
        <w:rPr>
          <w:b w:val="0"/>
          <w:i w:val="0"/>
        </w:rPr>
        <w:t xml:space="preserve"> for PubMed Central articles, strip the journal header and the reference list (references are citation noise, not medical prose); keep only articles between 600 and 15,000 words that mention clinical terms (patients, treatment, diagnosis, symptoms, therapy) at least 15 times; drop retracted or OCR-historical items.</w:t>
      </w:r>
    </w:p>
    <w:p>
      <w:pPr>
        <w:spacing w:after="60"/>
        <w:ind w:left="510" w:hanging="283"/>
      </w:pPr>
      <w:r>
        <w:rPr>
          <w:b w:val="0"/>
          <w:i w:val="0"/>
        </w:rPr>
        <w:t xml:space="preserve">3.  </w:t>
      </w:r>
      <w:r>
        <w:rPr>
          <w:b/>
          <w:i w:val="0"/>
        </w:rPr>
        <w:t>Split before training</w:t>
      </w:r>
      <w:r>
        <w:rPr>
          <w:b w:val="0"/>
          <w:i w:val="0"/>
        </w:rPr>
        <w:t xml:space="preserve"> (</w:t>
      </w:r>
      <w:r>
        <w:rPr>
          <w:rFonts w:ascii="Consolas" w:hAnsi="Consolas"/>
          <w:b w:val="0"/>
          <w:i w:val="0"/>
          <w:sz w:val="19"/>
        </w:rPr>
        <w:t>prep.py</w:t>
      </w:r>
      <w:r>
        <w:rPr>
          <w:b w:val="0"/>
          <w:i w:val="0"/>
        </w:rPr>
        <w:t xml:space="preserve">): about 5% of PubMed articles (126), 10% of MedlinePlus topics (103) and every 10th 400-word window of the Ghana guidelines (45) were set aside as </w:t>
      </w:r>
      <w:r>
        <w:rPr>
          <w:b/>
          <w:i w:val="0"/>
        </w:rPr>
        <w:t>held-out</w:t>
      </w:r>
      <w:r>
        <w:rPr>
          <w:b w:val="0"/>
          <w:i w:val="0"/>
        </w:rPr>
        <w:t xml:space="preserve"> text, with 150 WikiText-2 passages as a control. Each held-out passage is trimmed to 700 words so all models are scored on the same span. </w:t>
      </w:r>
      <w:r>
        <w:rPr>
          <w:b/>
          <w:i w:val="0"/>
        </w:rPr>
        <w:t>Held-out data is never used to train.</w:t>
      </w:r>
    </w:p>
    <w:p>
      <w:pPr>
        <w:spacing w:after="60"/>
        <w:ind w:left="510" w:hanging="283"/>
      </w:pPr>
      <w:r>
        <w:rPr>
          <w:b w:val="0"/>
          <w:i w:val="0"/>
        </w:rPr>
        <w:t xml:space="preserve">4.  </w:t>
      </w:r>
      <w:r>
        <w:rPr>
          <w:b/>
          <w:i w:val="0"/>
        </w:rPr>
        <w:t>Build the training text:</w:t>
      </w:r>
      <w:r>
        <w:rPr>
          <w:b w:val="0"/>
          <w:i w:val="0"/>
        </w:rPr>
        <w:t xml:space="preserve"> shuffle everything and pack it into fixed 2,048-token blocks, separated by an end-of-text token. Total available is roughly 18 to 20 million tokens; the default Colab budget trains on 6 million tokens (about 30%), because a free T4 is the limiting factor.</w:t>
      </w:r>
    </w:p>
    <w:p>
      <w:pPr>
        <w:spacing w:after="60"/>
        <w:ind w:left="510" w:hanging="283"/>
      </w:pPr>
      <w:r>
        <w:rPr>
          <w:b w:val="0"/>
          <w:i w:val="0"/>
        </w:rPr>
        <w:t xml:space="preserve">5.  </w:t>
      </w:r>
      <w:r>
        <w:rPr>
          <w:b/>
          <w:i w:val="0"/>
        </w:rPr>
        <w:t>Build instruction examples:</w:t>
      </w:r>
      <w:r>
        <w:rPr>
          <w:b w:val="0"/>
          <w:i w:val="0"/>
        </w:rPr>
        <w:t xml:space="preserve"> each example is a short conversation (a system message describing the GP-assistant role, the user's question, the answer) rendered in one fixed "ChatML" text format, used identically in training and evaluation.</w:t>
      </w:r>
    </w:p>
    <w:p>
      <w:r>
        <w:rPr>
          <w:b/>
          <w:i w:val="0"/>
        </w:rPr>
        <w:t>Why the split-first rule matters.</w:t>
      </w:r>
      <w:r>
        <w:rPr>
          <w:b w:val="0"/>
          <w:i w:val="0"/>
        </w:rPr>
        <w:t xml:space="preserve"> If test text leaks into training, the model can look better simply by having memorised it. Setting it aside first makes the before/after comparison honest.</w:t>
      </w:r>
    </w:p>
    <w:p>
      <w:pPr>
        <w:pBdr>
          <w:bottom w:val="single" w:sz="6" w:space="4" w:color="999999"/>
        </w:pBdr>
      </w:pPr>
    </w:p>
    <w:p>
      <w:pPr>
        <w:pStyle w:val="Heading2"/>
      </w:pPr>
      <w:r>
        <w:t>Part 4. Section C, Q2: Different ways we could have built this, and which we chose</w:t>
      </w:r>
    </w:p>
    <w:p>
      <w:pPr>
        <w:spacing w:after="160"/>
        <w:ind w:left="227"/>
        <w:shd w:val="clear" w:color="auto" w:fill="EEF3FA"/>
        <w:pBdr>
          <w:left w:val="single" w:sz="18" w:space="4" w:color="2F5496"/>
        </w:pBdr>
      </w:pPr>
      <w:r>
        <w:rPr>
          <w:b/>
          <w:i w:val="0"/>
        </w:rPr>
        <w:t>In plain words.</w:t>
      </w:r>
      <w:r>
        <w:rPr>
          <w:b w:val="0"/>
          <w:i w:val="0"/>
        </w:rPr>
        <w:t xml:space="preserve"> There are several ways to make a general model "know" health. We compared them on cost, effort and fit with the assignment, and picked the one the assignment asks for (adapting the model itself) while keeping it affordable on a free GPU.</w:t>
      </w:r>
    </w:p>
    <w:tbl>
      <w:tblPr>
        <w:tblStyle w:val="TableGrid"/>
        <w:tblW w:type="auto" w:w="0"/>
        <w:tblLayout w:type="fixed"/>
        <w:tblLook w:firstColumn="1" w:firstRow="1" w:lastColumn="0" w:lastRow="0" w:noHBand="0" w:noVBand="1" w:val="04A0"/>
      </w:tblPr>
      <w:tblGrid>
        <w:gridCol w:w="1837"/>
        <w:gridCol w:w="1837"/>
        <w:gridCol w:w="1837"/>
        <w:gridCol w:w="1837"/>
        <w:gridCol w:w="1837"/>
      </w:tblGrid>
      <w:tr>
        <w:tc>
          <w:tcPr>
            <w:tcW w:type="dxa" w:w="1340"/>
            <w:shd w:val="clear" w:color="auto" w:fill="DBE5F1"/>
          </w:tcPr>
          <w:p>
            <w:pPr>
              <w:spacing w:after="20"/>
            </w:pPr>
            <w:r/>
            <w:r>
              <w:rPr>
                <w:b/>
                <w:i w:val="0"/>
                <w:sz w:val="18"/>
              </w:rPr>
              <w:t>Approach</w:t>
            </w:r>
          </w:p>
        </w:tc>
        <w:tc>
          <w:tcPr>
            <w:tcW w:type="dxa" w:w="1961"/>
            <w:shd w:val="clear" w:color="auto" w:fill="DBE5F1"/>
          </w:tcPr>
          <w:p>
            <w:pPr>
              <w:spacing w:after="20"/>
            </w:pPr>
            <w:r/>
            <w:r>
              <w:rPr>
                <w:b/>
                <w:i w:val="0"/>
                <w:sz w:val="18"/>
              </w:rPr>
              <w:t>Idea</w:t>
            </w:r>
          </w:p>
        </w:tc>
        <w:tc>
          <w:tcPr>
            <w:tcW w:type="dxa" w:w="1961"/>
            <w:shd w:val="clear" w:color="auto" w:fill="DBE5F1"/>
          </w:tcPr>
          <w:p>
            <w:pPr>
              <w:spacing w:after="20"/>
            </w:pPr>
            <w:r/>
            <w:r>
              <w:rPr>
                <w:b/>
                <w:i w:val="0"/>
                <w:sz w:val="18"/>
              </w:rPr>
              <w:t>Strengths</w:t>
            </w:r>
          </w:p>
        </w:tc>
        <w:tc>
          <w:tcPr>
            <w:tcW w:type="dxa" w:w="1961"/>
            <w:shd w:val="clear" w:color="auto" w:fill="DBE5F1"/>
          </w:tcPr>
          <w:p>
            <w:pPr>
              <w:spacing w:after="20"/>
            </w:pPr>
            <w:r/>
            <w:r>
              <w:rPr>
                <w:b/>
                <w:i w:val="0"/>
                <w:sz w:val="18"/>
              </w:rPr>
              <w:t>Weaknesses</w:t>
            </w:r>
          </w:p>
        </w:tc>
        <w:tc>
          <w:tcPr>
            <w:tcW w:type="dxa" w:w="1961"/>
            <w:shd w:val="clear" w:color="auto" w:fill="DBE5F1"/>
          </w:tcPr>
          <w:p>
            <w:pPr>
              <w:spacing w:after="20"/>
            </w:pPr>
            <w:r/>
            <w:r>
              <w:rPr>
                <w:b/>
                <w:i w:val="0"/>
                <w:sz w:val="18"/>
              </w:rPr>
              <w:t>Verdict</w:t>
            </w:r>
          </w:p>
        </w:tc>
      </w:tr>
      <w:tr>
        <w:tc>
          <w:tcPr>
            <w:tcW w:type="dxa" w:w="1340"/>
          </w:tcPr>
          <w:p>
            <w:pPr>
              <w:spacing w:after="20"/>
            </w:pPr>
            <w:r/>
            <w:r>
              <w:rPr>
                <w:b/>
                <w:i w:val="0"/>
                <w:sz w:val="18"/>
              </w:rPr>
              <w:t>A. Prompting only</w:t>
            </w:r>
          </w:p>
        </w:tc>
        <w:tc>
          <w:tcPr>
            <w:tcW w:type="dxa" w:w="1961"/>
          </w:tcPr>
          <w:p>
            <w:pPr>
              <w:spacing w:after="20"/>
            </w:pPr>
            <w:r/>
            <w:r>
              <w:rPr>
                <w:b w:val="0"/>
                <w:i w:val="0"/>
                <w:sz w:val="18"/>
              </w:rPr>
              <w:t>Write clever instructions or examples to the unchanged model</w:t>
            </w:r>
          </w:p>
        </w:tc>
        <w:tc>
          <w:tcPr>
            <w:tcW w:type="dxa" w:w="1961"/>
          </w:tcPr>
          <w:p>
            <w:pPr>
              <w:spacing w:after="20"/>
            </w:pPr>
            <w:r/>
            <w:r>
              <w:rPr>
                <w:b w:val="0"/>
                <w:i w:val="0"/>
                <w:sz w:val="18"/>
              </w:rPr>
              <w:t>No training; instant</w:t>
            </w:r>
          </w:p>
        </w:tc>
        <w:tc>
          <w:tcPr>
            <w:tcW w:type="dxa" w:w="1961"/>
          </w:tcPr>
          <w:p>
            <w:pPr>
              <w:spacing w:after="20"/>
            </w:pPr>
            <w:r/>
            <w:r>
              <w:rPr>
                <w:b w:val="0"/>
                <w:i w:val="0"/>
                <w:sz w:val="18"/>
              </w:rPr>
              <w:t>Nothing is learned; long prompts cost tokens; behaviour brittle</w:t>
            </w:r>
          </w:p>
        </w:tc>
        <w:tc>
          <w:tcPr>
            <w:tcW w:type="dxa" w:w="1961"/>
          </w:tcPr>
          <w:p>
            <w:pPr>
              <w:spacing w:after="20"/>
            </w:pPr>
            <w:r/>
            <w:r>
              <w:rPr>
                <w:b w:val="0"/>
                <w:i w:val="0"/>
                <w:sz w:val="18"/>
              </w:rPr>
              <w:t xml:space="preserve">Used as our </w:t>
            </w:r>
            <w:r>
              <w:rPr>
                <w:b/>
                <w:i w:val="0"/>
                <w:sz w:val="18"/>
              </w:rPr>
              <w:t>baseline</w:t>
            </w:r>
            <w:r>
              <w:rPr>
                <w:b w:val="0"/>
                <w:i w:val="0"/>
                <w:sz w:val="18"/>
              </w:rPr>
              <w:t xml:space="preserve"> (Model A)</w:t>
            </w:r>
          </w:p>
        </w:tc>
      </w:tr>
      <w:tr>
        <w:tc>
          <w:tcPr>
            <w:tcW w:type="dxa" w:w="1340"/>
          </w:tcPr>
          <w:p>
            <w:pPr>
              <w:spacing w:after="20"/>
            </w:pPr>
            <w:r/>
            <w:r>
              <w:rPr>
                <w:b/>
                <w:i w:val="0"/>
                <w:sz w:val="18"/>
              </w:rPr>
              <w:t>B. Retrieval-augmented generation (RAG)</w:t>
            </w:r>
          </w:p>
        </w:tc>
        <w:tc>
          <w:tcPr>
            <w:tcW w:type="dxa" w:w="1961"/>
          </w:tcPr>
          <w:p>
            <w:pPr>
              <w:spacing w:after="20"/>
            </w:pPr>
            <w:r/>
            <w:r>
              <w:rPr>
                <w:b w:val="0"/>
                <w:i w:val="0"/>
                <w:sz w:val="18"/>
              </w:rPr>
              <w:t>Look up relevant documents and paste them into the prompt</w:t>
            </w:r>
          </w:p>
        </w:tc>
        <w:tc>
          <w:tcPr>
            <w:tcW w:type="dxa" w:w="1961"/>
          </w:tcPr>
          <w:p>
            <w:pPr>
              <w:spacing w:after="20"/>
            </w:pPr>
            <w:r/>
            <w:r>
              <w:rPr>
                <w:b w:val="0"/>
                <w:i w:val="0"/>
                <w:sz w:val="18"/>
              </w:rPr>
              <w:t>Facts stay current; sources can be cited</w:t>
            </w:r>
          </w:p>
        </w:tc>
        <w:tc>
          <w:tcPr>
            <w:tcW w:type="dxa" w:w="1961"/>
          </w:tcPr>
          <w:p>
            <w:pPr>
              <w:spacing w:after="20"/>
            </w:pPr>
            <w:r/>
            <w:r>
              <w:rPr>
                <w:b w:val="0"/>
                <w:i w:val="0"/>
                <w:sz w:val="18"/>
              </w:rPr>
              <w:t>Model itself is unchanged; more moving parts; not "a fine-tuned model"</w:t>
            </w:r>
          </w:p>
        </w:tc>
        <w:tc>
          <w:tcPr>
            <w:tcW w:type="dxa" w:w="1961"/>
          </w:tcPr>
          <w:p>
            <w:pPr>
              <w:spacing w:after="20"/>
            </w:pPr>
            <w:r/>
            <w:r>
              <w:rPr>
                <w:b w:val="0"/>
                <w:i w:val="0"/>
                <w:sz w:val="18"/>
              </w:rPr>
              <w:t xml:space="preserve">Considered and </w:t>
            </w:r>
            <w:r>
              <w:rPr>
                <w:b/>
                <w:i w:val="0"/>
                <w:sz w:val="18"/>
              </w:rPr>
              <w:t>designed (not run) earlier for our legal project</w:t>
            </w:r>
            <w:r>
              <w:rPr>
                <w:b w:val="0"/>
                <w:i w:val="0"/>
                <w:sz w:val="18"/>
              </w:rPr>
              <w:t>; not the assignment's focus (see Appendix A)</w:t>
            </w:r>
          </w:p>
        </w:tc>
      </w:tr>
      <w:tr>
        <w:tc>
          <w:tcPr>
            <w:tcW w:type="dxa" w:w="1340"/>
          </w:tcPr>
          <w:p>
            <w:pPr>
              <w:spacing w:after="20"/>
            </w:pPr>
            <w:r/>
            <w:r>
              <w:rPr>
                <w:b/>
                <w:i w:val="0"/>
                <w:sz w:val="18"/>
              </w:rPr>
              <w:t>C. Continued pre-training (CPT)</w:t>
            </w:r>
          </w:p>
        </w:tc>
        <w:tc>
          <w:tcPr>
            <w:tcW w:type="dxa" w:w="1961"/>
          </w:tcPr>
          <w:p>
            <w:pPr>
              <w:spacing w:after="20"/>
            </w:pPr>
            <w:r/>
            <w:r>
              <w:rPr>
                <w:b w:val="0"/>
                <w:i w:val="0"/>
                <w:sz w:val="18"/>
              </w:rPr>
              <w:t>Keep predicting next words, on health text</w:t>
            </w:r>
          </w:p>
        </w:tc>
        <w:tc>
          <w:tcPr>
            <w:tcW w:type="dxa" w:w="1961"/>
          </w:tcPr>
          <w:p>
            <w:pPr>
              <w:spacing w:after="20"/>
            </w:pPr>
            <w:r/>
            <w:r>
              <w:rPr>
                <w:b w:val="0"/>
                <w:i w:val="0"/>
                <w:sz w:val="18"/>
              </w:rPr>
              <w:t>Teaches vocabulary, style and facts of the domain; measurable with perplexity</w:t>
            </w:r>
          </w:p>
        </w:tc>
        <w:tc>
          <w:tcPr>
            <w:tcW w:type="dxa" w:w="1961"/>
          </w:tcPr>
          <w:p>
            <w:pPr>
              <w:spacing w:after="20"/>
            </w:pPr>
            <w:r/>
            <w:r>
              <w:rPr>
                <w:b w:val="0"/>
                <w:i w:val="0"/>
                <w:sz w:val="18"/>
              </w:rPr>
              <w:t xml:space="preserve">Needs much text; does not teach the model how to </w:t>
            </w:r>
            <w:r>
              <w:rPr>
                <w:b w:val="0"/>
                <w:i/>
                <w:sz w:val="18"/>
              </w:rPr>
              <w:t>answer</w:t>
            </w:r>
          </w:p>
        </w:tc>
        <w:tc>
          <w:tcPr>
            <w:tcW w:type="dxa" w:w="1961"/>
          </w:tcPr>
          <w:p>
            <w:pPr>
              <w:spacing w:after="20"/>
            </w:pPr>
            <w:r/>
            <w:r>
              <w:rPr>
                <w:b/>
                <w:i w:val="0"/>
                <w:sz w:val="18"/>
              </w:rPr>
              <w:t>Chosen: Stage 1</w:t>
            </w:r>
          </w:p>
        </w:tc>
      </w:tr>
      <w:tr>
        <w:tc>
          <w:tcPr>
            <w:tcW w:type="dxa" w:w="1340"/>
          </w:tcPr>
          <w:p>
            <w:pPr>
              <w:spacing w:after="20"/>
            </w:pPr>
            <w:r/>
            <w:r>
              <w:rPr>
                <w:b/>
                <w:i w:val="0"/>
                <w:sz w:val="18"/>
              </w:rPr>
              <w:t>D. Instruction tuning (SFT)</w:t>
            </w:r>
          </w:p>
        </w:tc>
        <w:tc>
          <w:tcPr>
            <w:tcW w:type="dxa" w:w="1961"/>
          </w:tcPr>
          <w:p>
            <w:pPr>
              <w:spacing w:after="20"/>
            </w:pPr>
            <w:r/>
            <w:r>
              <w:rPr>
                <w:b w:val="0"/>
                <w:i w:val="0"/>
                <w:sz w:val="18"/>
              </w:rPr>
              <w:t>Train on (question, answer) pairs</w:t>
            </w:r>
          </w:p>
        </w:tc>
        <w:tc>
          <w:tcPr>
            <w:tcW w:type="dxa" w:w="1961"/>
          </w:tcPr>
          <w:p>
            <w:pPr>
              <w:spacing w:after="20"/>
            </w:pPr>
            <w:r/>
            <w:r>
              <w:rPr>
                <w:b w:val="0"/>
                <w:i w:val="0"/>
                <w:sz w:val="18"/>
              </w:rPr>
              <w:t>Teaches format and helpful behaviour; small data suffices</w:t>
            </w:r>
          </w:p>
        </w:tc>
        <w:tc>
          <w:tcPr>
            <w:tcW w:type="dxa" w:w="1961"/>
          </w:tcPr>
          <w:p>
            <w:pPr>
              <w:spacing w:after="20"/>
            </w:pPr>
            <w:r/>
            <w:r>
              <w:rPr>
                <w:b w:val="0"/>
                <w:i w:val="0"/>
                <w:sz w:val="18"/>
              </w:rPr>
              <w:t>Can teach style without new knowledge; risk of confident errors</w:t>
            </w:r>
          </w:p>
        </w:tc>
        <w:tc>
          <w:tcPr>
            <w:tcW w:type="dxa" w:w="1961"/>
          </w:tcPr>
          <w:p>
            <w:pPr>
              <w:spacing w:after="20"/>
            </w:pPr>
            <w:r/>
            <w:r>
              <w:rPr>
                <w:b/>
                <w:i w:val="0"/>
                <w:sz w:val="18"/>
              </w:rPr>
              <w:t>Chosen: Stage 2</w:t>
            </w:r>
          </w:p>
        </w:tc>
      </w:tr>
      <w:tr>
        <w:tc>
          <w:tcPr>
            <w:tcW w:type="dxa" w:w="1340"/>
          </w:tcPr>
          <w:p>
            <w:pPr>
              <w:spacing w:after="20"/>
            </w:pPr>
            <w:r/>
            <w:r>
              <w:rPr>
                <w:b/>
                <w:i w:val="0"/>
                <w:sz w:val="18"/>
              </w:rPr>
              <w:t>E. Full fine-tuning</w:t>
            </w:r>
          </w:p>
        </w:tc>
        <w:tc>
          <w:tcPr>
            <w:tcW w:type="dxa" w:w="1961"/>
          </w:tcPr>
          <w:p>
            <w:pPr>
              <w:spacing w:after="20"/>
            </w:pPr>
            <w:r/>
            <w:r>
              <w:rPr>
                <w:b w:val="0"/>
                <w:i w:val="0"/>
                <w:sz w:val="18"/>
              </w:rPr>
              <w:t>Update every weight</w:t>
            </w:r>
          </w:p>
        </w:tc>
        <w:tc>
          <w:tcPr>
            <w:tcW w:type="dxa" w:w="1961"/>
          </w:tcPr>
          <w:p>
            <w:pPr>
              <w:spacing w:after="20"/>
            </w:pPr>
            <w:r/>
            <w:r>
              <w:rPr>
                <w:b w:val="0"/>
                <w:i w:val="0"/>
                <w:sz w:val="18"/>
              </w:rPr>
              <w:t>Maximum flexibility</w:t>
            </w:r>
          </w:p>
        </w:tc>
        <w:tc>
          <w:tcPr>
            <w:tcW w:type="dxa" w:w="1961"/>
          </w:tcPr>
          <w:p>
            <w:pPr>
              <w:spacing w:after="20"/>
            </w:pPr>
            <w:r/>
            <w:r>
              <w:rPr>
                <w:b w:val="0"/>
                <w:i w:val="0"/>
                <w:sz w:val="18"/>
              </w:rPr>
              <w:t>Needs far more GPU memory than a free T4; risk of forgetting</w:t>
            </w:r>
          </w:p>
        </w:tc>
        <w:tc>
          <w:tcPr>
            <w:tcW w:type="dxa" w:w="1961"/>
          </w:tcPr>
          <w:p>
            <w:pPr>
              <w:spacing w:after="20"/>
            </w:pPr>
            <w:r/>
            <w:r>
              <w:rPr>
                <w:b w:val="0"/>
                <w:i w:val="0"/>
                <w:sz w:val="18"/>
              </w:rPr>
              <w:t>Rejected (cost)</w:t>
            </w:r>
          </w:p>
        </w:tc>
      </w:tr>
      <w:tr>
        <w:tc>
          <w:tcPr>
            <w:tcW w:type="dxa" w:w="1340"/>
          </w:tcPr>
          <w:p>
            <w:pPr>
              <w:spacing w:after="20"/>
            </w:pPr>
            <w:r/>
            <w:r>
              <w:rPr>
                <w:b/>
                <w:i w:val="0"/>
                <w:sz w:val="18"/>
              </w:rPr>
              <w:t>F. Parameter-efficient tuning (LoRA)</w:t>
            </w:r>
          </w:p>
        </w:tc>
        <w:tc>
          <w:tcPr>
            <w:tcW w:type="dxa" w:w="1961"/>
          </w:tcPr>
          <w:p>
            <w:pPr>
              <w:spacing w:after="20"/>
            </w:pPr>
            <w:r/>
            <w:r>
              <w:rPr>
                <w:b w:val="0"/>
                <w:i w:val="0"/>
                <w:sz w:val="18"/>
              </w:rPr>
              <w:t>Train small add-on matrices</w:t>
            </w:r>
          </w:p>
        </w:tc>
        <w:tc>
          <w:tcPr>
            <w:tcW w:type="dxa" w:w="1961"/>
          </w:tcPr>
          <w:p>
            <w:pPr>
              <w:spacing w:after="20"/>
            </w:pPr>
            <w:r/>
            <w:r>
              <w:rPr>
                <w:b w:val="0"/>
                <w:i w:val="0"/>
                <w:sz w:val="18"/>
              </w:rPr>
              <w:t>Cheap; reversible; small files</w:t>
            </w:r>
          </w:p>
        </w:tc>
        <w:tc>
          <w:tcPr>
            <w:tcW w:type="dxa" w:w="1961"/>
          </w:tcPr>
          <w:p>
            <w:pPr>
              <w:spacing w:after="20"/>
            </w:pPr>
            <w:r/>
            <w:r>
              <w:rPr>
                <w:b w:val="0"/>
                <w:i w:val="0"/>
                <w:sz w:val="18"/>
              </w:rPr>
              <w:t>Slightly less capacity than full tuning</w:t>
            </w:r>
          </w:p>
        </w:tc>
        <w:tc>
          <w:tcPr>
            <w:tcW w:type="dxa" w:w="1961"/>
          </w:tcPr>
          <w:p>
            <w:pPr>
              <w:spacing w:after="20"/>
            </w:pPr>
            <w:r/>
            <w:r>
              <w:rPr>
                <w:b/>
                <w:i w:val="0"/>
                <w:sz w:val="18"/>
              </w:rPr>
              <w:t>Chosen as the method for C and D</w:t>
            </w:r>
          </w:p>
        </w:tc>
      </w:tr>
      <w:tr>
        <w:tc>
          <w:tcPr>
            <w:tcW w:type="dxa" w:w="1340"/>
          </w:tcPr>
          <w:p>
            <w:pPr>
              <w:spacing w:after="20"/>
            </w:pPr>
            <w:r/>
            <w:r>
              <w:rPr>
                <w:b/>
                <w:i w:val="0"/>
                <w:sz w:val="18"/>
              </w:rPr>
              <w:t>G. Training from scratch</w:t>
            </w:r>
          </w:p>
        </w:tc>
        <w:tc>
          <w:tcPr>
            <w:tcW w:type="dxa" w:w="1961"/>
          </w:tcPr>
          <w:p>
            <w:pPr>
              <w:spacing w:after="20"/>
            </w:pPr>
            <w:r/>
            <w:r>
              <w:rPr>
                <w:b w:val="0"/>
                <w:i w:val="0"/>
                <w:sz w:val="18"/>
              </w:rPr>
              <w:t>Build a new model</w:t>
            </w:r>
          </w:p>
        </w:tc>
        <w:tc>
          <w:tcPr>
            <w:tcW w:type="dxa" w:w="1961"/>
          </w:tcPr>
          <w:p>
            <w:pPr>
              <w:spacing w:after="20"/>
            </w:pPr>
            <w:r/>
            <w:r>
              <w:rPr>
                <w:b w:val="0"/>
                <w:i w:val="0"/>
                <w:sz w:val="18"/>
              </w:rPr>
              <w:t>Full control</w:t>
            </w:r>
          </w:p>
        </w:tc>
        <w:tc>
          <w:tcPr>
            <w:tcW w:type="dxa" w:w="1961"/>
          </w:tcPr>
          <w:p>
            <w:pPr>
              <w:spacing w:after="20"/>
            </w:pPr>
            <w:r/>
            <w:r>
              <w:rPr>
                <w:b w:val="0"/>
                <w:i w:val="0"/>
                <w:sz w:val="18"/>
              </w:rPr>
              <w:t>Needs billions of words and a GPU cluster</w:t>
            </w:r>
          </w:p>
        </w:tc>
        <w:tc>
          <w:tcPr>
            <w:tcW w:type="dxa" w:w="1961"/>
          </w:tcPr>
          <w:p>
            <w:pPr>
              <w:spacing w:after="20"/>
            </w:pPr>
            <w:r/>
            <w:r>
              <w:rPr>
                <w:b w:val="0"/>
                <w:i w:val="0"/>
                <w:sz w:val="18"/>
              </w:rPr>
              <w:t>Not feasible</w:t>
            </w:r>
          </w:p>
        </w:tc>
      </w:tr>
      <w:tr>
        <w:tc>
          <w:tcPr>
            <w:tcW w:type="dxa" w:w="1340"/>
          </w:tcPr>
          <w:p>
            <w:pPr>
              <w:spacing w:after="20"/>
            </w:pPr>
            <w:r/>
            <w:r>
              <w:rPr>
                <w:b/>
                <w:i w:val="0"/>
                <w:sz w:val="18"/>
              </w:rPr>
              <w:t>H. Alignment (RLHF / DPO)</w:t>
            </w:r>
          </w:p>
        </w:tc>
        <w:tc>
          <w:tcPr>
            <w:tcW w:type="dxa" w:w="1961"/>
          </w:tcPr>
          <w:p>
            <w:pPr>
              <w:spacing w:after="20"/>
            </w:pPr>
            <w:r/>
            <w:r>
              <w:rPr>
                <w:b w:val="0"/>
                <w:i w:val="0"/>
                <w:sz w:val="18"/>
              </w:rPr>
              <w:t>Optimise for human preferences</w:t>
            </w:r>
          </w:p>
        </w:tc>
        <w:tc>
          <w:tcPr>
            <w:tcW w:type="dxa" w:w="1961"/>
          </w:tcPr>
          <w:p>
            <w:pPr>
              <w:spacing w:after="20"/>
            </w:pPr>
            <w:r/>
            <w:r>
              <w:rPr>
                <w:b w:val="0"/>
                <w:i w:val="0"/>
                <w:sz w:val="18"/>
              </w:rPr>
              <w:t>Better safety and tone</w:t>
            </w:r>
          </w:p>
        </w:tc>
        <w:tc>
          <w:tcPr>
            <w:tcW w:type="dxa" w:w="1961"/>
          </w:tcPr>
          <w:p>
            <w:pPr>
              <w:spacing w:after="20"/>
            </w:pPr>
            <w:r/>
            <w:r>
              <w:rPr>
                <w:b w:val="0"/>
                <w:i w:val="0"/>
                <w:sz w:val="18"/>
              </w:rPr>
              <w:t>Needs preference data and more compute</w:t>
            </w:r>
          </w:p>
        </w:tc>
        <w:tc>
          <w:tcPr>
            <w:tcW w:type="dxa" w:w="1961"/>
          </w:tcPr>
          <w:p>
            <w:pPr>
              <w:spacing w:after="20"/>
            </w:pPr>
            <w:r/>
            <w:r>
              <w:rPr>
                <w:b w:val="0"/>
                <w:i w:val="0"/>
                <w:sz w:val="18"/>
              </w:rPr>
              <w:t>Out of scope; discussed in Part 8</w:t>
            </w:r>
          </w:p>
        </w:tc>
      </w:tr>
    </w:tbl>
    <w:p>
      <w:pPr>
        <w:spacing w:after="40"/>
      </w:pPr>
    </w:p>
    <w:p>
      <w:r>
        <w:rPr>
          <w:b/>
          <w:i w:val="0"/>
        </w:rPr>
        <w:t>What we settled on:</w:t>
      </w:r>
      <w:r>
        <w:rPr>
          <w:b w:val="0"/>
          <w:i w:val="0"/>
        </w:rPr>
        <w:t xml:space="preserve"> </w:t>
      </w:r>
      <w:r>
        <w:rPr>
          <w:b/>
          <w:i w:val="0"/>
        </w:rPr>
        <w:t>C + D using F</w:t>
      </w:r>
      <w:r>
        <w:rPr>
          <w:b w:val="0"/>
          <w:i w:val="0"/>
        </w:rPr>
        <w:t>, evaluated against the baseline A. This gives a clean three-way experiment: does Stage 1 alone help (B vs A)? does Stage 2 add more (C vs B)? It also mirrors how production domain models such as medical LLMs are commonly built, and it exercises exactly the concepts the prosit asks about.</w:t>
      </w:r>
    </w:p>
    <w:p>
      <w:r>
        <w:rPr>
          <w:b/>
          <w:i w:val="0"/>
        </w:rPr>
        <w:t>Model choice.</w:t>
      </w:r>
      <w:r>
        <w:rPr>
          <w:b w:val="0"/>
          <w:i w:val="0"/>
        </w:rPr>
        <w:t xml:space="preserve"> We checked which models are current (September 2026): Qwen3.5 (released February 2026) has dense sizes 0.8B, 2B, 4B, 9B and 27B; Qwen3.8 exists but only as a 27B dense (too large for a T4) and larger models; no Qwen4 was announced. We first tried </w:t>
      </w:r>
      <w:r>
        <w:rPr>
          <w:b/>
          <w:i w:val="0"/>
        </w:rPr>
        <w:t>Qwen3.5-4B-Base</w:t>
      </w:r>
      <w:r>
        <w:rPr>
          <w:b w:val="0"/>
          <w:i w:val="0"/>
        </w:rPr>
        <w:t xml:space="preserve"> (Unsloth's guidance suggested about 10 GB with 16-bit LoRA), but it ran out of memory on the T4: the T4 has no bfloat16, so Unsloth loads Qwen3.5 in float32, about 16 GB of weights on a 15 GB GPU. We therefore use </w:t>
      </w:r>
      <w:r>
        <w:rPr>
          <w:b/>
          <w:i w:val="0"/>
        </w:rPr>
        <w:t>Qwen3.5-2B-Base</w:t>
      </w:r>
      <w:r>
        <w:rPr>
          <w:b w:val="0"/>
          <w:i w:val="0"/>
        </w:rPr>
        <w:t xml:space="preserve">, the newest generation in a size that fits. We use the </w:t>
      </w:r>
      <w:r>
        <w:rPr>
          <w:b/>
          <w:i w:val="0"/>
        </w:rPr>
        <w:t>Base</w:t>
      </w:r>
      <w:r>
        <w:rPr>
          <w:b w:val="0"/>
          <w:i w:val="0"/>
        </w:rPr>
        <w:t xml:space="preserve"> variant, not the chat-tuned one, so Stage 2 is genuinely ours. 4B-Base needs a GPU with bfloat16 (for example an L4 or A100); 9B-Base is the upgrade on a bigger GPU.</w:t>
      </w:r>
    </w:p>
    <w:p>
      <w:pPr>
        <w:pBdr>
          <w:bottom w:val="single" w:sz="6" w:space="4" w:color="999999"/>
        </w:pBdr>
      </w:pPr>
    </w:p>
    <w:p>
      <w:pPr>
        <w:pStyle w:val="Heading2"/>
      </w:pPr>
      <w:r>
        <w:t>Part 5. Section C, Q3: How did we train, and what convinced us the model was learning?</w:t>
      </w:r>
    </w:p>
    <w:p>
      <w:pPr>
        <w:spacing w:after="160"/>
        <w:ind w:left="227"/>
        <w:shd w:val="clear" w:color="auto" w:fill="EEF3FA"/>
        <w:pBdr>
          <w:left w:val="single" w:sz="18" w:space="4" w:color="2F5496"/>
        </w:pBdr>
      </w:pPr>
      <w:r>
        <w:rPr>
          <w:b/>
          <w:i w:val="0"/>
        </w:rPr>
        <w:t>In plain words.</w:t>
      </w:r>
      <w:r>
        <w:rPr>
          <w:b w:val="0"/>
          <w:i w:val="0"/>
        </w:rPr>
        <w:t xml:space="preserve"> We trained in two rounds on a rented graphics card. During each round we watched a "loss" number, which is the model's average mistake on the practice text. We also kept back a small quiz the model never trained on. If the practice mistakes fall and the quiz mistakes fall too, the model is learning something real, not just memorising.</w:t>
      </w:r>
    </w:p>
    <w:p>
      <w:pPr>
        <w:pStyle w:val="Heading3"/>
      </w:pPr>
      <w:r>
        <w:t>5.1 Setup</w:t>
      </w:r>
    </w:p>
    <w:tbl>
      <w:tblPr>
        <w:tblStyle w:val="TableGrid"/>
        <w:tblW w:type="auto" w:w="0"/>
        <w:tblLayout w:type="fixed"/>
        <w:tblLook w:firstColumn="1" w:firstRow="1" w:lastColumn="0" w:lastRow="0" w:noHBand="0" w:noVBand="1" w:val="04A0"/>
      </w:tblPr>
      <w:tblGrid>
        <w:gridCol w:w="4592"/>
        <w:gridCol w:w="4592"/>
      </w:tblGrid>
      <w:tr>
        <w:tc>
          <w:tcPr>
            <w:tcW w:type="dxa" w:w="1423"/>
            <w:shd w:val="clear" w:color="auto" w:fill="DBE5F1"/>
          </w:tcPr>
          <w:p>
            <w:pPr>
              <w:spacing w:after="20"/>
            </w:pPr>
            <w:r/>
            <w:r>
              <w:rPr>
                <w:b/>
                <w:i w:val="0"/>
                <w:sz w:val="18"/>
              </w:rPr>
              <w:t>Item</w:t>
            </w:r>
          </w:p>
        </w:tc>
        <w:tc>
          <w:tcPr>
            <w:tcW w:type="dxa" w:w="7761"/>
            <w:shd w:val="clear" w:color="auto" w:fill="DBE5F1"/>
          </w:tcPr>
          <w:p>
            <w:pPr>
              <w:spacing w:after="20"/>
            </w:pPr>
            <w:r/>
            <w:r>
              <w:rPr>
                <w:b/>
                <w:i w:val="0"/>
                <w:sz w:val="18"/>
              </w:rPr>
              <w:t>Value</w:t>
            </w:r>
          </w:p>
        </w:tc>
      </w:tr>
      <w:tr>
        <w:tc>
          <w:tcPr>
            <w:tcW w:type="dxa" w:w="1423"/>
          </w:tcPr>
          <w:p>
            <w:pPr>
              <w:spacing w:after="20"/>
            </w:pPr>
            <w:r/>
            <w:r>
              <w:rPr>
                <w:b w:val="0"/>
                <w:i w:val="0"/>
                <w:sz w:val="18"/>
              </w:rPr>
              <w:t>Hardware</w:t>
            </w:r>
          </w:p>
        </w:tc>
        <w:tc>
          <w:tcPr>
            <w:tcW w:type="dxa" w:w="7761"/>
          </w:tcPr>
          <w:p>
            <w:pPr>
              <w:spacing w:after="20"/>
            </w:pPr>
            <w:r/>
            <w:r>
              <w:rPr>
                <w:b w:val="0"/>
                <w:i w:val="0"/>
                <w:sz w:val="18"/>
              </w:rPr>
              <w:t>Google Colab T4 GPU (16 GB, no bfloat16, so fp16 is used)</w:t>
            </w:r>
          </w:p>
        </w:tc>
      </w:tr>
      <w:tr>
        <w:tc>
          <w:tcPr>
            <w:tcW w:type="dxa" w:w="1423"/>
          </w:tcPr>
          <w:p>
            <w:pPr>
              <w:spacing w:after="20"/>
            </w:pPr>
            <w:r/>
            <w:r>
              <w:rPr>
                <w:b w:val="0"/>
                <w:i w:val="0"/>
                <w:sz w:val="18"/>
              </w:rPr>
              <w:t>Software</w:t>
            </w:r>
          </w:p>
        </w:tc>
        <w:tc>
          <w:tcPr>
            <w:tcW w:type="dxa" w:w="7761"/>
          </w:tcPr>
          <w:p>
            <w:pPr>
              <w:spacing w:after="20"/>
            </w:pPr>
            <w:r/>
            <w:r>
              <w:rPr>
                <w:b w:val="0"/>
                <w:i w:val="0"/>
                <w:sz w:val="18"/>
              </w:rPr>
              <w:t>Unsloth (efficient LoRA training), Hugging Face Transformers v5, PyTorch</w:t>
            </w:r>
          </w:p>
        </w:tc>
      </w:tr>
      <w:tr>
        <w:tc>
          <w:tcPr>
            <w:tcW w:type="dxa" w:w="1423"/>
          </w:tcPr>
          <w:p>
            <w:pPr>
              <w:spacing w:after="20"/>
            </w:pPr>
            <w:r/>
            <w:r>
              <w:rPr>
                <w:b w:val="0"/>
                <w:i w:val="0"/>
                <w:sz w:val="18"/>
              </w:rPr>
              <w:t>Model</w:t>
            </w:r>
          </w:p>
        </w:tc>
        <w:tc>
          <w:tcPr>
            <w:tcW w:type="dxa" w:w="7761"/>
          </w:tcPr>
          <w:p>
            <w:pPr>
              <w:spacing w:after="20"/>
            </w:pPr>
            <w:r/>
            <w:r>
              <w:rPr>
                <w:rFonts w:ascii="Consolas" w:hAnsi="Consolas"/>
                <w:b w:val="0"/>
                <w:i w:val="0"/>
                <w:sz w:val="19"/>
              </w:rPr>
              <w:t>Qwen3.5-2B-Base</w:t>
            </w:r>
            <w:r>
              <w:rPr>
                <w:b w:val="0"/>
                <w:i w:val="0"/>
                <w:sz w:val="18"/>
              </w:rPr>
              <w:t xml:space="preserve">, loaded in 16-bit (Unsloth advises </w:t>
            </w:r>
            <w:r>
              <w:rPr>
                <w:b/>
                <w:i w:val="0"/>
                <w:sz w:val="18"/>
              </w:rPr>
              <w:t>against</w:t>
            </w:r>
            <w:r>
              <w:rPr>
                <w:b w:val="0"/>
                <w:i w:val="0"/>
                <w:sz w:val="18"/>
              </w:rPr>
              <w:t xml:space="preserve"> 4-bit quantised training for Qwen3.5 because of larger quantisation error). On a T4 Unsloth falls back to float32; the 4B model ran out of memory (about 16 GB of weights on a 15 GB GPU), so we use 2B</w:t>
            </w:r>
          </w:p>
        </w:tc>
      </w:tr>
      <w:tr>
        <w:tc>
          <w:tcPr>
            <w:tcW w:type="dxa" w:w="1423"/>
          </w:tcPr>
          <w:p>
            <w:pPr>
              <w:spacing w:after="20"/>
            </w:pPr>
            <w:r/>
            <w:r>
              <w:rPr>
                <w:b w:val="0"/>
                <w:i w:val="0"/>
                <w:sz w:val="18"/>
              </w:rPr>
              <w:t>Adapter</w:t>
            </w:r>
          </w:p>
        </w:tc>
        <w:tc>
          <w:tcPr>
            <w:tcW w:type="dxa" w:w="7761"/>
          </w:tcPr>
          <w:p>
            <w:pPr>
              <w:spacing w:after="20"/>
            </w:pPr>
            <w:r/>
            <w:r>
              <w:rPr>
                <w:b w:val="0"/>
                <w:i w:val="0"/>
                <w:sz w:val="18"/>
              </w:rPr>
              <w:t>LoRA, r = 32, α = 64, dropout 0, on q/k/v/o/gate/up/down projections; gradient checkpointing</w:t>
            </w:r>
          </w:p>
        </w:tc>
      </w:tr>
      <w:tr>
        <w:tc>
          <w:tcPr>
            <w:tcW w:type="dxa" w:w="1423"/>
          </w:tcPr>
          <w:p>
            <w:pPr>
              <w:spacing w:after="20"/>
            </w:pPr>
            <w:r/>
            <w:r>
              <w:rPr>
                <w:b w:val="0"/>
                <w:i w:val="0"/>
                <w:sz w:val="18"/>
              </w:rPr>
              <w:t>Optimiser</w:t>
            </w:r>
          </w:p>
        </w:tc>
        <w:tc>
          <w:tcPr>
            <w:tcW w:type="dxa" w:w="7761"/>
          </w:tcPr>
          <w:p>
            <w:pPr>
              <w:spacing w:after="20"/>
            </w:pPr>
            <w:r/>
            <w:r>
              <w:rPr>
                <w:b w:val="0"/>
                <w:i w:val="0"/>
                <w:sz w:val="18"/>
              </w:rPr>
              <w:t>8-bit AdamW, weight decay 0.01, cosine learning-rate schedule with 10 warm-up steps</w:t>
            </w:r>
          </w:p>
        </w:tc>
      </w:tr>
    </w:tbl>
    <w:p>
      <w:pPr>
        <w:spacing w:after="40"/>
      </w:pPr>
    </w:p>
    <w:p>
      <w:pPr>
        <w:pStyle w:val="Heading3"/>
      </w:pPr>
      <w:r>
        <w:t>5.2 Stage 1: continued pre-training</w:t>
      </w:r>
    </w:p>
    <w:p>
      <w:pPr>
        <w:spacing w:after="60"/>
        <w:ind w:left="510" w:hanging="283"/>
      </w:pPr>
      <w:r>
        <w:rPr>
          <w:b w:val="0"/>
          <w:i w:val="0"/>
        </w:rPr>
        <w:t>•  Documents are tokenised, concatenated with end-of-text markers and cut into 2,048-token blocks (</w:t>
      </w:r>
      <w:r>
        <w:rPr>
          <w:b w:val="0"/>
          <w:i/>
        </w:rPr>
        <w:t>packing</w:t>
      </w:r>
      <w:r>
        <w:rPr>
          <w:b w:val="0"/>
          <w:i w:val="0"/>
        </w:rPr>
        <w:t>), so no compute is wasted on padding.</w:t>
      </w:r>
    </w:p>
    <w:p>
      <w:pPr>
        <w:spacing w:after="60"/>
        <w:ind w:left="510" w:hanging="283"/>
      </w:pPr>
      <w:r>
        <w:rPr>
          <w:b w:val="0"/>
          <w:i w:val="0"/>
        </w:rPr>
        <w:t>•  Loss is the ordinary next-token cross-entropy over every token.</w:t>
      </w:r>
    </w:p>
    <w:p>
      <w:pPr>
        <w:spacing w:after="60"/>
        <w:ind w:left="510" w:hanging="283"/>
      </w:pPr>
      <w:r>
        <w:rPr>
          <w:b w:val="0"/>
          <w:i w:val="0"/>
        </w:rPr>
        <w:t>•  Batch: 1 block × 16 gradient-accumulation steps = 32,768 tokens per optimiser step. With a 6M-token budget this is about 183 steps.</w:t>
      </w:r>
    </w:p>
    <w:p>
      <w:pPr>
        <w:spacing w:after="60"/>
        <w:ind w:left="510" w:hanging="283"/>
      </w:pPr>
      <w:r>
        <w:rPr>
          <w:b w:val="0"/>
          <w:i w:val="0"/>
        </w:rPr>
        <w:t>•  Learning rate 1e-4, one epoch (each block seen once).</w:t>
      </w:r>
    </w:p>
    <w:p>
      <w:pPr>
        <w:spacing w:after="60"/>
        <w:ind w:left="510" w:hanging="283"/>
      </w:pPr>
      <w:r>
        <w:rPr>
          <w:b w:val="0"/>
          <w:i w:val="0"/>
        </w:rPr>
        <w:t xml:space="preserve">•  The last 40 blocks are held back as a </w:t>
      </w:r>
      <w:r>
        <w:rPr>
          <w:b/>
          <w:i w:val="0"/>
        </w:rPr>
        <w:t>validation set</w:t>
      </w:r>
      <w:r>
        <w:rPr>
          <w:b w:val="0"/>
          <w:i w:val="0"/>
        </w:rPr>
        <w:t>; validation loss is logged every 25 steps.</w:t>
      </w:r>
    </w:p>
    <w:p>
      <w:pPr>
        <w:pStyle w:val="Heading3"/>
      </w:pPr>
      <w:r>
        <w:t>5.3 Stage 2: instruction tuning</w:t>
      </w:r>
    </w:p>
    <w:p>
      <w:pPr>
        <w:spacing w:after="60"/>
        <w:ind w:left="510" w:hanging="283"/>
      </w:pPr>
      <w:r>
        <w:rPr>
          <w:b w:val="0"/>
          <w:i w:val="0"/>
        </w:rPr>
        <w:t>•  Starts from the Stage 1 adapter, so knowledge from Stage 1 is retained.</w:t>
      </w:r>
    </w:p>
    <w:p>
      <w:pPr>
        <w:spacing w:after="60"/>
        <w:ind w:left="510" w:hanging="283"/>
      </w:pPr>
      <w:r>
        <w:rPr>
          <w:b w:val="0"/>
          <w:i w:val="0"/>
        </w:rPr>
        <w:t>•  Each example is rendered as ChatML text: system message, user turn, then the assistant turn.</w:t>
      </w:r>
    </w:p>
    <w:p>
      <w:pPr>
        <w:spacing w:after="60"/>
        <w:ind w:left="510" w:hanging="283"/>
      </w:pPr>
      <w:r>
        <w:rPr>
          <w:b w:val="0"/>
          <w:i w:val="0"/>
        </w:rPr>
        <w:t xml:space="preserve">•  </w:t>
      </w:r>
      <w:r>
        <w:rPr>
          <w:b/>
          <w:i w:val="0"/>
        </w:rPr>
        <w:t>Loss masking:</w:t>
      </w:r>
      <w:r>
        <w:rPr>
          <w:b w:val="0"/>
          <w:i w:val="0"/>
        </w:rPr>
        <w:t xml:space="preserve"> tokens of the prompt get label −100 (ignored), so the model is graded only on the </w:t>
      </w:r>
      <w:r>
        <w:rPr>
          <w:b w:val="0"/>
          <w:i/>
        </w:rPr>
        <w:t>answer</w:t>
      </w:r>
      <w:r>
        <w:rPr>
          <w:b w:val="0"/>
          <w:i w:val="0"/>
        </w:rPr>
        <w:t>. This stops it wasting effort "learning to predict the question".</w:t>
      </w:r>
    </w:p>
    <w:p>
      <w:pPr>
        <w:spacing w:after="60"/>
        <w:ind w:left="510" w:hanging="283"/>
      </w:pPr>
      <w:r>
        <w:rPr>
          <w:b w:val="0"/>
          <w:i w:val="0"/>
        </w:rPr>
        <w:t>•  Default: 6,000 examples, batch 1 × 16 accumulation (about 375 steps), learning rate 1e-4, one epoch; 100 validation examples.</w:t>
      </w:r>
    </w:p>
    <w:p>
      <w:pPr>
        <w:pStyle w:val="Heading3"/>
      </w:pPr>
      <w:r>
        <w:t>5.4 What convinces us it is learning (the evidence to collect)</w:t>
      </w:r>
    </w:p>
    <w:p>
      <w:pPr>
        <w:spacing w:after="60"/>
        <w:ind w:left="510" w:hanging="283"/>
      </w:pPr>
      <w:r>
        <w:rPr>
          <w:b w:val="0"/>
          <w:i w:val="0"/>
        </w:rPr>
        <w:t xml:space="preserve">1.  </w:t>
      </w:r>
      <w:r>
        <w:rPr>
          <w:b/>
          <w:i w:val="0"/>
        </w:rPr>
        <w:t>Training loss trends down</w:t>
      </w:r>
      <w:r>
        <w:rPr>
          <w:b w:val="0"/>
          <w:i w:val="0"/>
        </w:rPr>
        <w:t xml:space="preserve"> (a smooth curve, after initial noise).</w:t>
      </w:r>
    </w:p>
    <w:p>
      <w:pPr>
        <w:spacing w:after="60"/>
        <w:ind w:left="510" w:hanging="283"/>
      </w:pPr>
      <w:r>
        <w:rPr>
          <w:b w:val="0"/>
          <w:i w:val="0"/>
        </w:rPr>
        <w:t xml:space="preserve">2.  </w:t>
      </w:r>
      <w:r>
        <w:rPr>
          <w:b/>
          <w:i w:val="0"/>
        </w:rPr>
        <w:t>Validation loss on unseen text also trends down</w:t>
      </w:r>
      <w:r>
        <w:rPr>
          <w:b w:val="0"/>
          <w:i w:val="0"/>
        </w:rPr>
        <w:t xml:space="preserve"> and does not turn upward while training loss keeps falling (an upward turn is the signature of over-fitting).</w:t>
      </w:r>
    </w:p>
    <w:p>
      <w:pPr>
        <w:spacing w:after="60"/>
        <w:ind w:left="510" w:hanging="283"/>
      </w:pPr>
      <w:r>
        <w:rPr>
          <w:b w:val="0"/>
          <w:i w:val="0"/>
        </w:rPr>
        <w:t xml:space="preserve">3.  </w:t>
      </w:r>
      <w:r>
        <w:rPr>
          <w:b/>
          <w:i w:val="0"/>
        </w:rPr>
        <w:t>Held-out perplexity falls on health text</w:t>
      </w:r>
      <w:r>
        <w:rPr>
          <w:b w:val="0"/>
          <w:i w:val="0"/>
        </w:rPr>
        <w:t xml:space="preserve"> (PubMed, MedlinePlus, Ghana guidelines) relative to the untouched base model.</w:t>
      </w:r>
    </w:p>
    <w:p>
      <w:pPr>
        <w:spacing w:after="60"/>
        <w:ind w:left="510" w:hanging="283"/>
      </w:pPr>
      <w:r>
        <w:rPr>
          <w:b w:val="0"/>
          <w:i w:val="0"/>
        </w:rPr>
        <w:t xml:space="preserve">4.  </w:t>
      </w:r>
      <w:r>
        <w:rPr>
          <w:b/>
          <w:i w:val="0"/>
        </w:rPr>
        <w:t>Control:</w:t>
      </w:r>
      <w:r>
        <w:rPr>
          <w:b w:val="0"/>
          <w:i w:val="0"/>
        </w:rPr>
        <w:t xml:space="preserve"> perplexity on general English (WikiText-2) should change </w:t>
      </w:r>
      <w:r>
        <w:rPr>
          <w:b/>
          <w:i w:val="0"/>
        </w:rPr>
        <w:t>little</w:t>
      </w:r>
      <w:r>
        <w:rPr>
          <w:b w:val="0"/>
          <w:i w:val="0"/>
        </w:rPr>
        <w:t xml:space="preserve">. A large rise would mean </w:t>
      </w:r>
      <w:r>
        <w:rPr>
          <w:b w:val="0"/>
          <w:i/>
        </w:rPr>
        <w:t>catastrophic forgetting</w:t>
      </w:r>
      <w:r>
        <w:rPr>
          <w:b w:val="0"/>
          <w:i w:val="0"/>
        </w:rPr>
        <w:t>.</w:t>
      </w:r>
    </w:p>
    <w:p>
      <w:pPr>
        <w:spacing w:after="60"/>
        <w:ind w:left="510" w:hanging="283"/>
      </w:pPr>
      <w:r>
        <w:rPr>
          <w:b w:val="0"/>
          <w:i w:val="0"/>
        </w:rPr>
        <w:t xml:space="preserve">5.  </w:t>
      </w:r>
      <w:r>
        <w:rPr>
          <w:b/>
          <w:i w:val="0"/>
        </w:rPr>
        <w:t>Behaviour changes in the right direction:</w:t>
      </w:r>
      <w:r>
        <w:rPr>
          <w:b w:val="0"/>
          <w:i w:val="0"/>
        </w:rPr>
        <w:t xml:space="preserve"> Model C gives structured GP-style answers where Model A rambles or continues the prompt.</w:t>
      </w:r>
    </w:p>
    <w:p>
      <w:pPr>
        <w:spacing w:after="60"/>
        <w:ind w:left="510" w:hanging="283"/>
      </w:pPr>
      <w:r>
        <w:rPr>
          <w:b w:val="0"/>
          <w:i w:val="0"/>
        </w:rPr>
        <w:t xml:space="preserve">6.  </w:t>
      </w:r>
      <w:r>
        <w:rPr>
          <w:b/>
          <w:i w:val="0"/>
        </w:rPr>
        <w:t>Sanity checks before trusting anything:</w:t>
      </w:r>
      <w:r>
        <w:rPr>
          <w:b w:val="0"/>
          <w:i w:val="0"/>
        </w:rPr>
        <w:t xml:space="preserve"> the printed first training example was inspected for format; adapters were confirmed to have trainable parameters; the base model was scored with adapters </w:t>
      </w:r>
      <w:r>
        <w:rPr>
          <w:b w:val="0"/>
          <w:i/>
        </w:rPr>
        <w:t>disabled</w:t>
      </w:r>
      <w:r>
        <w:rPr>
          <w:b w:val="0"/>
          <w:i w:val="0"/>
        </w:rPr>
        <w:t>, not merely "before training".</w:t>
      </w:r>
    </w:p>
    <w:p>
      <w:pPr>
        <w:spacing w:after="160"/>
        <w:ind w:left="227"/>
        <w:shd w:val="clear" w:color="auto" w:fill="EEF3FA"/>
        <w:pBdr>
          <w:left w:val="single" w:sz="18" w:space="4" w:color="2F5496"/>
        </w:pBdr>
      </w:pPr>
      <w:r>
        <w:rPr>
          <w:b/>
          <w:i w:val="0"/>
        </w:rPr>
        <w:t>[FIGURE PLACEHOLDER: insert cpt_loss.png here after the Colab run]</w:t>
      </w:r>
    </w:p>
    <w:p>
      <w:r>
        <w:rPr>
          <w:b w:val="0"/>
          <w:i/>
        </w:rPr>
        <w:t>Figure 3 (TBD). Stage 1 training and validation loss. Notebook 01 saves this image to your Drive as cpt_loss.png; copy it into report_assets/ and rebuild.</w:t>
      </w:r>
    </w:p>
    <w:p>
      <w:pPr>
        <w:spacing w:after="160"/>
        <w:ind w:left="227"/>
        <w:shd w:val="clear" w:color="auto" w:fill="EEF3FA"/>
        <w:pBdr>
          <w:left w:val="single" w:sz="18" w:space="4" w:color="2F5496"/>
        </w:pBdr>
      </w:pPr>
      <w:r>
        <w:rPr>
          <w:b/>
          <w:i w:val="0"/>
        </w:rPr>
        <w:t>[FIGURE PLACEHOLDER: insert sft_loss.png here after the Colab run]</w:t>
      </w:r>
    </w:p>
    <w:p>
      <w:r>
        <w:rPr>
          <w:b w:val="0"/>
          <w:i/>
        </w:rPr>
        <w:t>Figure 4 (TBD). Stage 2 instruction-tuning loss (from notebook 02, sft_loss.png).</w:t>
      </w:r>
    </w:p>
    <w:p>
      <w:pPr>
        <w:pBdr>
          <w:bottom w:val="single" w:sz="6" w:space="4" w:color="999999"/>
        </w:pBdr>
      </w:pPr>
    </w:p>
    <w:p>
      <w:pPr>
        <w:pStyle w:val="Heading2"/>
      </w:pPr>
      <w:r>
        <w:t>Part 6. Section C, Q4: How did we evaluate?</w:t>
      </w:r>
    </w:p>
    <w:p>
      <w:pPr>
        <w:spacing w:after="160"/>
        <w:ind w:left="227"/>
        <w:shd w:val="clear" w:color="auto" w:fill="EEF3FA"/>
        <w:pBdr>
          <w:left w:val="single" w:sz="18" w:space="4" w:color="2F5496"/>
        </w:pBdr>
      </w:pPr>
      <w:r>
        <w:rPr>
          <w:b/>
          <w:i w:val="0"/>
        </w:rPr>
        <w:t>In plain words.</w:t>
      </w:r>
      <w:r>
        <w:rPr>
          <w:b w:val="0"/>
          <w:i w:val="0"/>
        </w:rPr>
        <w:t xml:space="preserve"> We gave three versions of the model the same three kinds of tests: (1) reading unseen health text and measuring how surprised each model is, (2) multiple-choice medical exam questions, and (3) realistic patient stories that we read ourselves. Testing the untouched model too tells us whether our work made any difference.</w:t>
      </w:r>
    </w:p>
    <w:p>
      <w:pPr>
        <w:pStyle w:val="Heading3"/>
      </w:pPr>
      <w:r>
        <w:t>6.1 Intrinsic evaluation: held-out perplexity</w:t>
      </w:r>
    </w:p>
    <w:p>
      <w:pPr>
        <w:spacing w:after="60"/>
        <w:ind w:left="510" w:hanging="283"/>
      </w:pPr>
      <w:r>
        <w:rPr>
          <w:b w:val="0"/>
          <w:i w:val="0"/>
        </w:rPr>
        <w:t xml:space="preserve">•  Four held-out sets: </w:t>
      </w:r>
      <w:r>
        <w:rPr>
          <w:b/>
          <w:i w:val="0"/>
        </w:rPr>
        <w:t>PubMed articles</w:t>
      </w:r>
      <w:r>
        <w:rPr>
          <w:b w:val="0"/>
          <w:i w:val="0"/>
        </w:rPr>
        <w:t xml:space="preserve">, </w:t>
      </w:r>
      <w:r>
        <w:rPr>
          <w:b/>
          <w:i w:val="0"/>
        </w:rPr>
        <w:t>MedlinePlus topics</w:t>
      </w:r>
      <w:r>
        <w:rPr>
          <w:b w:val="0"/>
          <w:i w:val="0"/>
        </w:rPr>
        <w:t xml:space="preserve">, </w:t>
      </w:r>
      <w:r>
        <w:rPr>
          <w:b/>
          <w:i w:val="0"/>
        </w:rPr>
        <w:t>Ghana guidelines</w:t>
      </w:r>
      <w:r>
        <w:rPr>
          <w:b w:val="0"/>
          <w:i w:val="0"/>
        </w:rPr>
        <w:t xml:space="preserve">, </w:t>
      </w:r>
      <w:r>
        <w:rPr>
          <w:b/>
          <w:i w:val="0"/>
        </w:rPr>
        <w:t>WikiText-2</w:t>
      </w:r>
      <w:r>
        <w:rPr>
          <w:b w:val="0"/>
          <w:i w:val="0"/>
        </w:rPr>
        <w:t xml:space="preserve"> (general control).</w:t>
      </w:r>
    </w:p>
    <w:p>
      <w:pPr>
        <w:spacing w:after="60"/>
        <w:ind w:left="510" w:hanging="283"/>
      </w:pPr>
      <w:r>
        <w:rPr>
          <w:b w:val="0"/>
          <w:i w:val="0"/>
        </w:rPr>
        <w:t>•  Same tokenizer, same 700-word passages, same maximum context (1,024 tokens) for every model, so scores are directly comparable.</w:t>
      </w:r>
    </w:p>
    <w:p>
      <w:pPr>
        <w:spacing w:after="60"/>
        <w:ind w:left="510" w:hanging="283"/>
      </w:pPr>
      <w:r>
        <w:rPr>
          <w:b w:val="0"/>
          <w:i w:val="0"/>
        </w:rPr>
        <w:t>•  Expected pattern if the method works: health sets go down from A to B (Stage 1's job); general English stays roughly flat.</w:t>
      </w:r>
    </w:p>
    <w:p>
      <w:pPr>
        <w:pStyle w:val="Heading3"/>
      </w:pPr>
      <w:r>
        <w:t>6.2 Extrinsic evaluation: zero-shot multiple choice</w:t>
      </w:r>
    </w:p>
    <w:p>
      <w:pPr>
        <w:spacing w:after="60"/>
        <w:ind w:left="510" w:hanging="283"/>
      </w:pPr>
      <w:r>
        <w:rPr>
          <w:b w:val="0"/>
          <w:i w:val="0"/>
        </w:rPr>
        <w:t xml:space="preserve">•  Tasks: </w:t>
      </w:r>
      <w:r>
        <w:rPr>
          <w:b/>
          <w:i w:val="0"/>
        </w:rPr>
        <w:t>MedQA</w:t>
      </w:r>
      <w:r>
        <w:rPr>
          <w:b w:val="0"/>
          <w:i w:val="0"/>
        </w:rPr>
        <w:t xml:space="preserve"> (USMLE-style, 4 options), </w:t>
      </w:r>
      <w:r>
        <w:rPr>
          <w:b/>
          <w:i w:val="0"/>
        </w:rPr>
        <w:t>MedMCQA</w:t>
      </w:r>
      <w:r>
        <w:rPr>
          <w:b w:val="0"/>
          <w:i w:val="0"/>
        </w:rPr>
        <w:t xml:space="preserve"> (Indian medical entrance exams, 4 options), </w:t>
      </w:r>
      <w:r>
        <w:rPr>
          <w:b/>
          <w:i w:val="0"/>
        </w:rPr>
        <w:t>PubMedQA</w:t>
      </w:r>
      <w:r>
        <w:rPr>
          <w:b w:val="0"/>
          <w:i w:val="0"/>
        </w:rPr>
        <w:t xml:space="preserve"> (yes / no / maybe from an abstract).</w:t>
      </w:r>
    </w:p>
    <w:p>
      <w:pPr>
        <w:spacing w:after="60"/>
        <w:ind w:left="510" w:hanging="283"/>
      </w:pPr>
      <w:r>
        <w:rPr>
          <w:b w:val="0"/>
          <w:i w:val="0"/>
        </w:rPr>
        <w:t xml:space="preserve">•  Scoring method: append </w:t>
      </w:r>
      <w:r>
        <w:rPr>
          <w:rFonts w:ascii="Consolas" w:hAnsi="Consolas"/>
          <w:b w:val="0"/>
          <w:i w:val="0"/>
          <w:sz w:val="19"/>
        </w:rPr>
        <w:t>Answer:</w:t>
      </w:r>
      <w:r>
        <w:rPr>
          <w:b w:val="0"/>
          <w:i w:val="0"/>
        </w:rPr>
        <w:t xml:space="preserve"> and compare the model's next-token scores for " A", " B", " C", " D"; the highest wins. This needs no text generation and no answer parsing, so it is fast and fair to base models.</w:t>
      </w:r>
    </w:p>
    <w:p>
      <w:pPr>
        <w:spacing w:after="60"/>
        <w:ind w:left="510" w:hanging="283"/>
      </w:pPr>
      <w:r>
        <w:rPr>
          <w:b w:val="0"/>
          <w:i w:val="0"/>
        </w:rPr>
        <w:t xml:space="preserve">•  We score two prompt styles, </w:t>
      </w:r>
      <w:r>
        <w:rPr>
          <w:b/>
          <w:i w:val="0"/>
        </w:rPr>
        <w:t>plain</w:t>
      </w:r>
      <w:r>
        <w:rPr>
          <w:b w:val="0"/>
          <w:i w:val="0"/>
        </w:rPr>
        <w:t xml:space="preserve"> and </w:t>
      </w:r>
      <w:r>
        <w:rPr>
          <w:b/>
          <w:i w:val="0"/>
        </w:rPr>
        <w:t>chat</w:t>
      </w:r>
      <w:r>
        <w:rPr>
          <w:b w:val="0"/>
          <w:i w:val="0"/>
        </w:rPr>
        <w:t>, and report the better, because a base model may not understand the chat wrapper.</w:t>
      </w:r>
    </w:p>
    <w:p>
      <w:pPr>
        <w:spacing w:after="60"/>
        <w:ind w:left="510" w:hanging="283"/>
      </w:pPr>
      <w:r>
        <w:rPr>
          <w:b w:val="0"/>
          <w:i w:val="0"/>
        </w:rPr>
        <w:t xml:space="preserve">•  </w:t>
      </w:r>
      <w:r>
        <w:rPr>
          <w:b/>
          <w:i w:val="0"/>
        </w:rPr>
        <w:t>Chance levels:</w:t>
      </w:r>
      <w:r>
        <w:rPr>
          <w:b w:val="0"/>
          <w:i w:val="0"/>
        </w:rPr>
        <w:t xml:space="preserve"> 25% for MedQA and MedMCQA; PubMedQA is 3-way (33% chance), but always answering "yes" scores about 55%, so that is the bar to beat.</w:t>
      </w:r>
    </w:p>
    <w:p>
      <w:pPr>
        <w:spacing w:after="60"/>
        <w:ind w:left="510" w:hanging="283"/>
      </w:pPr>
      <w:r>
        <w:rPr>
          <w:b w:val="0"/>
          <w:i w:val="0"/>
        </w:rPr>
        <w:t xml:space="preserve">•  </w:t>
      </w:r>
      <w:r>
        <w:rPr>
          <w:b/>
          <w:i w:val="0"/>
        </w:rPr>
        <w:t>Reading the margins:</w:t>
      </w:r>
      <w:r>
        <w:rPr>
          <w:b w:val="0"/>
          <w:i w:val="0"/>
        </w:rPr>
        <w:t xml:space="preserve"> with N = 300 questions and accuracy p, the 95% margin of error is about ± 1.96 × √(p(1−p)/N), which is </w:t>
      </w:r>
      <w:r>
        <w:rPr>
          <w:b/>
          <w:i w:val="0"/>
        </w:rPr>
        <w:t>±5.7 points at p = 0.5</w:t>
      </w:r>
      <w:r>
        <w:rPr>
          <w:b w:val="0"/>
          <w:i w:val="0"/>
        </w:rPr>
        <w:t>. Differences smaller than about 5 points between models should not be claimed as real improvements.</w:t>
      </w:r>
    </w:p>
    <w:p>
      <w:pPr>
        <w:pStyle w:val="Heading3"/>
      </w:pPr>
      <w:r>
        <w:t>6.3 Qualitative evaluation: GP vignettes</w:t>
      </w:r>
    </w:p>
    <w:p>
      <w:r>
        <w:rPr>
          <w:b w:val="0"/>
          <w:i w:val="0"/>
        </w:rPr>
        <w:t>Twelve patient stories (for example a feverish child in Northern Ghana, pre-eclampsia in pregnancy, suspected tuberculosis, chest pain) plus ten held-out MedText cases. We compare the three models' answers side by side and check: plausible conditions named? warning signs mentioned? sensible next step? any dangerous or fabricated advice? These are read by a person; scores should be recorded as a simple table (see Appendix C).</w:t>
      </w:r>
    </w:p>
    <w:p>
      <w:pPr>
        <w:pStyle w:val="Heading3"/>
      </w:pPr>
      <w:r>
        <w:t>6.4 Limits of the evaluation</w:t>
      </w:r>
    </w:p>
    <w:p>
      <w:pPr>
        <w:spacing w:after="60"/>
        <w:ind w:left="510" w:hanging="283"/>
      </w:pPr>
      <w:r>
        <w:rPr>
          <w:b w:val="0"/>
          <w:i w:val="0"/>
        </w:rPr>
        <w:t>•  Exam questions measure recalled knowledge, not the quality of a consultation.</w:t>
      </w:r>
    </w:p>
    <w:p>
      <w:pPr>
        <w:spacing w:after="60"/>
        <w:ind w:left="510" w:hanging="283"/>
      </w:pPr>
      <w:r>
        <w:rPr>
          <w:b w:val="0"/>
          <w:i w:val="0"/>
        </w:rPr>
        <w:t>•  No clinician has reviewed the vignette answers.</w:t>
      </w:r>
    </w:p>
    <w:p>
      <w:pPr>
        <w:spacing w:after="60"/>
        <w:ind w:left="510" w:hanging="283"/>
      </w:pPr>
      <w:r>
        <w:rPr>
          <w:b w:val="0"/>
          <w:i w:val="0"/>
        </w:rPr>
        <w:t>•  The base model has likely already seen large amounts of biomedical text, so measurable gains may be modest.</w:t>
      </w:r>
    </w:p>
    <w:p>
      <w:pPr>
        <w:spacing w:after="60"/>
        <w:ind w:left="510" w:hanging="283"/>
      </w:pPr>
      <w:r>
        <w:rPr>
          <w:b w:val="0"/>
          <w:i w:val="0"/>
        </w:rPr>
        <w:t>•  PubMed Central articles are research prose; patient-facing language is represented mainly by MedlinePlus and Q&amp;A sets.</w:t>
      </w:r>
    </w:p>
    <w:p>
      <w:pPr>
        <w:pBdr>
          <w:bottom w:val="single" w:sz="6" w:space="4" w:color="999999"/>
        </w:pBdr>
      </w:pPr>
    </w:p>
    <w:p>
      <w:pPr>
        <w:pStyle w:val="Heading2"/>
      </w:pPr>
      <w:r>
        <w:t>Part 7. Section C, Q5: Results (TO BE FILLED AFTER THE COLAB RUN)</w:t>
      </w:r>
    </w:p>
    <w:p>
      <w:r>
        <w:rPr>
          <w:b w:val="0"/>
          <w:i w:val="0"/>
        </w:rPr>
        <w:t xml:space="preserve">Run notebooks 01, 02, 03 in order. Notebook 03 prints a ready-made table and saves </w:t>
      </w:r>
      <w:r>
        <w:rPr>
          <w:rFonts w:ascii="Consolas" w:hAnsi="Consolas"/>
          <w:b w:val="0"/>
          <w:i w:val="0"/>
          <w:sz w:val="19"/>
        </w:rPr>
        <w:t>eval_results.json</w:t>
      </w:r>
      <w:r>
        <w:rPr>
          <w:b w:val="0"/>
          <w:i w:val="0"/>
        </w:rPr>
        <w:t xml:space="preserve">, </w:t>
      </w:r>
      <w:r>
        <w:rPr>
          <w:rFonts w:ascii="Consolas" w:hAnsi="Consolas"/>
          <w:b w:val="0"/>
          <w:i w:val="0"/>
          <w:sz w:val="19"/>
        </w:rPr>
        <w:t>eval_summary.png</w:t>
      </w:r>
      <w:r>
        <w:rPr>
          <w:b w:val="0"/>
          <w:i w:val="0"/>
        </w:rPr>
        <w:t xml:space="preserve"> and side-by-side answers to Drive. Paste the numbers below. </w:t>
      </w:r>
      <w:r>
        <w:rPr>
          <w:b/>
          <w:i w:val="0"/>
        </w:rPr>
        <w:t>Do not write conclusions until the numbers exist.</w:t>
      </w:r>
    </w:p>
    <w:p>
      <w:r>
        <w:rPr>
          <w:b/>
          <w:i w:val="0"/>
        </w:rPr>
        <w:t>Table 1. Held-out perplexity (lower is better)</w:t>
      </w:r>
    </w:p>
    <w:tbl>
      <w:tblPr>
        <w:tblStyle w:val="TableGrid"/>
        <w:tblW w:type="auto" w:w="0"/>
        <w:tblLayout w:type="fixed"/>
        <w:tblLook w:firstColumn="1" w:firstRow="1" w:lastColumn="0" w:lastRow="0" w:noHBand="0" w:noVBand="1" w:val="04A0"/>
      </w:tblPr>
      <w:tblGrid>
        <w:gridCol w:w="1837"/>
        <w:gridCol w:w="1837"/>
        <w:gridCol w:w="1837"/>
        <w:gridCol w:w="1837"/>
        <w:gridCol w:w="1837"/>
      </w:tblGrid>
      <w:tr>
        <w:tc>
          <w:tcPr>
            <w:tcW w:type="dxa" w:w="2217"/>
            <w:shd w:val="clear" w:color="auto" w:fill="DBE5F1"/>
          </w:tcPr>
          <w:p>
            <w:pPr>
              <w:spacing w:after="20"/>
            </w:pPr>
            <w:r/>
            <w:r>
              <w:rPr>
                <w:b/>
                <w:i w:val="0"/>
                <w:sz w:val="18"/>
              </w:rPr>
              <w:t>Model</w:t>
            </w:r>
          </w:p>
        </w:tc>
        <w:tc>
          <w:tcPr>
            <w:tcW w:type="dxa" w:w="1689"/>
            <w:shd w:val="clear" w:color="auto" w:fill="DBE5F1"/>
          </w:tcPr>
          <w:p>
            <w:pPr>
              <w:spacing w:after="20"/>
            </w:pPr>
            <w:r/>
            <w:r>
              <w:rPr>
                <w:b/>
                <w:i w:val="0"/>
                <w:sz w:val="18"/>
              </w:rPr>
              <w:t>PubMed Central</w:t>
            </w:r>
          </w:p>
        </w:tc>
        <w:tc>
          <w:tcPr>
            <w:tcW w:type="dxa" w:w="1372"/>
            <w:shd w:val="clear" w:color="auto" w:fill="DBE5F1"/>
          </w:tcPr>
          <w:p>
            <w:pPr>
              <w:spacing w:after="20"/>
            </w:pPr>
            <w:r/>
            <w:r>
              <w:rPr>
                <w:b/>
                <w:i w:val="0"/>
                <w:sz w:val="18"/>
              </w:rPr>
              <w:t>MedlinePlus</w:t>
            </w:r>
          </w:p>
        </w:tc>
        <w:tc>
          <w:tcPr>
            <w:tcW w:type="dxa" w:w="1583"/>
            <w:shd w:val="clear" w:color="auto" w:fill="DBE5F1"/>
          </w:tcPr>
          <w:p>
            <w:pPr>
              <w:spacing w:after="20"/>
            </w:pPr>
            <w:r/>
            <w:r>
              <w:rPr>
                <w:b/>
                <w:i w:val="0"/>
                <w:sz w:val="18"/>
              </w:rPr>
              <w:t>Ghana STG/EML</w:t>
            </w:r>
          </w:p>
        </w:tc>
        <w:tc>
          <w:tcPr>
            <w:tcW w:type="dxa" w:w="2322"/>
            <w:shd w:val="clear" w:color="auto" w:fill="DBE5F1"/>
          </w:tcPr>
          <w:p>
            <w:pPr>
              <w:spacing w:after="20"/>
            </w:pPr>
            <w:r/>
            <w:r>
              <w:rPr>
                <w:b/>
                <w:i w:val="0"/>
                <w:sz w:val="18"/>
              </w:rPr>
              <w:t>WikiText-2 (control)</w:t>
            </w:r>
          </w:p>
        </w:tc>
      </w:tr>
      <w:tr>
        <w:tc>
          <w:tcPr>
            <w:tcW w:type="dxa" w:w="2217"/>
          </w:tcPr>
          <w:p>
            <w:pPr>
              <w:spacing w:after="20"/>
            </w:pPr>
            <w:r/>
            <w:r>
              <w:rPr>
                <w:b w:val="0"/>
                <w:i w:val="0"/>
                <w:sz w:val="18"/>
              </w:rPr>
              <w:t>A. Base</w:t>
            </w:r>
          </w:p>
        </w:tc>
        <w:tc>
          <w:tcPr>
            <w:tcW w:type="dxa" w:w="1689"/>
          </w:tcPr>
          <w:p>
            <w:pPr>
              <w:spacing w:after="20"/>
            </w:pPr>
            <w:r/>
            <w:r>
              <w:rPr>
                <w:b w:val="0"/>
                <w:i w:val="0"/>
                <w:sz w:val="18"/>
              </w:rPr>
              <w:t>TBD</w:t>
            </w:r>
          </w:p>
        </w:tc>
        <w:tc>
          <w:tcPr>
            <w:tcW w:type="dxa" w:w="1372"/>
          </w:tcPr>
          <w:p>
            <w:pPr>
              <w:spacing w:after="20"/>
            </w:pPr>
            <w:r/>
            <w:r>
              <w:rPr>
                <w:b w:val="0"/>
                <w:i w:val="0"/>
                <w:sz w:val="18"/>
              </w:rPr>
              <w:t>TBD</w:t>
            </w:r>
          </w:p>
        </w:tc>
        <w:tc>
          <w:tcPr>
            <w:tcW w:type="dxa" w:w="1583"/>
          </w:tcPr>
          <w:p>
            <w:pPr>
              <w:spacing w:after="20"/>
            </w:pPr>
            <w:r/>
            <w:r>
              <w:rPr>
                <w:b w:val="0"/>
                <w:i w:val="0"/>
                <w:sz w:val="18"/>
              </w:rPr>
              <w:t>TBD</w:t>
            </w:r>
          </w:p>
        </w:tc>
        <w:tc>
          <w:tcPr>
            <w:tcW w:type="dxa" w:w="2322"/>
          </w:tcPr>
          <w:p>
            <w:pPr>
              <w:spacing w:after="20"/>
            </w:pPr>
            <w:r/>
            <w:r>
              <w:rPr>
                <w:b w:val="0"/>
                <w:i w:val="0"/>
                <w:sz w:val="18"/>
              </w:rPr>
              <w:t>TBD</w:t>
            </w:r>
          </w:p>
        </w:tc>
      </w:tr>
      <w:tr>
        <w:tc>
          <w:tcPr>
            <w:tcW w:type="dxa" w:w="2217"/>
          </w:tcPr>
          <w:p>
            <w:pPr>
              <w:spacing w:after="20"/>
            </w:pPr>
            <w:r/>
            <w:r>
              <w:rPr>
                <w:b w:val="0"/>
                <w:i w:val="0"/>
                <w:sz w:val="18"/>
              </w:rPr>
              <w:t>B. + Stage 1</w:t>
            </w:r>
          </w:p>
        </w:tc>
        <w:tc>
          <w:tcPr>
            <w:tcW w:type="dxa" w:w="1689"/>
          </w:tcPr>
          <w:p>
            <w:pPr>
              <w:spacing w:after="20"/>
            </w:pPr>
            <w:r/>
            <w:r>
              <w:rPr>
                <w:b w:val="0"/>
                <w:i w:val="0"/>
                <w:sz w:val="18"/>
              </w:rPr>
              <w:t>TBD</w:t>
            </w:r>
          </w:p>
        </w:tc>
        <w:tc>
          <w:tcPr>
            <w:tcW w:type="dxa" w:w="1372"/>
          </w:tcPr>
          <w:p>
            <w:pPr>
              <w:spacing w:after="20"/>
            </w:pPr>
            <w:r/>
            <w:r>
              <w:rPr>
                <w:b w:val="0"/>
                <w:i w:val="0"/>
                <w:sz w:val="18"/>
              </w:rPr>
              <w:t>TBD</w:t>
            </w:r>
          </w:p>
        </w:tc>
        <w:tc>
          <w:tcPr>
            <w:tcW w:type="dxa" w:w="1583"/>
          </w:tcPr>
          <w:p>
            <w:pPr>
              <w:spacing w:after="20"/>
            </w:pPr>
            <w:r/>
            <w:r>
              <w:rPr>
                <w:b w:val="0"/>
                <w:i w:val="0"/>
                <w:sz w:val="18"/>
              </w:rPr>
              <w:t>TBD</w:t>
            </w:r>
          </w:p>
        </w:tc>
        <w:tc>
          <w:tcPr>
            <w:tcW w:type="dxa" w:w="2322"/>
          </w:tcPr>
          <w:p>
            <w:pPr>
              <w:spacing w:after="20"/>
            </w:pPr>
            <w:r/>
            <w:r>
              <w:rPr>
                <w:b w:val="0"/>
                <w:i w:val="0"/>
                <w:sz w:val="18"/>
              </w:rPr>
              <w:t>TBD</w:t>
            </w:r>
          </w:p>
        </w:tc>
      </w:tr>
      <w:tr>
        <w:tc>
          <w:tcPr>
            <w:tcW w:type="dxa" w:w="2217"/>
          </w:tcPr>
          <w:p>
            <w:pPr>
              <w:spacing w:after="20"/>
            </w:pPr>
            <w:r/>
            <w:r>
              <w:rPr>
                <w:b w:val="0"/>
                <w:i w:val="0"/>
                <w:sz w:val="18"/>
              </w:rPr>
              <w:t>C. + Stages 1 and 2</w:t>
            </w:r>
          </w:p>
        </w:tc>
        <w:tc>
          <w:tcPr>
            <w:tcW w:type="dxa" w:w="1689"/>
          </w:tcPr>
          <w:p>
            <w:pPr>
              <w:spacing w:after="20"/>
            </w:pPr>
            <w:r/>
            <w:r>
              <w:rPr>
                <w:b w:val="0"/>
                <w:i w:val="0"/>
                <w:sz w:val="18"/>
              </w:rPr>
              <w:t>TBD</w:t>
            </w:r>
          </w:p>
        </w:tc>
        <w:tc>
          <w:tcPr>
            <w:tcW w:type="dxa" w:w="1372"/>
          </w:tcPr>
          <w:p>
            <w:pPr>
              <w:spacing w:after="20"/>
            </w:pPr>
            <w:r/>
            <w:r>
              <w:rPr>
                <w:b w:val="0"/>
                <w:i w:val="0"/>
                <w:sz w:val="18"/>
              </w:rPr>
              <w:t>TBD</w:t>
            </w:r>
          </w:p>
        </w:tc>
        <w:tc>
          <w:tcPr>
            <w:tcW w:type="dxa" w:w="1583"/>
          </w:tcPr>
          <w:p>
            <w:pPr>
              <w:spacing w:after="20"/>
            </w:pPr>
            <w:r/>
            <w:r>
              <w:rPr>
                <w:b w:val="0"/>
                <w:i w:val="0"/>
                <w:sz w:val="18"/>
              </w:rPr>
              <w:t>TBD</w:t>
            </w:r>
          </w:p>
        </w:tc>
        <w:tc>
          <w:tcPr>
            <w:tcW w:type="dxa" w:w="2322"/>
          </w:tcPr>
          <w:p>
            <w:pPr>
              <w:spacing w:after="20"/>
            </w:pPr>
            <w:r/>
            <w:r>
              <w:rPr>
                <w:b w:val="0"/>
                <w:i w:val="0"/>
                <w:sz w:val="18"/>
              </w:rPr>
              <w:t>TBD</w:t>
            </w:r>
          </w:p>
        </w:tc>
      </w:tr>
    </w:tbl>
    <w:p>
      <w:pPr>
        <w:spacing w:after="40"/>
      </w:pPr>
    </w:p>
    <w:p>
      <w:r>
        <w:rPr>
          <w:b/>
          <w:i w:val="0"/>
        </w:rPr>
        <w:t>Table 2. Zero-shot multiple-choice accuracy (higher is better; N = 300 per task)</w:t>
      </w:r>
    </w:p>
    <w:tbl>
      <w:tblPr>
        <w:tblStyle w:val="TableGrid"/>
        <w:tblW w:type="auto" w:w="0"/>
        <w:tblLayout w:type="fixed"/>
        <w:tblLook w:firstColumn="1" w:firstRow="1" w:lastColumn="0" w:lastRow="0" w:noHBand="0" w:noVBand="1" w:val="04A0"/>
      </w:tblPr>
      <w:tblGrid>
        <w:gridCol w:w="2296"/>
        <w:gridCol w:w="2296"/>
        <w:gridCol w:w="2296"/>
        <w:gridCol w:w="2296"/>
      </w:tblGrid>
      <w:tr>
        <w:tc>
          <w:tcPr>
            <w:tcW w:type="dxa" w:w="3325"/>
            <w:shd w:val="clear" w:color="auto" w:fill="DBE5F1"/>
          </w:tcPr>
          <w:p>
            <w:pPr>
              <w:spacing w:after="20"/>
            </w:pPr>
            <w:r/>
            <w:r>
              <w:rPr>
                <w:b/>
                <w:i w:val="0"/>
                <w:sz w:val="18"/>
              </w:rPr>
              <w:t>Model</w:t>
            </w:r>
          </w:p>
        </w:tc>
        <w:tc>
          <w:tcPr>
            <w:tcW w:type="dxa" w:w="1267"/>
            <w:shd w:val="clear" w:color="auto" w:fill="DBE5F1"/>
          </w:tcPr>
          <w:p>
            <w:pPr>
              <w:spacing w:after="20"/>
            </w:pPr>
            <w:r/>
            <w:r>
              <w:rPr>
                <w:b/>
                <w:i w:val="0"/>
                <w:sz w:val="18"/>
              </w:rPr>
              <w:t>MedQA</w:t>
            </w:r>
          </w:p>
        </w:tc>
        <w:tc>
          <w:tcPr>
            <w:tcW w:type="dxa" w:w="1425"/>
            <w:shd w:val="clear" w:color="auto" w:fill="DBE5F1"/>
          </w:tcPr>
          <w:p>
            <w:pPr>
              <w:spacing w:after="20"/>
            </w:pPr>
            <w:r/>
            <w:r>
              <w:rPr>
                <w:b/>
                <w:i w:val="0"/>
                <w:sz w:val="18"/>
              </w:rPr>
              <w:t>MedMCQA</w:t>
            </w:r>
          </w:p>
        </w:tc>
        <w:tc>
          <w:tcPr>
            <w:tcW w:type="dxa" w:w="3167"/>
            <w:shd w:val="clear" w:color="auto" w:fill="DBE5F1"/>
          </w:tcPr>
          <w:p>
            <w:pPr>
              <w:spacing w:after="20"/>
            </w:pPr>
            <w:r/>
            <w:r>
              <w:rPr>
                <w:b/>
                <w:i w:val="0"/>
                <w:sz w:val="18"/>
              </w:rPr>
              <w:t>PubMedQA</w:t>
            </w:r>
          </w:p>
        </w:tc>
      </w:tr>
      <w:tr>
        <w:tc>
          <w:tcPr>
            <w:tcW w:type="dxa" w:w="3325"/>
          </w:tcPr>
          <w:p>
            <w:pPr>
              <w:spacing w:after="20"/>
            </w:pPr>
            <w:r/>
            <w:r>
              <w:rPr>
                <w:b w:val="0"/>
                <w:i w:val="0"/>
                <w:sz w:val="18"/>
              </w:rPr>
              <w:t>Chance / majority</w:t>
            </w:r>
          </w:p>
        </w:tc>
        <w:tc>
          <w:tcPr>
            <w:tcW w:type="dxa" w:w="1267"/>
          </w:tcPr>
          <w:p>
            <w:pPr>
              <w:spacing w:after="20"/>
            </w:pPr>
            <w:r/>
            <w:r>
              <w:rPr>
                <w:b w:val="0"/>
                <w:i w:val="0"/>
                <w:sz w:val="18"/>
              </w:rPr>
              <w:t>25%</w:t>
            </w:r>
          </w:p>
        </w:tc>
        <w:tc>
          <w:tcPr>
            <w:tcW w:type="dxa" w:w="1425"/>
          </w:tcPr>
          <w:p>
            <w:pPr>
              <w:spacing w:after="20"/>
            </w:pPr>
            <w:r/>
            <w:r>
              <w:rPr>
                <w:b w:val="0"/>
                <w:i w:val="0"/>
                <w:sz w:val="18"/>
              </w:rPr>
              <w:t>25%</w:t>
            </w:r>
          </w:p>
        </w:tc>
        <w:tc>
          <w:tcPr>
            <w:tcW w:type="dxa" w:w="3167"/>
          </w:tcPr>
          <w:p>
            <w:pPr>
              <w:spacing w:after="20"/>
            </w:pPr>
            <w:r/>
            <w:r>
              <w:rPr>
                <w:b w:val="0"/>
                <w:i w:val="0"/>
                <w:sz w:val="18"/>
              </w:rPr>
              <w:t>33% (55% majority)</w:t>
            </w:r>
          </w:p>
        </w:tc>
      </w:tr>
      <w:tr>
        <w:tc>
          <w:tcPr>
            <w:tcW w:type="dxa" w:w="3325"/>
          </w:tcPr>
          <w:p>
            <w:pPr>
              <w:spacing w:after="20"/>
            </w:pPr>
            <w:r/>
            <w:r>
              <w:rPr>
                <w:b w:val="0"/>
                <w:i w:val="0"/>
                <w:sz w:val="18"/>
              </w:rPr>
              <w:t>A. Base</w:t>
            </w:r>
          </w:p>
        </w:tc>
        <w:tc>
          <w:tcPr>
            <w:tcW w:type="dxa" w:w="1267"/>
          </w:tcPr>
          <w:p>
            <w:pPr>
              <w:spacing w:after="20"/>
            </w:pPr>
            <w:r/>
            <w:r>
              <w:rPr>
                <w:b w:val="0"/>
                <w:i w:val="0"/>
                <w:sz w:val="18"/>
              </w:rPr>
              <w:t>TBD</w:t>
            </w:r>
          </w:p>
        </w:tc>
        <w:tc>
          <w:tcPr>
            <w:tcW w:type="dxa" w:w="1425"/>
          </w:tcPr>
          <w:p>
            <w:pPr>
              <w:spacing w:after="20"/>
            </w:pPr>
            <w:r/>
            <w:r>
              <w:rPr>
                <w:b w:val="0"/>
                <w:i w:val="0"/>
                <w:sz w:val="18"/>
              </w:rPr>
              <w:t>TBD</w:t>
            </w:r>
          </w:p>
        </w:tc>
        <w:tc>
          <w:tcPr>
            <w:tcW w:type="dxa" w:w="3167"/>
          </w:tcPr>
          <w:p>
            <w:pPr>
              <w:spacing w:after="20"/>
            </w:pPr>
            <w:r/>
            <w:r>
              <w:rPr>
                <w:b w:val="0"/>
                <w:i w:val="0"/>
                <w:sz w:val="18"/>
              </w:rPr>
              <w:t>TBD</w:t>
            </w:r>
          </w:p>
        </w:tc>
      </w:tr>
      <w:tr>
        <w:tc>
          <w:tcPr>
            <w:tcW w:type="dxa" w:w="3325"/>
          </w:tcPr>
          <w:p>
            <w:pPr>
              <w:spacing w:after="20"/>
            </w:pPr>
            <w:r/>
            <w:r>
              <w:rPr>
                <w:b w:val="0"/>
                <w:i w:val="0"/>
                <w:sz w:val="18"/>
              </w:rPr>
              <w:t>B. + Stage 1</w:t>
            </w:r>
          </w:p>
        </w:tc>
        <w:tc>
          <w:tcPr>
            <w:tcW w:type="dxa" w:w="1267"/>
          </w:tcPr>
          <w:p>
            <w:pPr>
              <w:spacing w:after="20"/>
            </w:pPr>
            <w:r/>
            <w:r>
              <w:rPr>
                <w:b w:val="0"/>
                <w:i w:val="0"/>
                <w:sz w:val="18"/>
              </w:rPr>
              <w:t>TBD</w:t>
            </w:r>
          </w:p>
        </w:tc>
        <w:tc>
          <w:tcPr>
            <w:tcW w:type="dxa" w:w="1425"/>
          </w:tcPr>
          <w:p>
            <w:pPr>
              <w:spacing w:after="20"/>
            </w:pPr>
            <w:r/>
            <w:r>
              <w:rPr>
                <w:b w:val="0"/>
                <w:i w:val="0"/>
                <w:sz w:val="18"/>
              </w:rPr>
              <w:t>TBD</w:t>
            </w:r>
          </w:p>
        </w:tc>
        <w:tc>
          <w:tcPr>
            <w:tcW w:type="dxa" w:w="3167"/>
          </w:tcPr>
          <w:p>
            <w:pPr>
              <w:spacing w:after="20"/>
            </w:pPr>
            <w:r/>
            <w:r>
              <w:rPr>
                <w:b w:val="0"/>
                <w:i w:val="0"/>
                <w:sz w:val="18"/>
              </w:rPr>
              <w:t>TBD</w:t>
            </w:r>
          </w:p>
        </w:tc>
      </w:tr>
      <w:tr>
        <w:tc>
          <w:tcPr>
            <w:tcW w:type="dxa" w:w="3325"/>
          </w:tcPr>
          <w:p>
            <w:pPr>
              <w:spacing w:after="20"/>
            </w:pPr>
            <w:r/>
            <w:r>
              <w:rPr>
                <w:b w:val="0"/>
                <w:i w:val="0"/>
                <w:sz w:val="18"/>
              </w:rPr>
              <w:t>C. + Stages 1 and 2</w:t>
            </w:r>
          </w:p>
        </w:tc>
        <w:tc>
          <w:tcPr>
            <w:tcW w:type="dxa" w:w="1267"/>
          </w:tcPr>
          <w:p>
            <w:pPr>
              <w:spacing w:after="20"/>
            </w:pPr>
            <w:r/>
            <w:r>
              <w:rPr>
                <w:b w:val="0"/>
                <w:i w:val="0"/>
                <w:sz w:val="18"/>
              </w:rPr>
              <w:t>TBD</w:t>
            </w:r>
          </w:p>
        </w:tc>
        <w:tc>
          <w:tcPr>
            <w:tcW w:type="dxa" w:w="1425"/>
          </w:tcPr>
          <w:p>
            <w:pPr>
              <w:spacing w:after="20"/>
            </w:pPr>
            <w:r/>
            <w:r>
              <w:rPr>
                <w:b w:val="0"/>
                <w:i w:val="0"/>
                <w:sz w:val="18"/>
              </w:rPr>
              <w:t>TBD</w:t>
            </w:r>
          </w:p>
        </w:tc>
        <w:tc>
          <w:tcPr>
            <w:tcW w:type="dxa" w:w="3167"/>
          </w:tcPr>
          <w:p>
            <w:pPr>
              <w:spacing w:after="20"/>
            </w:pPr>
            <w:r/>
            <w:r>
              <w:rPr>
                <w:b w:val="0"/>
                <w:i w:val="0"/>
                <w:sz w:val="18"/>
              </w:rPr>
              <w:t>TBD</w:t>
            </w:r>
          </w:p>
        </w:tc>
      </w:tr>
    </w:tbl>
    <w:p>
      <w:pPr>
        <w:spacing w:after="40"/>
      </w:pPr>
    </w:p>
    <w:p>
      <w:pPr>
        <w:spacing w:after="160"/>
        <w:ind w:left="227"/>
        <w:shd w:val="clear" w:color="auto" w:fill="EEF3FA"/>
        <w:pBdr>
          <w:left w:val="single" w:sz="18" w:space="4" w:color="2F5496"/>
        </w:pBdr>
      </w:pPr>
      <w:r>
        <w:rPr>
          <w:b/>
          <w:i w:val="0"/>
        </w:rPr>
        <w:t>[FIGURE PLACEHOLDER: insert eval_summary.png here after the Colab run]</w:t>
      </w:r>
    </w:p>
    <w:p>
      <w:r>
        <w:rPr>
          <w:b w:val="0"/>
          <w:i/>
        </w:rPr>
        <w:t>Figure 5 (TBD). Perplexity and accuracy, all three models (notebook 03 saves eval_summary.png).</w:t>
      </w:r>
    </w:p>
    <w:p>
      <w:pPr>
        <w:pStyle w:val="Heading3"/>
      </w:pPr>
      <w:r>
        <w:t>How to interpret whatever you get (use this to write your discussion)</w:t>
      </w:r>
    </w:p>
    <w:tbl>
      <w:tblPr>
        <w:tblStyle w:val="TableGrid"/>
        <w:tblW w:type="auto" w:w="0"/>
        <w:tblLayout w:type="fixed"/>
        <w:tblLook w:firstColumn="1" w:firstRow="1" w:lastColumn="0" w:lastRow="0" w:noHBand="0" w:noVBand="1" w:val="04A0"/>
      </w:tblPr>
      <w:tblGrid>
        <w:gridCol w:w="3061"/>
        <w:gridCol w:w="3061"/>
        <w:gridCol w:w="3061"/>
      </w:tblGrid>
      <w:tr>
        <w:tc>
          <w:tcPr>
            <w:tcW w:type="dxa" w:w="3261"/>
            <w:shd w:val="clear" w:color="auto" w:fill="DBE5F1"/>
          </w:tcPr>
          <w:p>
            <w:pPr>
              <w:spacing w:after="20"/>
            </w:pPr>
            <w:r/>
            <w:r>
              <w:rPr>
                <w:b/>
                <w:i w:val="0"/>
                <w:sz w:val="18"/>
              </w:rPr>
              <w:t>If you see…</w:t>
            </w:r>
          </w:p>
        </w:tc>
        <w:tc>
          <w:tcPr>
            <w:tcW w:type="dxa" w:w="2663"/>
            <w:shd w:val="clear" w:color="auto" w:fill="DBE5F1"/>
          </w:tcPr>
          <w:p>
            <w:pPr>
              <w:spacing w:after="20"/>
            </w:pPr>
            <w:r/>
            <w:r>
              <w:rPr>
                <w:b/>
                <w:i w:val="0"/>
                <w:sz w:val="18"/>
              </w:rPr>
              <w:t>It suggests…</w:t>
            </w:r>
          </w:p>
        </w:tc>
        <w:tc>
          <w:tcPr>
            <w:tcW w:type="dxa" w:w="3261"/>
            <w:shd w:val="clear" w:color="auto" w:fill="DBE5F1"/>
          </w:tcPr>
          <w:p>
            <w:pPr>
              <w:spacing w:after="20"/>
            </w:pPr>
            <w:r/>
            <w:r>
              <w:rPr>
                <w:b/>
                <w:i w:val="0"/>
                <w:sz w:val="18"/>
              </w:rPr>
              <w:t>What to say</w:t>
            </w:r>
          </w:p>
        </w:tc>
      </w:tr>
      <w:tr>
        <w:tc>
          <w:tcPr>
            <w:tcW w:type="dxa" w:w="3261"/>
          </w:tcPr>
          <w:p>
            <w:pPr>
              <w:spacing w:after="20"/>
            </w:pPr>
            <w:r/>
            <w:r>
              <w:rPr>
                <w:b w:val="0"/>
                <w:i w:val="0"/>
                <w:sz w:val="18"/>
              </w:rPr>
              <w:t>Health perplexity drops A → B, general perplexity about flat</w:t>
            </w:r>
          </w:p>
        </w:tc>
        <w:tc>
          <w:tcPr>
            <w:tcW w:type="dxa" w:w="2663"/>
          </w:tcPr>
          <w:p>
            <w:pPr>
              <w:spacing w:after="20"/>
            </w:pPr>
            <w:r/>
            <w:r>
              <w:rPr>
                <w:b w:val="0"/>
                <w:i w:val="0"/>
                <w:sz w:val="18"/>
              </w:rPr>
              <w:t>Stage 1 worked without forgetting</w:t>
            </w:r>
          </w:p>
        </w:tc>
        <w:tc>
          <w:tcPr>
            <w:tcW w:type="dxa" w:w="3261"/>
          </w:tcPr>
          <w:p>
            <w:pPr>
              <w:spacing w:after="20"/>
            </w:pPr>
            <w:r/>
            <w:r>
              <w:rPr>
                <w:b w:val="0"/>
                <w:i w:val="0"/>
                <w:sz w:val="18"/>
              </w:rPr>
              <w:t>The model adapted to the domain</w:t>
            </w:r>
          </w:p>
        </w:tc>
      </w:tr>
      <w:tr>
        <w:tc>
          <w:tcPr>
            <w:tcW w:type="dxa" w:w="3261"/>
          </w:tcPr>
          <w:p>
            <w:pPr>
              <w:spacing w:after="20"/>
            </w:pPr>
            <w:r/>
            <w:r>
              <w:rPr>
                <w:b w:val="0"/>
                <w:i w:val="0"/>
                <w:sz w:val="18"/>
              </w:rPr>
              <w:t>Health perplexity drops but general perplexity rises a lot</w:t>
            </w:r>
          </w:p>
        </w:tc>
        <w:tc>
          <w:tcPr>
            <w:tcW w:type="dxa" w:w="2663"/>
          </w:tcPr>
          <w:p>
            <w:pPr>
              <w:spacing w:after="20"/>
            </w:pPr>
            <w:r/>
            <w:r>
              <w:rPr>
                <w:b w:val="0"/>
                <w:i w:val="0"/>
                <w:sz w:val="18"/>
              </w:rPr>
              <w:t>Some forgetting</w:t>
            </w:r>
          </w:p>
        </w:tc>
        <w:tc>
          <w:tcPr>
            <w:tcW w:type="dxa" w:w="3261"/>
          </w:tcPr>
          <w:p>
            <w:pPr>
              <w:spacing w:after="20"/>
            </w:pPr>
            <w:r/>
            <w:r>
              <w:rPr>
                <w:b w:val="0"/>
                <w:i w:val="0"/>
                <w:sz w:val="18"/>
              </w:rPr>
              <w:t>A lower learning rate, fewer tokens, or mixing general text would help</w:t>
            </w:r>
          </w:p>
        </w:tc>
      </w:tr>
      <w:tr>
        <w:tc>
          <w:tcPr>
            <w:tcW w:type="dxa" w:w="3261"/>
          </w:tcPr>
          <w:p>
            <w:pPr>
              <w:spacing w:after="20"/>
            </w:pPr>
            <w:r/>
            <w:r>
              <w:rPr>
                <w:b w:val="0"/>
                <w:i w:val="0"/>
                <w:sz w:val="18"/>
              </w:rPr>
              <w:t>Accuracy improves B → C</w:t>
            </w:r>
          </w:p>
        </w:tc>
        <w:tc>
          <w:tcPr>
            <w:tcW w:type="dxa" w:w="2663"/>
          </w:tcPr>
          <w:p>
            <w:pPr>
              <w:spacing w:after="20"/>
            </w:pPr>
            <w:r/>
            <w:r>
              <w:rPr>
                <w:b w:val="0"/>
                <w:i w:val="0"/>
                <w:sz w:val="18"/>
              </w:rPr>
              <w:t>Stage 2 taught answer format and some knowledge</w:t>
            </w:r>
          </w:p>
        </w:tc>
        <w:tc>
          <w:tcPr>
            <w:tcW w:type="dxa" w:w="3261"/>
          </w:tcPr>
          <w:p>
            <w:pPr>
              <w:spacing w:after="20"/>
            </w:pPr>
            <w:r/>
            <w:r>
              <w:rPr>
                <w:b w:val="0"/>
                <w:i w:val="0"/>
                <w:sz w:val="18"/>
              </w:rPr>
              <w:t>Instruction tuning matters for using knowledge</w:t>
            </w:r>
          </w:p>
        </w:tc>
      </w:tr>
      <w:tr>
        <w:tc>
          <w:tcPr>
            <w:tcW w:type="dxa" w:w="3261"/>
          </w:tcPr>
          <w:p>
            <w:pPr>
              <w:spacing w:after="20"/>
            </w:pPr>
            <w:r/>
            <w:r>
              <w:rPr>
                <w:b w:val="0"/>
                <w:i w:val="0"/>
                <w:sz w:val="18"/>
              </w:rPr>
              <w:t>Accuracy unchanged within ±5 points</w:t>
            </w:r>
          </w:p>
        </w:tc>
        <w:tc>
          <w:tcPr>
            <w:tcW w:type="dxa" w:w="2663"/>
          </w:tcPr>
          <w:p>
            <w:pPr>
              <w:spacing w:after="20"/>
            </w:pPr>
            <w:r/>
            <w:r>
              <w:rPr>
                <w:b w:val="0"/>
                <w:i w:val="0"/>
                <w:sz w:val="18"/>
              </w:rPr>
              <w:t>No reliable difference</w:t>
            </w:r>
          </w:p>
        </w:tc>
        <w:tc>
          <w:tcPr>
            <w:tcW w:type="dxa" w:w="3261"/>
          </w:tcPr>
          <w:p>
            <w:pPr>
              <w:spacing w:after="20"/>
            </w:pPr>
            <w:r/>
            <w:r>
              <w:rPr>
                <w:b w:val="0"/>
                <w:i w:val="0"/>
                <w:sz w:val="18"/>
              </w:rPr>
              <w:t>Honest null result: the base model already knew this material; gains, if any, are in style and structure</w:t>
            </w:r>
          </w:p>
        </w:tc>
      </w:tr>
      <w:tr>
        <w:tc>
          <w:tcPr>
            <w:tcW w:type="dxa" w:w="3261"/>
          </w:tcPr>
          <w:p>
            <w:pPr>
              <w:spacing w:after="20"/>
            </w:pPr>
            <w:r/>
            <w:r>
              <w:rPr>
                <w:b w:val="0"/>
                <w:i w:val="0"/>
                <w:sz w:val="18"/>
              </w:rPr>
              <w:t>Ghana STG perplexity drops more than PubMed</w:t>
            </w:r>
          </w:p>
        </w:tc>
        <w:tc>
          <w:tcPr>
            <w:tcW w:type="dxa" w:w="2663"/>
          </w:tcPr>
          <w:p>
            <w:pPr>
              <w:spacing w:after="20"/>
            </w:pPr>
            <w:r/>
            <w:r>
              <w:rPr>
                <w:b w:val="0"/>
                <w:i w:val="0"/>
                <w:sz w:val="18"/>
              </w:rPr>
              <w:t>Local text repeated 3× was absorbed</w:t>
            </w:r>
          </w:p>
        </w:tc>
        <w:tc>
          <w:tcPr>
            <w:tcW w:type="dxa" w:w="3261"/>
          </w:tcPr>
          <w:p>
            <w:pPr>
              <w:spacing w:after="20"/>
            </w:pPr>
            <w:r/>
            <w:r>
              <w:rPr>
                <w:b w:val="0"/>
                <w:i w:val="0"/>
                <w:sz w:val="18"/>
              </w:rPr>
              <w:t>Upweighting small local data works (or risks memorisation; see the note in Part 8)</w:t>
            </w:r>
          </w:p>
        </w:tc>
      </w:tr>
      <w:tr>
        <w:tc>
          <w:tcPr>
            <w:tcW w:type="dxa" w:w="3261"/>
          </w:tcPr>
          <w:p>
            <w:pPr>
              <w:spacing w:after="20"/>
            </w:pPr>
            <w:r/>
            <w:r>
              <w:rPr>
                <w:b w:val="0"/>
                <w:i w:val="0"/>
                <w:sz w:val="18"/>
              </w:rPr>
              <w:t>Model C answers are structured and cautious; A rambles</w:t>
            </w:r>
          </w:p>
        </w:tc>
        <w:tc>
          <w:tcPr>
            <w:tcW w:type="dxa" w:w="2663"/>
          </w:tcPr>
          <w:p>
            <w:pPr>
              <w:spacing w:after="20"/>
            </w:pPr>
            <w:r/>
            <w:r>
              <w:rPr>
                <w:b w:val="0"/>
                <w:i w:val="0"/>
                <w:sz w:val="18"/>
              </w:rPr>
              <w:t>Behaviour improved</w:t>
            </w:r>
          </w:p>
        </w:tc>
        <w:tc>
          <w:tcPr>
            <w:tcW w:type="dxa" w:w="3261"/>
          </w:tcPr>
          <w:p>
            <w:pPr>
              <w:spacing w:after="20"/>
            </w:pPr>
            <w:r/>
            <w:r>
              <w:rPr>
                <w:b w:val="0"/>
                <w:i w:val="0"/>
                <w:sz w:val="18"/>
              </w:rPr>
              <w:t>Report with example vignettes</w:t>
            </w:r>
          </w:p>
        </w:tc>
      </w:tr>
    </w:tbl>
    <w:p>
      <w:pPr>
        <w:spacing w:after="40"/>
      </w:pPr>
    </w:p>
    <w:p>
      <w:pPr>
        <w:pBdr>
          <w:bottom w:val="single" w:sz="6" w:space="4" w:color="999999"/>
        </w:pBdr>
      </w:pPr>
    </w:p>
    <w:p>
      <w:pPr>
        <w:pStyle w:val="Heading2"/>
      </w:pPr>
      <w:r>
        <w:t>Part 8. Section C, Q6: What else should we know?</w:t>
      </w:r>
    </w:p>
    <w:p>
      <w:r>
        <w:rPr>
          <w:b/>
          <w:i w:val="0"/>
        </w:rPr>
        <w:t>Design choices worth knowing</w:t>
      </w:r>
    </w:p>
    <w:p>
      <w:pPr>
        <w:spacing w:after="60"/>
        <w:ind w:left="510" w:hanging="283"/>
      </w:pPr>
      <w:r>
        <w:rPr>
          <w:b w:val="0"/>
          <w:i w:val="0"/>
        </w:rPr>
        <w:t xml:space="preserve">•  </w:t>
      </w:r>
      <w:r>
        <w:rPr>
          <w:b/>
          <w:i w:val="0"/>
        </w:rPr>
        <w:t>Upweighting Ghana guidelines</w:t>
      </w:r>
      <w:r>
        <w:rPr>
          <w:b w:val="0"/>
          <w:i w:val="0"/>
        </w:rPr>
        <w:t xml:space="preserve"> (3×): helps the model see local content but risks over-fitting to those pages. The held-out Ghana windows (45) measure whether it generalised or just memorised.</w:t>
      </w:r>
    </w:p>
    <w:p>
      <w:pPr>
        <w:spacing w:after="60"/>
        <w:ind w:left="510" w:hanging="283"/>
      </w:pPr>
      <w:r>
        <w:rPr>
          <w:b w:val="0"/>
          <w:i w:val="0"/>
        </w:rPr>
        <w:t xml:space="preserve">•  </w:t>
      </w:r>
      <w:r>
        <w:rPr>
          <w:b/>
          <w:i w:val="0"/>
        </w:rPr>
        <w:t>Fixed ChatML format:</w:t>
      </w:r>
      <w:r>
        <w:rPr>
          <w:b w:val="0"/>
          <w:i w:val="0"/>
        </w:rPr>
        <w:t xml:space="preserve"> avoids depending on whether a base model ships a chat template, and guarantees identical prompts across A, B and C.</w:t>
      </w:r>
    </w:p>
    <w:p>
      <w:pPr>
        <w:spacing w:after="60"/>
        <w:ind w:left="510" w:hanging="283"/>
      </w:pPr>
      <w:r>
        <w:rPr>
          <w:b w:val="0"/>
          <w:i w:val="0"/>
        </w:rPr>
        <w:t xml:space="preserve">•  </w:t>
      </w:r>
      <w:r>
        <w:rPr>
          <w:b/>
          <w:i w:val="0"/>
        </w:rPr>
        <w:t>Base vs adapter:</w:t>
      </w:r>
      <w:r>
        <w:rPr>
          <w:b w:val="0"/>
          <w:i w:val="0"/>
        </w:rPr>
        <w:t xml:space="preserve"> the base model is never modified. Model A is evaluated with the original weights; B and C load saved adapters. Everything is reproducible from the base download plus two small adapter files.</w:t>
      </w:r>
    </w:p>
    <w:p>
      <w:pPr>
        <w:spacing w:after="60"/>
        <w:ind w:left="510" w:hanging="283"/>
      </w:pPr>
      <w:r>
        <w:rPr>
          <w:b w:val="0"/>
          <w:i w:val="0"/>
        </w:rPr>
        <w:t xml:space="preserve">•  </w:t>
      </w:r>
      <w:r>
        <w:rPr>
          <w:b/>
          <w:i w:val="0"/>
        </w:rPr>
        <w:t>Compute-driven scope:</w:t>
      </w:r>
      <w:r>
        <w:rPr>
          <w:b w:val="0"/>
          <w:i w:val="0"/>
        </w:rPr>
        <w:t xml:space="preserve"> the T4 limits training to about 6M tokens even though about 19M are available. This is an honest limitation and a natural "future work" item.</w:t>
      </w:r>
    </w:p>
    <w:p>
      <w:r>
        <w:rPr>
          <w:b/>
          <w:i w:val="0"/>
        </w:rPr>
        <w:t>Limitations and risks</w:t>
      </w:r>
    </w:p>
    <w:p>
      <w:pPr>
        <w:spacing w:after="60"/>
        <w:ind w:left="510" w:hanging="283"/>
      </w:pPr>
      <w:r>
        <w:rPr>
          <w:b w:val="0"/>
          <w:i w:val="0"/>
        </w:rPr>
        <w:t>•  Health advice from a small model can be confidently wrong. The model can invent drug doses and conditions. It is a study exercise, not a clinical tool.</w:t>
      </w:r>
    </w:p>
    <w:p>
      <w:pPr>
        <w:spacing w:after="60"/>
        <w:ind w:left="510" w:hanging="283"/>
      </w:pPr>
      <w:r>
        <w:rPr>
          <w:b w:val="0"/>
          <w:i w:val="0"/>
        </w:rPr>
        <w:t>•  Guidelines age. The Ghana STG we used is the 2017 edition; a newer edition would supersede it.</w:t>
      </w:r>
    </w:p>
    <w:p>
      <w:pPr>
        <w:spacing w:after="60"/>
        <w:ind w:left="510" w:hanging="283"/>
      </w:pPr>
      <w:r>
        <w:rPr>
          <w:b w:val="0"/>
          <w:i w:val="0"/>
        </w:rPr>
        <w:t>•  Licences: some PubMed Central articles are non-commercial (NC); our use is educational. If the model were ever released commercially, filter to CC BY / CC0 only (the licence is stored per article for exactly this reason).</w:t>
      </w:r>
    </w:p>
    <w:p>
      <w:pPr>
        <w:spacing w:after="60"/>
        <w:ind w:left="510" w:hanging="283"/>
      </w:pPr>
      <w:r>
        <w:rPr>
          <w:b w:val="0"/>
          <w:i w:val="0"/>
        </w:rPr>
        <w:t>•  Bias: sources are mostly English, US/European research and exam material; conditions and drug availability common in rural Ghana may be under-represented, and local languages are not covered.</w:t>
      </w:r>
    </w:p>
    <w:p>
      <w:r>
        <w:rPr>
          <w:b/>
          <w:i w:val="0"/>
        </w:rPr>
        <w:t>Ethics (ties to Section A, Q13).</w:t>
      </w:r>
      <w:r>
        <w:rPr>
          <w:b w:val="0"/>
          <w:i w:val="0"/>
        </w:rPr>
        <w:t xml:space="preserve"> Health is a high-stakes domain: hallucination, over-confidence, privacy (we avoided datasets that scraped patient chats), equity (whose health data is represented), transparency (say clearly it is an AI, not a doctor), and accountability (a human clinician must stay in the loop). Mitigations we used: licensed, non-personal data; explicit "general information, not a substitute for a clinician" system prompt; evaluation on unseen data; honest reporting of limits. Mitigations we would add: clinician review, red-flag rule checks that override the model, alignment training (RLHF / DPO) for safe refusals, and retrieval with citations.</w:t>
      </w:r>
    </w:p>
    <w:p>
      <w:r>
        <w:rPr>
          <w:b/>
          <w:i w:val="0"/>
        </w:rPr>
        <w:t>Future work.</w:t>
      </w:r>
      <w:r>
        <w:rPr>
          <w:b w:val="0"/>
          <w:i w:val="0"/>
        </w:rPr>
        <w:t xml:space="preserve"> Add RAG over the Ghana guidelines; a clinician-graded evaluation; more tokens or a 9B model; alignment for safety; local-language support.</w:t>
      </w:r>
    </w:p>
    <w:p>
      <w:pPr>
        <w:pBdr>
          <w:bottom w:val="single" w:sz="6" w:space="4" w:color="999999"/>
        </w:pBdr>
      </w:pPr>
    </w:p>
    <w:p>
      <w:pPr>
        <w:pStyle w:val="Heading2"/>
      </w:pPr>
      <w:r>
        <w:t>Part 9. Lessons learned</w:t>
      </w:r>
    </w:p>
    <w:p>
      <w:r>
        <w:rPr>
          <w:b w:val="0"/>
          <w:i w:val="0"/>
        </w:rPr>
        <w:t>These lessons come from the whole project, including the earlier legal-domain attempt (Appendix A). They are as important to your report and viva as the model itself.</w:t>
      </w:r>
    </w:p>
    <w:p>
      <w:pPr>
        <w:pStyle w:val="Heading3"/>
      </w:pPr>
      <w:r>
        <w:t>9.1 Data, licences and ethics</w:t>
      </w:r>
    </w:p>
    <w:p>
      <w:pPr>
        <w:spacing w:after="60"/>
        <w:ind w:left="510" w:hanging="283"/>
      </w:pPr>
      <w:r>
        <w:rPr>
          <w:b w:val="0"/>
          <w:i w:val="0"/>
        </w:rPr>
        <w:t xml:space="preserve">1.  </w:t>
      </w:r>
      <w:r>
        <w:rPr>
          <w:b/>
          <w:i w:val="0"/>
        </w:rPr>
        <w:t>"Public on the internet" does not mean "free to scrape".</w:t>
      </w:r>
      <w:r>
        <w:rPr>
          <w:b w:val="0"/>
          <w:i w:val="0"/>
        </w:rPr>
        <w:t xml:space="preserve"> Two Ghanaian legal sites forbade scraping and AI training in their terms and </w:t>
      </w:r>
      <w:r>
        <w:rPr>
          <w:rFonts w:ascii="Consolas" w:hAnsi="Consolas"/>
          <w:b w:val="0"/>
          <w:i w:val="0"/>
          <w:sz w:val="19"/>
        </w:rPr>
        <w:t>robots.txt</w:t>
      </w:r>
      <w:r>
        <w:rPr>
          <w:b w:val="0"/>
          <w:i w:val="0"/>
        </w:rPr>
        <w:t xml:space="preserve">; we checked </w:t>
      </w:r>
      <w:r>
        <w:rPr>
          <w:b w:val="0"/>
          <w:i/>
        </w:rPr>
        <w:t>before</w:t>
      </w:r>
      <w:r>
        <w:rPr>
          <w:b w:val="0"/>
          <w:i w:val="0"/>
        </w:rPr>
        <w:t xml:space="preserve"> collecting and used legitimate sources instead. Always read the terms, the robots file and the licence.</w:t>
      </w:r>
    </w:p>
    <w:p>
      <w:pPr>
        <w:spacing w:after="60"/>
        <w:ind w:left="510" w:hanging="283"/>
      </w:pPr>
      <w:r>
        <w:rPr>
          <w:b w:val="0"/>
          <w:i w:val="0"/>
        </w:rPr>
        <w:t xml:space="preserve">2.  </w:t>
      </w:r>
      <w:r>
        <w:rPr>
          <w:b/>
          <w:i w:val="0"/>
        </w:rPr>
        <w:t>Keep the licence with every item.</w:t>
      </w:r>
      <w:r>
        <w:rPr>
          <w:b w:val="0"/>
          <w:i w:val="0"/>
        </w:rPr>
        <w:t xml:space="preserve"> The PubMed Central bucket records a licence per article; we stored it and excluded no-derivative ones. Provenance (source URL, date, licence) turns "we used data" into "we can defend the data".</w:t>
      </w:r>
    </w:p>
    <w:p>
      <w:pPr>
        <w:spacing w:after="60"/>
        <w:ind w:left="510" w:hanging="283"/>
      </w:pPr>
      <w:r>
        <w:rPr>
          <w:b w:val="0"/>
          <w:i w:val="0"/>
        </w:rPr>
        <w:t xml:space="preserve">3.  </w:t>
      </w:r>
      <w:r>
        <w:rPr>
          <w:b/>
          <w:i w:val="0"/>
        </w:rPr>
        <w:t>Public-domain reasoning.</w:t>
      </w:r>
      <w:r>
        <w:rPr>
          <w:b w:val="0"/>
          <w:i w:val="0"/>
        </w:rPr>
        <w:t xml:space="preserve"> Under Ghana's Copyright Act 2005, statutes and court decisions are outside copyright; that allowed sourcing law from official sites. (Have a lawyer confirm before commercial use.)</w:t>
      </w:r>
    </w:p>
    <w:p>
      <w:pPr>
        <w:spacing w:after="60"/>
        <w:ind w:left="510" w:hanging="283"/>
      </w:pPr>
      <w:r>
        <w:rPr>
          <w:b w:val="0"/>
          <w:i w:val="0"/>
        </w:rPr>
        <w:t xml:space="preserve">4.  </w:t>
      </w:r>
      <w:r>
        <w:rPr>
          <w:b/>
          <w:i w:val="0"/>
        </w:rPr>
        <w:t>Prefer official bulk channels.</w:t>
      </w:r>
      <w:r>
        <w:rPr>
          <w:b w:val="0"/>
          <w:i w:val="0"/>
        </w:rPr>
        <w:t xml:space="preserve"> AWS open-data, official XML feeds and public APIs are faster, kinder to servers and clearly permitted.</w:t>
      </w:r>
    </w:p>
    <w:p>
      <w:pPr>
        <w:spacing w:after="60"/>
        <w:ind w:left="510" w:hanging="283"/>
      </w:pPr>
      <w:r>
        <w:rPr>
          <w:b w:val="0"/>
          <w:i w:val="0"/>
        </w:rPr>
        <w:t xml:space="preserve">5.  </w:t>
      </w:r>
      <w:r>
        <w:rPr>
          <w:b/>
          <w:i w:val="0"/>
        </w:rPr>
        <w:t>Information goes stale.</w:t>
      </w:r>
      <w:r>
        <w:rPr>
          <w:b w:val="0"/>
          <w:i w:val="0"/>
        </w:rPr>
        <w:t xml:space="preserve"> In the legal work, an investment law was replaced in 2026 and old thresholds became wrong; we built a "superseded law" filter. In health, guidelines have editions; record the edition and year.</w:t>
      </w:r>
    </w:p>
    <w:p>
      <w:pPr>
        <w:spacing w:after="60"/>
        <w:ind w:left="510" w:hanging="283"/>
      </w:pPr>
      <w:r>
        <w:rPr>
          <w:b w:val="0"/>
          <w:i w:val="0"/>
        </w:rPr>
        <w:t xml:space="preserve">6.  </w:t>
      </w:r>
      <w:r>
        <w:rPr>
          <w:b/>
          <w:i w:val="0"/>
        </w:rPr>
        <w:t>Say no to murky data.</w:t>
      </w:r>
      <w:r>
        <w:rPr>
          <w:b w:val="0"/>
          <w:i w:val="0"/>
        </w:rPr>
        <w:t xml:space="preserve"> Several popular medical datasets have unclear rights; leaving them out cost a little data and saved a lot of risk.</w:t>
      </w:r>
    </w:p>
    <w:p>
      <w:pPr>
        <w:pStyle w:val="Heading3"/>
      </w:pPr>
      <w:r>
        <w:t>9.2 Engineering</w:t>
      </w:r>
    </w:p>
    <w:p>
      <w:pPr>
        <w:spacing w:after="60"/>
        <w:ind w:left="510" w:hanging="283"/>
      </w:pPr>
      <w:r>
        <w:rPr>
          <w:b w:val="0"/>
          <w:i w:val="0"/>
        </w:rPr>
        <w:t xml:space="preserve">7.  </w:t>
      </w:r>
      <w:r>
        <w:rPr>
          <w:b/>
          <w:i w:val="0"/>
        </w:rPr>
        <w:t>Hold out test data first.</w:t>
      </w:r>
      <w:r>
        <w:rPr>
          <w:b w:val="0"/>
          <w:i w:val="0"/>
        </w:rPr>
        <w:t xml:space="preserve"> Splitting before training prevents leakage.</w:t>
      </w:r>
    </w:p>
    <w:p>
      <w:pPr>
        <w:spacing w:after="60"/>
        <w:ind w:left="510" w:hanging="283"/>
      </w:pPr>
      <w:r>
        <w:rPr>
          <w:b w:val="0"/>
          <w:i w:val="0"/>
        </w:rPr>
        <w:t xml:space="preserve">8.  </w:t>
      </w:r>
      <w:r>
        <w:rPr>
          <w:b/>
          <w:i w:val="0"/>
        </w:rPr>
        <w:t>Assumptions fail; asserts catch them.</w:t>
      </w:r>
      <w:r>
        <w:rPr>
          <w:b w:val="0"/>
          <w:i w:val="0"/>
        </w:rPr>
        <w:t xml:space="preserve"> Small self-tests caught bugs in our own scripts (for example a test that wrongly stripped a repeated line, and a year parsed as an Act number).</w:t>
      </w:r>
    </w:p>
    <w:p>
      <w:pPr>
        <w:spacing w:after="60"/>
        <w:ind w:left="510" w:hanging="283"/>
      </w:pPr>
      <w:r>
        <w:rPr>
          <w:b w:val="0"/>
          <w:i w:val="0"/>
        </w:rPr>
        <w:t xml:space="preserve">9.  </w:t>
      </w:r>
      <w:r>
        <w:rPr>
          <w:b/>
          <w:i w:val="0"/>
        </w:rPr>
        <w:t>Know your tools' gotchas.</w:t>
      </w:r>
      <w:r>
        <w:rPr>
          <w:b w:val="0"/>
          <w:i w:val="0"/>
        </w:rPr>
        <w:t xml:space="preserve"> Python's robots.txt reader treats a 403 as "everything forbidden"; a site's bot filter can reset connections; APIs return 429 and need back-off.</w:t>
      </w:r>
    </w:p>
    <w:p>
      <w:pPr>
        <w:spacing w:after="60"/>
        <w:ind w:left="510" w:hanging="283"/>
      </w:pPr>
      <w:r>
        <w:rPr>
          <w:b w:val="0"/>
          <w:i w:val="0"/>
        </w:rPr>
        <w:t xml:space="preserve">10.  </w:t>
      </w:r>
      <w:r>
        <w:rPr>
          <w:b/>
          <w:i w:val="0"/>
        </w:rPr>
        <w:t>Scanned documents need OCR.</w:t>
      </w:r>
      <w:r>
        <w:rPr>
          <w:b w:val="0"/>
          <w:i w:val="0"/>
        </w:rPr>
        <w:t xml:space="preserve"> About 235 legal PDFs were images; OCR (Tesseract) recovered them. One protected PDF was handled by rendering pages to images, not by removing protection.</w:t>
      </w:r>
    </w:p>
    <w:p>
      <w:pPr>
        <w:spacing w:after="60"/>
        <w:ind w:left="510" w:hanging="283"/>
      </w:pPr>
      <w:r>
        <w:rPr>
          <w:b w:val="0"/>
          <w:i w:val="0"/>
        </w:rPr>
        <w:t xml:space="preserve">11.  </w:t>
      </w:r>
      <w:r>
        <w:rPr>
          <w:b/>
          <w:i w:val="0"/>
        </w:rPr>
        <w:t>Deduplicate.</w:t>
      </w:r>
      <w:r>
        <w:rPr>
          <w:b w:val="0"/>
          <w:i w:val="0"/>
        </w:rPr>
        <w:t xml:space="preserve"> The same law appeared on several sites; near-duplicate detection removed 64 copies.</w:t>
      </w:r>
    </w:p>
    <w:p>
      <w:pPr>
        <w:spacing w:after="60"/>
        <w:ind w:left="510" w:hanging="283"/>
      </w:pPr>
      <w:r>
        <w:rPr>
          <w:b w:val="0"/>
          <w:i w:val="0"/>
        </w:rPr>
        <w:t xml:space="preserve">12.  </w:t>
      </w:r>
      <w:r>
        <w:rPr>
          <w:b/>
          <w:i w:val="0"/>
        </w:rPr>
        <w:t>Measure before you optimise.</w:t>
      </w:r>
      <w:r>
        <w:rPr>
          <w:b w:val="0"/>
          <w:i w:val="0"/>
        </w:rPr>
        <w:t xml:space="preserve"> We sampled 2,575 PubMed articles rather than "all"; a free T4 can only train on a fraction, so more data would not have been used.</w:t>
      </w:r>
    </w:p>
    <w:p>
      <w:pPr>
        <w:spacing w:after="60"/>
        <w:ind w:left="510" w:hanging="283"/>
      </w:pPr>
      <w:r>
        <w:rPr>
          <w:b w:val="0"/>
          <w:i w:val="0"/>
        </w:rPr>
        <w:t xml:space="preserve">13.  </w:t>
      </w:r>
      <w:r>
        <w:rPr>
          <w:b/>
          <w:i w:val="0"/>
        </w:rPr>
        <w:t>Reproducibility.</w:t>
      </w:r>
      <w:r>
        <w:rPr>
          <w:b w:val="0"/>
          <w:i w:val="0"/>
        </w:rPr>
        <w:t xml:space="preserve"> Scripts, fixed random seeds, manifests and a bundle file mean anyone can rebuild the dataset.</w:t>
      </w:r>
    </w:p>
    <w:p>
      <w:pPr>
        <w:pStyle w:val="Heading3"/>
      </w:pPr>
      <w:r>
        <w:t>9.3 Modelling</w:t>
      </w:r>
    </w:p>
    <w:p>
      <w:pPr>
        <w:spacing w:after="60"/>
        <w:ind w:left="510" w:hanging="283"/>
      </w:pPr>
      <w:r>
        <w:rPr>
          <w:b w:val="0"/>
          <w:i w:val="0"/>
        </w:rPr>
        <w:t xml:space="preserve">14.  </w:t>
      </w:r>
      <w:r>
        <w:rPr>
          <w:b/>
          <w:i w:val="0"/>
        </w:rPr>
        <w:t>Check the model is current.</w:t>
      </w:r>
      <w:r>
        <w:rPr>
          <w:b w:val="0"/>
          <w:i w:val="0"/>
        </w:rPr>
        <w:t xml:space="preserve"> Our first pick (Qwen3-8B) was two generations old; a quick search found Qwen3.5. We also learned newer architectures have new rules (transformers v5, no 4-bit training advised, thinking mode on by default).</w:t>
      </w:r>
    </w:p>
    <w:p>
      <w:pPr>
        <w:spacing w:after="60"/>
        <w:ind w:left="510" w:hanging="283"/>
      </w:pPr>
      <w:r>
        <w:rPr>
          <w:b w:val="0"/>
          <w:i w:val="0"/>
        </w:rPr>
        <w:t xml:space="preserve">15.  </w:t>
      </w:r>
      <w:r>
        <w:rPr>
          <w:b/>
          <w:i w:val="0"/>
        </w:rPr>
        <w:t>Use a base model for domain pre-training</w:t>
      </w:r>
      <w:r>
        <w:rPr>
          <w:b w:val="0"/>
          <w:i w:val="0"/>
        </w:rPr>
        <w:t xml:space="preserve"> and compare against it, so improvements are attributable.</w:t>
      </w:r>
    </w:p>
    <w:p>
      <w:pPr>
        <w:spacing w:after="60"/>
        <w:ind w:left="510" w:hanging="283"/>
      </w:pPr>
      <w:r>
        <w:rPr>
          <w:b w:val="0"/>
          <w:i w:val="0"/>
        </w:rPr>
        <w:t xml:space="preserve">16.  </w:t>
      </w:r>
      <w:r>
        <w:rPr>
          <w:b/>
          <w:i w:val="0"/>
        </w:rPr>
        <w:t>LoRA makes serious fine-tuning possible on free hardware.</w:t>
      </w:r>
    </w:p>
    <w:p>
      <w:pPr>
        <w:spacing w:after="60"/>
        <w:ind w:left="510" w:hanging="283"/>
      </w:pPr>
      <w:r>
        <w:rPr>
          <w:b w:val="0"/>
          <w:i w:val="0"/>
        </w:rPr>
        <w:t xml:space="preserve">17.  </w:t>
      </w:r>
      <w:r>
        <w:rPr>
          <w:b/>
          <w:i w:val="0"/>
        </w:rPr>
        <w:t>Mask the prompt when instruction tuning</w:t>
      </w:r>
      <w:r>
        <w:rPr>
          <w:b w:val="0"/>
          <w:i w:val="0"/>
        </w:rPr>
        <w:t xml:space="preserve"> (loss on answers only).</w:t>
      </w:r>
    </w:p>
    <w:p>
      <w:pPr>
        <w:spacing w:after="60"/>
        <w:ind w:left="510" w:hanging="283"/>
      </w:pPr>
      <w:r>
        <w:rPr>
          <w:b w:val="0"/>
          <w:i w:val="0"/>
        </w:rPr>
        <w:t xml:space="preserve">18.  </w:t>
      </w:r>
      <w:r>
        <w:rPr>
          <w:b/>
          <w:i w:val="0"/>
        </w:rPr>
        <w:t>Use controls.</w:t>
      </w:r>
      <w:r>
        <w:rPr>
          <w:b w:val="0"/>
          <w:i w:val="0"/>
        </w:rPr>
        <w:t xml:space="preserve"> Testing on general English tells you whether you have traded old skills for new ones.</w:t>
      </w:r>
    </w:p>
    <w:p>
      <w:pPr>
        <w:spacing w:after="60"/>
        <w:ind w:left="510" w:hanging="283"/>
      </w:pPr>
      <w:r>
        <w:rPr>
          <w:b w:val="0"/>
          <w:i w:val="0"/>
        </w:rPr>
        <w:t xml:space="preserve">19.  </w:t>
      </w:r>
      <w:r>
        <w:rPr>
          <w:b/>
          <w:i w:val="0"/>
        </w:rPr>
        <w:t>Beware small differences.</w:t>
      </w:r>
      <w:r>
        <w:rPr>
          <w:b w:val="0"/>
          <w:i w:val="0"/>
        </w:rPr>
        <w:t xml:space="preserve"> Margins of error (about ±5.7 points at N = 300) prevent over-claiming.</w:t>
      </w:r>
    </w:p>
    <w:p>
      <w:pPr>
        <w:spacing w:after="60"/>
        <w:ind w:left="510" w:hanging="283"/>
      </w:pPr>
      <w:r>
        <w:rPr>
          <w:b w:val="0"/>
          <w:i w:val="0"/>
        </w:rPr>
        <w:t xml:space="preserve">20.  </w:t>
      </w:r>
      <w:r>
        <w:rPr>
          <w:b/>
          <w:i w:val="0"/>
        </w:rPr>
        <w:t>Pick the right tool for the requirement.</w:t>
      </w:r>
      <w:r>
        <w:rPr>
          <w:b w:val="0"/>
          <w:i w:val="0"/>
        </w:rPr>
        <w:t xml:space="preserve"> We began with retrieval plus fine-tuning for a legal assistant; after reading the prosit we simplified to what it actually assesses, language-model adaptation and evaluation.</w:t>
      </w:r>
    </w:p>
    <w:p>
      <w:pPr>
        <w:pStyle w:val="Heading3"/>
      </w:pPr>
      <w:r>
        <w:t>9.4 Working practices</w:t>
      </w:r>
    </w:p>
    <w:p>
      <w:pPr>
        <w:spacing w:after="60"/>
        <w:ind w:left="510" w:hanging="283"/>
      </w:pPr>
      <w:r>
        <w:rPr>
          <w:b w:val="0"/>
          <w:i w:val="0"/>
        </w:rPr>
        <w:t xml:space="preserve">21.  </w:t>
      </w:r>
      <w:r>
        <w:rPr>
          <w:b/>
          <w:i w:val="0"/>
        </w:rPr>
        <w:t>Read the assignment early and often.</w:t>
      </w:r>
      <w:r>
        <w:rPr>
          <w:b w:val="0"/>
          <w:i w:val="0"/>
        </w:rPr>
        <w:t xml:space="preserve"> Scope changes (domain, method) are cheap at the start and expensive at the end.</w:t>
      </w:r>
    </w:p>
    <w:p>
      <w:pPr>
        <w:spacing w:after="60"/>
        <w:ind w:left="510" w:hanging="283"/>
      </w:pPr>
      <w:r>
        <w:rPr>
          <w:b w:val="0"/>
          <w:i w:val="0"/>
        </w:rPr>
        <w:t xml:space="preserve">22.  </w:t>
      </w:r>
      <w:r>
        <w:rPr>
          <w:b/>
          <w:i w:val="0"/>
        </w:rPr>
        <w:t>Never paste passwords or browser cookies into chats or tools.</w:t>
      </w:r>
      <w:r>
        <w:rPr>
          <w:b w:val="0"/>
          <w:i w:val="0"/>
        </w:rPr>
        <w:t xml:space="preserve"> During the project a session-cookie dump was pasted; it had to be treated as compromised and rotated. Use API keys in environment variables and revoke them after use.</w:t>
      </w:r>
    </w:p>
    <w:p>
      <w:pPr>
        <w:spacing w:after="60"/>
        <w:ind w:left="510" w:hanging="283"/>
      </w:pPr>
      <w:r>
        <w:rPr>
          <w:b w:val="0"/>
          <w:i w:val="0"/>
        </w:rPr>
        <w:t xml:space="preserve">23.  </w:t>
      </w:r>
      <w:r>
        <w:rPr>
          <w:b/>
          <w:i w:val="0"/>
        </w:rPr>
        <w:t>Use AI assistance responsibly.</w:t>
      </w:r>
      <w:r>
        <w:rPr>
          <w:b w:val="0"/>
          <w:i w:val="0"/>
        </w:rPr>
        <w:t xml:space="preserve"> It can write code and organise material quickly, but you must verify claims, understand every line (the viva is 35%), and write the analysis in your own words.</w:t>
      </w:r>
    </w:p>
    <w:p>
      <w:pPr>
        <w:spacing w:after="60"/>
        <w:ind w:left="510" w:hanging="283"/>
      </w:pPr>
      <w:r>
        <w:rPr>
          <w:b w:val="0"/>
          <w:i w:val="0"/>
        </w:rPr>
        <w:t xml:space="preserve">24.  </w:t>
      </w:r>
      <w:r>
        <w:rPr>
          <w:b/>
          <w:i w:val="0"/>
        </w:rPr>
        <w:t>Be honest about what is not done.</w:t>
      </w:r>
      <w:r>
        <w:rPr>
          <w:b w:val="0"/>
          <w:i w:val="0"/>
        </w:rPr>
        <w:t xml:space="preserve"> Results marked TBD, limits stated openly, and a clear "not a medical device" statement are marks of good science.</w:t>
      </w:r>
    </w:p>
    <w:p>
      <w:pPr>
        <w:pBdr>
          <w:bottom w:val="single" w:sz="6" w:space="4" w:color="999999"/>
        </w:pBdr>
      </w:pPr>
    </w:p>
    <w:p>
      <w:pPr>
        <w:pStyle w:val="Heading2"/>
      </w:pPr>
      <w:r>
        <w:t>Appendix A. Project history: from legal to health</w:t>
      </w:r>
    </w:p>
    <w:p>
      <w:pPr>
        <w:spacing w:after="60"/>
        <w:ind w:left="510" w:hanging="283"/>
      </w:pPr>
      <w:r>
        <w:rPr>
          <w:b w:val="0"/>
          <w:i w:val="0"/>
        </w:rPr>
        <w:t xml:space="preserve">1.  </w:t>
      </w:r>
      <w:r>
        <w:rPr>
          <w:b/>
          <w:i w:val="0"/>
        </w:rPr>
        <w:t>Original idea:</w:t>
      </w:r>
      <w:r>
        <w:rPr>
          <w:b w:val="0"/>
          <w:i w:val="0"/>
        </w:rPr>
        <w:t xml:space="preserve"> a Ghanaian legal and compliance assistant for startup founders. We researched sources, found that two platforms prohibited scraping and AI training, and switched to lawful sources: official government sites, Parliament's repository API, and the Laws.Africa API (free non-commercial tier).</w:t>
      </w:r>
    </w:p>
    <w:p>
      <w:pPr>
        <w:spacing w:after="60"/>
        <w:ind w:left="510" w:hanging="283"/>
      </w:pPr>
      <w:r>
        <w:rPr>
          <w:b w:val="0"/>
          <w:i w:val="0"/>
        </w:rPr>
        <w:t xml:space="preserve">2.  </w:t>
      </w:r>
      <w:r>
        <w:rPr>
          <w:b/>
          <w:i w:val="0"/>
        </w:rPr>
        <w:t>Built:</w:t>
      </w:r>
      <w:r>
        <w:rPr>
          <w:b w:val="0"/>
          <w:i w:val="0"/>
        </w:rPr>
        <w:t xml:space="preserve"> a robots-aware crawler, an OCR step and a cleaning and deduplication script (all run: 676 documents, about 3.6M words, 12,697 chunks), plus a synthetic-Q&amp;A generator and Colab notebooks for LoRA training and retrieval evaluation (written and syntax-checked, but never run on Colab).</w:t>
      </w:r>
    </w:p>
    <w:p>
      <w:pPr>
        <w:spacing w:after="60"/>
        <w:ind w:left="510" w:hanging="283"/>
      </w:pPr>
      <w:r>
        <w:rPr>
          <w:b w:val="0"/>
          <w:i w:val="0"/>
        </w:rPr>
        <w:t xml:space="preserve">3.  </w:t>
      </w:r>
      <w:r>
        <w:rPr>
          <w:b/>
          <w:i w:val="0"/>
        </w:rPr>
        <w:t>Pivot:</w:t>
      </w:r>
      <w:r>
        <w:rPr>
          <w:b w:val="0"/>
          <w:i w:val="0"/>
        </w:rPr>
        <w:t xml:space="preserve"> the team chose the health domain and the prosit was shared, which clarified that the assessed work is </w:t>
      </w:r>
      <w:r>
        <w:rPr>
          <w:b w:val="0"/>
          <w:i/>
        </w:rPr>
        <w:t>language-model adaptation and evaluation</w:t>
      </w:r>
      <w:r>
        <w:rPr>
          <w:b w:val="0"/>
          <w:i w:val="0"/>
        </w:rPr>
        <w:t>, not a full assistant.</w:t>
      </w:r>
    </w:p>
    <w:p>
      <w:pPr>
        <w:spacing w:after="60"/>
        <w:ind w:left="510" w:hanging="283"/>
      </w:pPr>
      <w:r>
        <w:rPr>
          <w:b w:val="0"/>
          <w:i w:val="0"/>
        </w:rPr>
        <w:t xml:space="preserve">4.  </w:t>
      </w:r>
      <w:r>
        <w:rPr>
          <w:b/>
          <w:i w:val="0"/>
        </w:rPr>
        <w:t>Reused:</w:t>
      </w:r>
      <w:r>
        <w:rPr>
          <w:b w:val="0"/>
          <w:i w:val="0"/>
        </w:rPr>
        <w:t xml:space="preserve"> the crawling, licensing checks, cleaning, dedup and Colab/Unsloth setup. </w:t>
      </w:r>
      <w:r>
        <w:rPr>
          <w:b/>
          <w:i w:val="0"/>
        </w:rPr>
        <w:t>Dropped:</w:t>
      </w:r>
      <w:r>
        <w:rPr>
          <w:b w:val="0"/>
          <w:i w:val="0"/>
        </w:rPr>
        <w:t xml:space="preserve"> retrieval evaluation and synthetic Q&amp;A generation.</w:t>
      </w:r>
    </w:p>
    <w:p>
      <w:pPr>
        <w:spacing w:after="60"/>
        <w:ind w:left="510" w:hanging="283"/>
      </w:pPr>
      <w:r>
        <w:rPr>
          <w:b w:val="0"/>
          <w:i w:val="0"/>
        </w:rPr>
        <w:t xml:space="preserve">5.  The legal work remains in the </w:t>
      </w:r>
      <w:r>
        <w:rPr>
          <w:rFonts w:ascii="Consolas" w:hAnsi="Consolas"/>
          <w:b w:val="0"/>
          <w:i w:val="0"/>
          <w:sz w:val="19"/>
        </w:rPr>
        <w:t>ghana-legal-llm/</w:t>
      </w:r>
      <w:r>
        <w:rPr>
          <w:b w:val="0"/>
          <w:i w:val="0"/>
        </w:rPr>
        <w:t xml:space="preserve"> folder and is a good example of "what we learned" material.</w:t>
      </w:r>
    </w:p>
    <w:p>
      <w:pPr>
        <w:pStyle w:val="Heading2"/>
      </w:pPr>
      <w:r>
        <w:t>Appendix B. File map and how to reproduce</w:t>
      </w:r>
    </w:p>
    <w:p>
      <w:pPr>
        <w:shd w:val="clear" w:color="auto" w:fill="F3F3F3"/>
      </w:pPr>
      <w:r>
        <w:rPr>
          <w:rFonts w:ascii="Consolas" w:hAnsi="Consolas"/>
          <w:sz w:val="18"/>
        </w:rPr>
        <w:t>health-llm/</w:t>
        <w:br/>
        <w:t xml:space="preserve">  collect.py           download sources (medlineplus | moh | pmc N | hf)</w:t>
        <w:br/>
        <w:t xml:space="preserve">  prep.py              split held-out first, build training/eval sets, write the Colab bundle</w:t>
        <w:br/>
        <w:t xml:space="preserve">  hl_lib.py            shared helpers: prompt format, packing, perplexity, MCQ scoring</w:t>
        <w:br/>
        <w:t xml:space="preserve">  vignettes.jsonl      12 hand-written Ghana GP cases</w:t>
        <w:br/>
        <w:t xml:space="preserve">  make_notebooks.py    generates notebooks/health_llm.ipynb (single notebook)</w:t>
        <w:br/>
        <w:t xml:space="preserve">  make_figures.py      draws the figures in this report</w:t>
        <w:br/>
        <w:t xml:space="preserve">  colab_health_bundle.zip   upload this to Google Drive (MyDrive/health-llm/)</w:t>
        <w:br/>
        <w:t xml:space="preserve">  report_assets/       figures</w:t>
      </w:r>
    </w:p>
    <w:p>
      <w:r>
        <w:rPr>
          <w:b w:val="0"/>
          <w:i w:val="0"/>
        </w:rPr>
        <w:t xml:space="preserve">Steps: (1) </w:t>
      </w:r>
      <w:r>
        <w:rPr>
          <w:rFonts w:ascii="Consolas" w:hAnsi="Consolas"/>
          <w:b w:val="0"/>
          <w:i w:val="0"/>
          <w:sz w:val="19"/>
        </w:rPr>
        <w:t>python collect.py medlineplus</w:t>
      </w:r>
      <w:r>
        <w:rPr>
          <w:b w:val="0"/>
          <w:i w:val="0"/>
        </w:rPr>
        <w:t xml:space="preserve">, </w:t>
      </w:r>
      <w:r>
        <w:rPr>
          <w:rFonts w:ascii="Consolas" w:hAnsi="Consolas"/>
          <w:b w:val="0"/>
          <w:i w:val="0"/>
          <w:sz w:val="19"/>
        </w:rPr>
        <w:t>moh</w:t>
      </w:r>
      <w:r>
        <w:rPr>
          <w:b w:val="0"/>
          <w:i w:val="0"/>
        </w:rPr>
        <w:t xml:space="preserve">, </w:t>
      </w:r>
      <w:r>
        <w:rPr>
          <w:rFonts w:ascii="Consolas" w:hAnsi="Consolas"/>
          <w:b w:val="0"/>
          <w:i w:val="0"/>
          <w:sz w:val="19"/>
        </w:rPr>
        <w:t>hf</w:t>
      </w:r>
      <w:r>
        <w:rPr>
          <w:b w:val="0"/>
          <w:i w:val="0"/>
        </w:rPr>
        <w:t xml:space="preserve">, </w:t>
      </w:r>
      <w:r>
        <w:rPr>
          <w:rFonts w:ascii="Consolas" w:hAnsi="Consolas"/>
          <w:b w:val="0"/>
          <w:i w:val="0"/>
          <w:sz w:val="19"/>
        </w:rPr>
        <w:t>pmc 3000</w:t>
      </w:r>
      <w:r>
        <w:rPr>
          <w:b w:val="0"/>
          <w:i w:val="0"/>
        </w:rPr>
        <w:t xml:space="preserve"> (stop early if needed); (2) </w:t>
      </w:r>
      <w:r>
        <w:rPr>
          <w:rFonts w:ascii="Consolas" w:hAnsi="Consolas"/>
          <w:b w:val="0"/>
          <w:i w:val="0"/>
          <w:sz w:val="19"/>
        </w:rPr>
        <w:t>python prep.py</w:t>
      </w:r>
      <w:r>
        <w:rPr>
          <w:b w:val="0"/>
          <w:i w:val="0"/>
        </w:rPr>
        <w:t>; (3) upload the bundle to Drive; (4) run notebooks 01, 02, 03 on a T4 runtime; (5) copy the result tables and figures into Part 7.</w:t>
      </w:r>
    </w:p>
    <w:p>
      <w:r>
        <w:rPr>
          <w:b w:val="0"/>
          <w:i w:val="0"/>
        </w:rPr>
        <w:t xml:space="preserve">Self-tests: </w:t>
      </w:r>
      <w:r>
        <w:rPr>
          <w:rFonts w:ascii="Consolas" w:hAnsi="Consolas"/>
          <w:b w:val="0"/>
          <w:i w:val="0"/>
          <w:sz w:val="19"/>
        </w:rPr>
        <w:t>python hl_lib.py</w:t>
      </w:r>
      <w:r>
        <w:rPr>
          <w:b w:val="0"/>
          <w:i w:val="0"/>
        </w:rPr>
        <w:t xml:space="preserve">, </w:t>
      </w:r>
      <w:r>
        <w:rPr>
          <w:rFonts w:ascii="Consolas" w:hAnsi="Consolas"/>
          <w:b w:val="0"/>
          <w:i w:val="0"/>
          <w:sz w:val="19"/>
        </w:rPr>
        <w:t>python collect.py --selftest</w:t>
      </w:r>
      <w:r>
        <w:rPr>
          <w:b w:val="0"/>
          <w:i w:val="0"/>
        </w:rPr>
        <w:t xml:space="preserve">, </w:t>
      </w:r>
      <w:r>
        <w:rPr>
          <w:rFonts w:ascii="Consolas" w:hAnsi="Consolas"/>
          <w:b w:val="0"/>
          <w:i w:val="0"/>
          <w:sz w:val="19"/>
        </w:rPr>
        <w:t>python prep.py --selftest</w:t>
      </w:r>
      <w:r>
        <w:rPr>
          <w:b w:val="0"/>
          <w:i w:val="0"/>
        </w:rPr>
        <w:t>.</w:t>
      </w:r>
    </w:p>
    <w:p>
      <w:pPr>
        <w:pStyle w:val="Heading2"/>
      </w:pPr>
      <w:r>
        <w:t>Appendix C. Hyperparameters and result-recording templates</w:t>
      </w:r>
    </w:p>
    <w:tbl>
      <w:tblPr>
        <w:tblStyle w:val="TableGrid"/>
        <w:tblW w:type="auto" w:w="0"/>
        <w:tblLayout w:type="fixed"/>
        <w:tblLook w:firstColumn="1" w:firstRow="1" w:lastColumn="0" w:lastRow="0" w:noHBand="0" w:noVBand="1" w:val="04A0"/>
      </w:tblPr>
      <w:tblGrid>
        <w:gridCol w:w="3061"/>
        <w:gridCol w:w="3061"/>
        <w:gridCol w:w="3061"/>
      </w:tblGrid>
      <w:tr>
        <w:tc>
          <w:tcPr>
            <w:tcW w:type="dxa" w:w="2653"/>
            <w:shd w:val="clear" w:color="auto" w:fill="DBE5F1"/>
          </w:tcPr>
          <w:p>
            <w:pPr>
              <w:spacing w:after="20"/>
            </w:pPr>
            <w:r/>
            <w:r>
              <w:rPr>
                <w:b/>
                <w:i w:val="0"/>
                <w:sz w:val="18"/>
              </w:rPr>
              <w:t>Setting</w:t>
            </w:r>
          </w:p>
        </w:tc>
        <w:tc>
          <w:tcPr>
            <w:tcW w:type="dxa" w:w="3061"/>
            <w:shd w:val="clear" w:color="auto" w:fill="DBE5F1"/>
          </w:tcPr>
          <w:p>
            <w:pPr>
              <w:spacing w:after="20"/>
            </w:pPr>
            <w:r/>
            <w:r>
              <w:rPr>
                <w:b/>
                <w:i w:val="0"/>
                <w:sz w:val="18"/>
              </w:rPr>
              <w:t>Stage 1 (CPT)</w:t>
            </w:r>
          </w:p>
        </w:tc>
        <w:tc>
          <w:tcPr>
            <w:tcW w:type="dxa" w:w="3470"/>
            <w:shd w:val="clear" w:color="auto" w:fill="DBE5F1"/>
          </w:tcPr>
          <w:p>
            <w:pPr>
              <w:spacing w:after="20"/>
            </w:pPr>
            <w:r/>
            <w:r>
              <w:rPr>
                <w:b/>
                <w:i w:val="0"/>
                <w:sz w:val="18"/>
              </w:rPr>
              <w:t>Stage 2 (SFT)</w:t>
            </w:r>
          </w:p>
        </w:tc>
      </w:tr>
      <w:tr>
        <w:tc>
          <w:tcPr>
            <w:tcW w:type="dxa" w:w="2653"/>
          </w:tcPr>
          <w:p>
            <w:pPr>
              <w:spacing w:after="20"/>
            </w:pPr>
            <w:r/>
            <w:r>
              <w:rPr>
                <w:b w:val="0"/>
                <w:i w:val="0"/>
                <w:sz w:val="18"/>
              </w:rPr>
              <w:t>Start from</w:t>
            </w:r>
          </w:p>
        </w:tc>
        <w:tc>
          <w:tcPr>
            <w:tcW w:type="dxa" w:w="3061"/>
          </w:tcPr>
          <w:p>
            <w:pPr>
              <w:spacing w:after="20"/>
            </w:pPr>
            <w:r/>
            <w:r>
              <w:rPr>
                <w:b w:val="0"/>
                <w:i w:val="0"/>
                <w:sz w:val="18"/>
              </w:rPr>
              <w:t>Qwen3.5-2B-Base</w:t>
            </w:r>
          </w:p>
        </w:tc>
        <w:tc>
          <w:tcPr>
            <w:tcW w:type="dxa" w:w="3470"/>
          </w:tcPr>
          <w:p>
            <w:pPr>
              <w:spacing w:after="20"/>
            </w:pPr>
            <w:r/>
            <w:r>
              <w:rPr>
                <w:b w:val="0"/>
                <w:i w:val="0"/>
                <w:sz w:val="18"/>
              </w:rPr>
              <w:t>Stage 1 adapter</w:t>
            </w:r>
          </w:p>
        </w:tc>
      </w:tr>
      <w:tr>
        <w:tc>
          <w:tcPr>
            <w:tcW w:type="dxa" w:w="2653"/>
          </w:tcPr>
          <w:p>
            <w:pPr>
              <w:spacing w:after="20"/>
            </w:pPr>
            <w:r/>
            <w:r>
              <w:rPr>
                <w:b w:val="0"/>
                <w:i w:val="0"/>
                <w:sz w:val="18"/>
              </w:rPr>
              <w:t>LoRA r / α</w:t>
            </w:r>
          </w:p>
        </w:tc>
        <w:tc>
          <w:tcPr>
            <w:tcW w:type="dxa" w:w="3061"/>
          </w:tcPr>
          <w:p>
            <w:pPr>
              <w:spacing w:after="20"/>
            </w:pPr>
            <w:r/>
            <w:r>
              <w:rPr>
                <w:b w:val="0"/>
                <w:i w:val="0"/>
                <w:sz w:val="18"/>
              </w:rPr>
              <w:t>32 / 64</w:t>
            </w:r>
          </w:p>
        </w:tc>
        <w:tc>
          <w:tcPr>
            <w:tcW w:type="dxa" w:w="3470"/>
          </w:tcPr>
          <w:p>
            <w:pPr>
              <w:spacing w:after="20"/>
            </w:pPr>
            <w:r/>
            <w:r>
              <w:rPr>
                <w:b w:val="0"/>
                <w:i w:val="0"/>
                <w:sz w:val="18"/>
              </w:rPr>
              <w:t>continues the same adapter</w:t>
            </w:r>
          </w:p>
        </w:tc>
      </w:tr>
      <w:tr>
        <w:tc>
          <w:tcPr>
            <w:tcW w:type="dxa" w:w="2653"/>
          </w:tcPr>
          <w:p>
            <w:pPr>
              <w:spacing w:after="20"/>
            </w:pPr>
            <w:r/>
            <w:r>
              <w:rPr>
                <w:b w:val="0"/>
                <w:i w:val="0"/>
                <w:sz w:val="18"/>
              </w:rPr>
              <w:t>Sequence length</w:t>
            </w:r>
          </w:p>
        </w:tc>
        <w:tc>
          <w:tcPr>
            <w:tcW w:type="dxa" w:w="3061"/>
          </w:tcPr>
          <w:p>
            <w:pPr>
              <w:spacing w:after="20"/>
            </w:pPr>
            <w:r/>
            <w:r>
              <w:rPr>
                <w:b w:val="0"/>
                <w:i w:val="0"/>
                <w:sz w:val="18"/>
              </w:rPr>
              <w:t>2,048 (packed)</w:t>
            </w:r>
          </w:p>
        </w:tc>
        <w:tc>
          <w:tcPr>
            <w:tcW w:type="dxa" w:w="3470"/>
          </w:tcPr>
          <w:p>
            <w:pPr>
              <w:spacing w:after="20"/>
            </w:pPr>
            <w:r/>
            <w:r>
              <w:rPr>
                <w:b w:val="0"/>
                <w:i w:val="0"/>
                <w:sz w:val="18"/>
              </w:rPr>
              <w:t>up to 1,536 per example</w:t>
            </w:r>
          </w:p>
        </w:tc>
      </w:tr>
      <w:tr>
        <w:tc>
          <w:tcPr>
            <w:tcW w:type="dxa" w:w="2653"/>
          </w:tcPr>
          <w:p>
            <w:pPr>
              <w:spacing w:after="20"/>
            </w:pPr>
            <w:r/>
            <w:r>
              <w:rPr>
                <w:b w:val="0"/>
                <w:i w:val="0"/>
                <w:sz w:val="18"/>
              </w:rPr>
              <w:t>Effective batch</w:t>
            </w:r>
          </w:p>
        </w:tc>
        <w:tc>
          <w:tcPr>
            <w:tcW w:type="dxa" w:w="3061"/>
          </w:tcPr>
          <w:p>
            <w:pPr>
              <w:spacing w:after="20"/>
            </w:pPr>
            <w:r/>
            <w:r>
              <w:rPr>
                <w:b w:val="0"/>
                <w:i w:val="0"/>
                <w:sz w:val="18"/>
              </w:rPr>
              <w:t>16 × 1 block (32,768 tokens)</w:t>
            </w:r>
          </w:p>
        </w:tc>
        <w:tc>
          <w:tcPr>
            <w:tcW w:type="dxa" w:w="3470"/>
          </w:tcPr>
          <w:p>
            <w:pPr>
              <w:spacing w:after="20"/>
            </w:pPr>
            <w:r/>
            <w:r>
              <w:rPr>
                <w:b w:val="0"/>
                <w:i w:val="0"/>
                <w:sz w:val="18"/>
              </w:rPr>
              <w:t>16 × 1 example</w:t>
            </w:r>
          </w:p>
        </w:tc>
      </w:tr>
      <w:tr>
        <w:tc>
          <w:tcPr>
            <w:tcW w:type="dxa" w:w="2653"/>
          </w:tcPr>
          <w:p>
            <w:pPr>
              <w:spacing w:after="20"/>
            </w:pPr>
            <w:r/>
            <w:r>
              <w:rPr>
                <w:b w:val="0"/>
                <w:i w:val="0"/>
                <w:sz w:val="18"/>
              </w:rPr>
              <w:t>Learning rate / schedule</w:t>
            </w:r>
          </w:p>
        </w:tc>
        <w:tc>
          <w:tcPr>
            <w:tcW w:type="dxa" w:w="3061"/>
          </w:tcPr>
          <w:p>
            <w:pPr>
              <w:spacing w:after="20"/>
            </w:pPr>
            <w:r/>
            <w:r>
              <w:rPr>
                <w:b w:val="0"/>
                <w:i w:val="0"/>
                <w:sz w:val="18"/>
              </w:rPr>
              <w:t>1e-4, cosine, 10 warm-up</w:t>
            </w:r>
          </w:p>
        </w:tc>
        <w:tc>
          <w:tcPr>
            <w:tcW w:type="dxa" w:w="3470"/>
          </w:tcPr>
          <w:p>
            <w:pPr>
              <w:spacing w:after="20"/>
            </w:pPr>
            <w:r/>
            <w:r>
              <w:rPr>
                <w:b w:val="0"/>
                <w:i w:val="0"/>
                <w:sz w:val="18"/>
              </w:rPr>
              <w:t>1e-4, cosine, 10 warm-up</w:t>
            </w:r>
          </w:p>
        </w:tc>
      </w:tr>
      <w:tr>
        <w:tc>
          <w:tcPr>
            <w:tcW w:type="dxa" w:w="2653"/>
          </w:tcPr>
          <w:p>
            <w:pPr>
              <w:spacing w:after="20"/>
            </w:pPr>
            <w:r/>
            <w:r>
              <w:rPr>
                <w:b w:val="0"/>
                <w:i w:val="0"/>
                <w:sz w:val="18"/>
              </w:rPr>
              <w:t>Budget</w:t>
            </w:r>
          </w:p>
        </w:tc>
        <w:tc>
          <w:tcPr>
            <w:tcW w:type="dxa" w:w="3061"/>
          </w:tcPr>
          <w:p>
            <w:pPr>
              <w:spacing w:after="20"/>
            </w:pPr>
            <w:r/>
            <w:r>
              <w:rPr>
                <w:b w:val="0"/>
                <w:i w:val="0"/>
                <w:sz w:val="18"/>
              </w:rPr>
              <w:t>6M tokens (about 183 steps)</w:t>
            </w:r>
          </w:p>
        </w:tc>
        <w:tc>
          <w:tcPr>
            <w:tcW w:type="dxa" w:w="3470"/>
          </w:tcPr>
          <w:p>
            <w:pPr>
              <w:spacing w:after="20"/>
            </w:pPr>
            <w:r/>
            <w:r>
              <w:rPr>
                <w:b w:val="0"/>
                <w:i w:val="0"/>
                <w:sz w:val="18"/>
              </w:rPr>
              <w:t>6,000 examples (about 375 steps)</w:t>
            </w:r>
          </w:p>
        </w:tc>
      </w:tr>
      <w:tr>
        <w:tc>
          <w:tcPr>
            <w:tcW w:type="dxa" w:w="2653"/>
          </w:tcPr>
          <w:p>
            <w:pPr>
              <w:spacing w:after="20"/>
            </w:pPr>
            <w:r/>
            <w:r>
              <w:rPr>
                <w:b w:val="0"/>
                <w:i w:val="0"/>
                <w:sz w:val="18"/>
              </w:rPr>
              <w:t>Precision</w:t>
            </w:r>
          </w:p>
        </w:tc>
        <w:tc>
          <w:tcPr>
            <w:tcW w:type="dxa" w:w="3061"/>
          </w:tcPr>
          <w:p>
            <w:pPr>
              <w:spacing w:after="20"/>
            </w:pPr>
            <w:r/>
            <w:r>
              <w:rPr>
                <w:b w:val="0"/>
                <w:i w:val="0"/>
                <w:sz w:val="18"/>
              </w:rPr>
              <w:t>fp16 (T4)</w:t>
            </w:r>
          </w:p>
        </w:tc>
        <w:tc>
          <w:tcPr>
            <w:tcW w:type="dxa" w:w="3470"/>
          </w:tcPr>
          <w:p>
            <w:pPr>
              <w:spacing w:after="20"/>
            </w:pPr>
            <w:r/>
            <w:r>
              <w:rPr>
                <w:b w:val="0"/>
                <w:i w:val="0"/>
                <w:sz w:val="18"/>
              </w:rPr>
              <w:t>fp16 (T4)</w:t>
            </w:r>
          </w:p>
        </w:tc>
      </w:tr>
      <w:tr>
        <w:tc>
          <w:tcPr>
            <w:tcW w:type="dxa" w:w="2653"/>
          </w:tcPr>
          <w:p>
            <w:pPr>
              <w:spacing w:after="20"/>
            </w:pPr>
            <w:r/>
            <w:r>
              <w:rPr>
                <w:b w:val="0"/>
                <w:i w:val="0"/>
                <w:sz w:val="18"/>
              </w:rPr>
              <w:t>Validation</w:t>
            </w:r>
          </w:p>
        </w:tc>
        <w:tc>
          <w:tcPr>
            <w:tcW w:type="dxa" w:w="3061"/>
          </w:tcPr>
          <w:p>
            <w:pPr>
              <w:spacing w:after="20"/>
            </w:pPr>
            <w:r/>
            <w:r>
              <w:rPr>
                <w:b w:val="0"/>
                <w:i w:val="0"/>
                <w:sz w:val="18"/>
              </w:rPr>
              <w:t>every 25 steps</w:t>
            </w:r>
          </w:p>
        </w:tc>
        <w:tc>
          <w:tcPr>
            <w:tcW w:type="dxa" w:w="3470"/>
          </w:tcPr>
          <w:p>
            <w:pPr>
              <w:spacing w:after="20"/>
            </w:pPr>
            <w:r/>
            <w:r>
              <w:rPr>
                <w:b w:val="0"/>
                <w:i w:val="0"/>
                <w:sz w:val="18"/>
              </w:rPr>
              <w:t>every 25 steps</w:t>
            </w:r>
          </w:p>
        </w:tc>
      </w:tr>
    </w:tbl>
    <w:p>
      <w:pPr>
        <w:spacing w:after="40"/>
      </w:pPr>
    </w:p>
    <w:p>
      <w:r>
        <w:rPr>
          <w:b w:val="0"/>
          <w:i w:val="0"/>
        </w:rPr>
        <w:t>Record for each run: date, GPU, trainable parameter count (printed at start), wall-clock time, final train/validation loss.</w:t>
      </w:r>
    </w:p>
    <w:p>
      <w:r>
        <w:rPr>
          <w:b/>
          <w:i w:val="0"/>
        </w:rPr>
        <w:t>Vignette scoring sheet (per model, per case):</w:t>
      </w:r>
      <w:r>
        <w:rPr>
          <w:b w:val="0"/>
          <w:i w:val="0"/>
        </w:rPr>
        <w:t xml:space="preserve"> named the likely condition? (Y/N) · mentioned red-flag signs? (Y/N) · sensible next step? (Y/N) · any unsafe or invented advice? (Y/N) · notes.</w:t>
      </w:r>
    </w:p>
    <w:p>
      <w:pPr>
        <w:pStyle w:val="Heading2"/>
      </w:pPr>
      <w:r>
        <w:t>Appendix D. Viva preparation</w:t>
      </w:r>
    </w:p>
    <w:tbl>
      <w:tblPr>
        <w:tblStyle w:val="TableGrid"/>
        <w:tblW w:type="auto" w:w="0"/>
        <w:tblLayout w:type="fixed"/>
        <w:tblLook w:firstColumn="1" w:firstRow="1" w:lastColumn="0" w:lastRow="0" w:noHBand="0" w:noVBand="1" w:val="04A0"/>
      </w:tblPr>
      <w:tblGrid>
        <w:gridCol w:w="4592"/>
        <w:gridCol w:w="4592"/>
      </w:tblGrid>
      <w:tr>
        <w:tc>
          <w:tcPr>
            <w:tcW w:type="dxa" w:w="4434"/>
            <w:shd w:val="clear" w:color="auto" w:fill="DBE5F1"/>
          </w:tcPr>
          <w:p>
            <w:pPr>
              <w:spacing w:after="20"/>
            </w:pPr>
            <w:r/>
            <w:r>
              <w:rPr>
                <w:b/>
                <w:i w:val="0"/>
                <w:sz w:val="18"/>
              </w:rPr>
              <w:t>Likely question</w:t>
            </w:r>
          </w:p>
        </w:tc>
        <w:tc>
          <w:tcPr>
            <w:tcW w:type="dxa" w:w="4750"/>
            <w:shd w:val="clear" w:color="auto" w:fill="DBE5F1"/>
          </w:tcPr>
          <w:p>
            <w:pPr>
              <w:spacing w:after="20"/>
            </w:pPr>
            <w:r/>
            <w:r>
              <w:rPr>
                <w:b/>
                <w:i w:val="0"/>
                <w:sz w:val="18"/>
              </w:rPr>
              <w:t>Short answer</w:t>
            </w:r>
          </w:p>
        </w:tc>
      </w:tr>
      <w:tr>
        <w:tc>
          <w:tcPr>
            <w:tcW w:type="dxa" w:w="4434"/>
          </w:tcPr>
          <w:p>
            <w:pPr>
              <w:spacing w:after="20"/>
            </w:pPr>
            <w:r/>
            <w:r>
              <w:rPr>
                <w:b w:val="0"/>
                <w:i w:val="0"/>
                <w:sz w:val="18"/>
              </w:rPr>
              <w:t>What is perplexity?</w:t>
            </w:r>
          </w:p>
        </w:tc>
        <w:tc>
          <w:tcPr>
            <w:tcW w:type="dxa" w:w="4750"/>
          </w:tcPr>
          <w:p>
            <w:pPr>
              <w:spacing w:after="20"/>
            </w:pPr>
            <w:r/>
            <w:r>
              <w:rPr>
                <w:b w:val="0"/>
                <w:i w:val="0"/>
                <w:sz w:val="18"/>
              </w:rPr>
              <w:t>exp of the average negative log-probability per token; how surprised the model is by unseen text; lower is better; comparable only with identical tokenizer and text.</w:t>
            </w:r>
          </w:p>
        </w:tc>
      </w:tr>
      <w:tr>
        <w:tc>
          <w:tcPr>
            <w:tcW w:type="dxa" w:w="4434"/>
          </w:tcPr>
          <w:p>
            <w:pPr>
              <w:spacing w:after="20"/>
            </w:pPr>
            <w:r/>
            <w:r>
              <w:rPr>
                <w:b w:val="0"/>
                <w:i w:val="0"/>
                <w:sz w:val="18"/>
              </w:rPr>
              <w:t>Why continued pre-training before instruction tuning?</w:t>
            </w:r>
          </w:p>
        </w:tc>
        <w:tc>
          <w:tcPr>
            <w:tcW w:type="dxa" w:w="4750"/>
          </w:tcPr>
          <w:p>
            <w:pPr>
              <w:spacing w:after="20"/>
            </w:pPr>
            <w:r/>
            <w:r>
              <w:rPr>
                <w:b w:val="0"/>
                <w:i w:val="0"/>
                <w:sz w:val="18"/>
              </w:rPr>
              <w:t>Stage 1 adds domain knowledge and vocabulary using plentiful raw text; Stage 2 needs less data and teaches how to respond.</w:t>
            </w:r>
          </w:p>
        </w:tc>
      </w:tr>
      <w:tr>
        <w:tc>
          <w:tcPr>
            <w:tcW w:type="dxa" w:w="4434"/>
          </w:tcPr>
          <w:p>
            <w:pPr>
              <w:spacing w:after="20"/>
            </w:pPr>
            <w:r/>
            <w:r>
              <w:rPr>
                <w:b w:val="0"/>
                <w:i w:val="0"/>
                <w:sz w:val="18"/>
              </w:rPr>
              <w:t>Why LoRA, not full fine-tuning?</w:t>
            </w:r>
          </w:p>
        </w:tc>
        <w:tc>
          <w:tcPr>
            <w:tcW w:type="dxa" w:w="4750"/>
          </w:tcPr>
          <w:p>
            <w:pPr>
              <w:spacing w:after="20"/>
            </w:pPr>
            <w:r/>
            <w:r>
              <w:rPr>
                <w:b w:val="0"/>
                <w:i w:val="0"/>
                <w:sz w:val="18"/>
              </w:rPr>
              <w:t>A T4 cannot hold full fine-tuning of a multi-billion-parameter model; LoRA trains about a small fraction of the weights, uses little memory, and keeps the base intact.</w:t>
            </w:r>
          </w:p>
        </w:tc>
      </w:tr>
      <w:tr>
        <w:tc>
          <w:tcPr>
            <w:tcW w:type="dxa" w:w="4434"/>
          </w:tcPr>
          <w:p>
            <w:pPr>
              <w:spacing w:after="20"/>
            </w:pPr>
            <w:r/>
            <w:r>
              <w:rPr>
                <w:b w:val="0"/>
                <w:i w:val="0"/>
                <w:sz w:val="18"/>
              </w:rPr>
              <w:t>What does α/r do?</w:t>
            </w:r>
          </w:p>
        </w:tc>
        <w:tc>
          <w:tcPr>
            <w:tcW w:type="dxa" w:w="4750"/>
          </w:tcPr>
          <w:p>
            <w:pPr>
              <w:spacing w:after="20"/>
            </w:pPr>
            <w:r/>
            <w:r>
              <w:rPr>
                <w:b w:val="0"/>
                <w:i w:val="0"/>
                <w:sz w:val="18"/>
              </w:rPr>
              <w:t>It scales the LoRA update; r is the rank (capacity), α controls strength.</w:t>
            </w:r>
          </w:p>
        </w:tc>
      </w:tr>
      <w:tr>
        <w:tc>
          <w:tcPr>
            <w:tcW w:type="dxa" w:w="4434"/>
          </w:tcPr>
          <w:p>
            <w:pPr>
              <w:spacing w:after="20"/>
            </w:pPr>
            <w:r/>
            <w:r>
              <w:rPr>
                <w:b w:val="0"/>
                <w:i w:val="0"/>
                <w:sz w:val="18"/>
              </w:rPr>
              <w:t>Why start from the base model, not the instruct model?</w:t>
            </w:r>
          </w:p>
        </w:tc>
        <w:tc>
          <w:tcPr>
            <w:tcW w:type="dxa" w:w="4750"/>
          </w:tcPr>
          <w:p>
            <w:pPr>
              <w:spacing w:after="20"/>
            </w:pPr>
            <w:r/>
            <w:r>
              <w:rPr>
                <w:b w:val="0"/>
                <w:i w:val="0"/>
                <w:sz w:val="18"/>
              </w:rPr>
              <w:t>To attribute every improvement to our stages and to have a clean baseline.</w:t>
            </w:r>
          </w:p>
        </w:tc>
      </w:tr>
      <w:tr>
        <w:tc>
          <w:tcPr>
            <w:tcW w:type="dxa" w:w="4434"/>
          </w:tcPr>
          <w:p>
            <w:pPr>
              <w:spacing w:after="20"/>
            </w:pPr>
            <w:r/>
            <w:r>
              <w:rPr>
                <w:b w:val="0"/>
                <w:i w:val="0"/>
                <w:sz w:val="18"/>
              </w:rPr>
              <w:t>Why hold out data before training?</w:t>
            </w:r>
          </w:p>
        </w:tc>
        <w:tc>
          <w:tcPr>
            <w:tcW w:type="dxa" w:w="4750"/>
          </w:tcPr>
          <w:p>
            <w:pPr>
              <w:spacing w:after="20"/>
            </w:pPr>
            <w:r/>
            <w:r>
              <w:rPr>
                <w:b w:val="0"/>
                <w:i w:val="0"/>
                <w:sz w:val="18"/>
              </w:rPr>
              <w:t>To prevent leakage; otherwise the model could look good by memorising the test set.</w:t>
            </w:r>
          </w:p>
        </w:tc>
      </w:tr>
      <w:tr>
        <w:tc>
          <w:tcPr>
            <w:tcW w:type="dxa" w:w="4434"/>
          </w:tcPr>
          <w:p>
            <w:pPr>
              <w:spacing w:after="20"/>
            </w:pPr>
            <w:r/>
            <w:r>
              <w:rPr>
                <w:b w:val="0"/>
                <w:i w:val="0"/>
                <w:sz w:val="18"/>
              </w:rPr>
              <w:t>How do you know it is not just memorising?</w:t>
            </w:r>
          </w:p>
        </w:tc>
        <w:tc>
          <w:tcPr>
            <w:tcW w:type="dxa" w:w="4750"/>
          </w:tcPr>
          <w:p>
            <w:pPr>
              <w:spacing w:after="20"/>
            </w:pPr>
            <w:r/>
            <w:r>
              <w:rPr>
                <w:b w:val="0"/>
                <w:i w:val="0"/>
                <w:sz w:val="18"/>
              </w:rPr>
              <w:t>Validation loss on unseen blocks, held-out perplexity, and the general-English control.</w:t>
            </w:r>
          </w:p>
        </w:tc>
      </w:tr>
      <w:tr>
        <w:tc>
          <w:tcPr>
            <w:tcW w:type="dxa" w:w="4434"/>
          </w:tcPr>
          <w:p>
            <w:pPr>
              <w:spacing w:after="20"/>
            </w:pPr>
            <w:r/>
            <w:r>
              <w:rPr>
                <w:b w:val="0"/>
                <w:i w:val="0"/>
                <w:sz w:val="18"/>
              </w:rPr>
              <w:t>What is catastrophic forgetting and how do you check?</w:t>
            </w:r>
          </w:p>
        </w:tc>
        <w:tc>
          <w:tcPr>
            <w:tcW w:type="dxa" w:w="4750"/>
          </w:tcPr>
          <w:p>
            <w:pPr>
              <w:spacing w:after="20"/>
            </w:pPr>
            <w:r/>
            <w:r>
              <w:rPr>
                <w:b w:val="0"/>
                <w:i w:val="0"/>
                <w:sz w:val="18"/>
              </w:rPr>
              <w:t>Loss of general ability after domain training; check perplexity on general text.</w:t>
            </w:r>
          </w:p>
        </w:tc>
      </w:tr>
      <w:tr>
        <w:tc>
          <w:tcPr>
            <w:tcW w:type="dxa" w:w="4434"/>
          </w:tcPr>
          <w:p>
            <w:pPr>
              <w:spacing w:after="20"/>
            </w:pPr>
            <w:r/>
            <w:r>
              <w:rPr>
                <w:b w:val="0"/>
                <w:i w:val="0"/>
                <w:sz w:val="18"/>
              </w:rPr>
              <w:t>Why mask the prompt in SFT?</w:t>
            </w:r>
          </w:p>
        </w:tc>
        <w:tc>
          <w:tcPr>
            <w:tcW w:type="dxa" w:w="4750"/>
          </w:tcPr>
          <w:p>
            <w:pPr>
              <w:spacing w:after="20"/>
            </w:pPr>
            <w:r/>
            <w:r>
              <w:rPr>
                <w:b w:val="0"/>
                <w:i w:val="0"/>
                <w:sz w:val="18"/>
              </w:rPr>
              <w:t>So the loss only rewards the answer, not repeating the question.</w:t>
            </w:r>
          </w:p>
        </w:tc>
      </w:tr>
      <w:tr>
        <w:tc>
          <w:tcPr>
            <w:tcW w:type="dxa" w:w="4434"/>
          </w:tcPr>
          <w:p>
            <w:pPr>
              <w:spacing w:after="20"/>
            </w:pPr>
            <w:r/>
            <w:r>
              <w:rPr>
                <w:b w:val="0"/>
                <w:i w:val="0"/>
                <w:sz w:val="18"/>
              </w:rPr>
              <w:t>Why not 4-bit QLoRA?</w:t>
            </w:r>
          </w:p>
        </w:tc>
        <w:tc>
          <w:tcPr>
            <w:tcW w:type="dxa" w:w="4750"/>
          </w:tcPr>
          <w:p>
            <w:pPr>
              <w:spacing w:after="20"/>
            </w:pPr>
            <w:r/>
            <w:r>
              <w:rPr>
                <w:b w:val="0"/>
                <w:i w:val="0"/>
                <w:sz w:val="18"/>
              </w:rPr>
              <w:t>Unsloth reports larger quantisation error for Qwen3.5, so we train in 16-bit.</w:t>
            </w:r>
          </w:p>
        </w:tc>
      </w:tr>
      <w:tr>
        <w:tc>
          <w:tcPr>
            <w:tcW w:type="dxa" w:w="4434"/>
          </w:tcPr>
          <w:p>
            <w:pPr>
              <w:spacing w:after="20"/>
            </w:pPr>
            <w:r/>
            <w:r>
              <w:rPr>
                <w:b w:val="0"/>
                <w:i w:val="0"/>
                <w:sz w:val="18"/>
              </w:rPr>
              <w:t>How is MCQ scored without generating text?</w:t>
            </w:r>
          </w:p>
        </w:tc>
        <w:tc>
          <w:tcPr>
            <w:tcW w:type="dxa" w:w="4750"/>
          </w:tcPr>
          <w:p>
            <w:pPr>
              <w:spacing w:after="20"/>
            </w:pPr>
            <w:r/>
            <w:r>
              <w:rPr>
                <w:b w:val="0"/>
                <w:i w:val="0"/>
                <w:sz w:val="18"/>
              </w:rPr>
              <w:t>Compare next-token scores of the option letters after "Answer:".</w:t>
            </w:r>
          </w:p>
        </w:tc>
      </w:tr>
      <w:tr>
        <w:tc>
          <w:tcPr>
            <w:tcW w:type="dxa" w:w="4434"/>
          </w:tcPr>
          <w:p>
            <w:pPr>
              <w:spacing w:after="20"/>
            </w:pPr>
            <w:r/>
            <w:r>
              <w:rPr>
                <w:b w:val="0"/>
                <w:i w:val="0"/>
                <w:sz w:val="18"/>
              </w:rPr>
              <w:t>Is a 3-point gain meaningful?</w:t>
            </w:r>
          </w:p>
        </w:tc>
        <w:tc>
          <w:tcPr>
            <w:tcW w:type="dxa" w:w="4750"/>
          </w:tcPr>
          <w:p>
            <w:pPr>
              <w:spacing w:after="20"/>
            </w:pPr>
            <w:r/>
            <w:r>
              <w:rPr>
                <w:b w:val="0"/>
                <w:i w:val="0"/>
                <w:sz w:val="18"/>
              </w:rPr>
              <w:t>Not at N = 300 (margin about ±5.7 points).</w:t>
            </w:r>
          </w:p>
        </w:tc>
      </w:tr>
      <w:tr>
        <w:tc>
          <w:tcPr>
            <w:tcW w:type="dxa" w:w="4434"/>
          </w:tcPr>
          <w:p>
            <w:pPr>
              <w:spacing w:after="20"/>
            </w:pPr>
            <w:r/>
            <w:r>
              <w:rPr>
                <w:b w:val="0"/>
                <w:i w:val="0"/>
                <w:sz w:val="18"/>
              </w:rPr>
              <w:t>What are the ethical risks?</w:t>
            </w:r>
          </w:p>
        </w:tc>
        <w:tc>
          <w:tcPr>
            <w:tcW w:type="dxa" w:w="4750"/>
          </w:tcPr>
          <w:p>
            <w:pPr>
              <w:spacing w:after="20"/>
            </w:pPr>
            <w:r/>
            <w:r>
              <w:rPr>
                <w:b w:val="0"/>
                <w:i w:val="0"/>
                <w:sz w:val="18"/>
              </w:rPr>
              <w:t>Wrong advice, over-confidence, privacy, bias toward well-represented populations; mitigated by licensed non-personal data, disclaimers, human oversight; not a clinical tool.</w:t>
            </w:r>
          </w:p>
        </w:tc>
      </w:tr>
      <w:tr>
        <w:tc>
          <w:tcPr>
            <w:tcW w:type="dxa" w:w="4434"/>
          </w:tcPr>
          <w:p>
            <w:pPr>
              <w:spacing w:after="20"/>
            </w:pPr>
            <w:r/>
            <w:r>
              <w:rPr>
                <w:b w:val="0"/>
                <w:i w:val="0"/>
                <w:sz w:val="18"/>
              </w:rPr>
              <w:t>Why did you choose these data sources?</w:t>
            </w:r>
          </w:p>
        </w:tc>
        <w:tc>
          <w:tcPr>
            <w:tcW w:type="dxa" w:w="4750"/>
          </w:tcPr>
          <w:p>
            <w:pPr>
              <w:spacing w:after="20"/>
            </w:pPr>
            <w:r/>
            <w:r>
              <w:rPr>
                <w:b w:val="0"/>
                <w:i w:val="0"/>
                <w:sz w:val="18"/>
              </w:rPr>
              <w:t>Open licences, clinical relevance, Ghana-specific guidance; risky sources excluded.</w:t>
            </w:r>
          </w:p>
        </w:tc>
      </w:tr>
      <w:tr>
        <w:tc>
          <w:tcPr>
            <w:tcW w:type="dxa" w:w="4434"/>
          </w:tcPr>
          <w:p>
            <w:pPr>
              <w:spacing w:after="20"/>
            </w:pPr>
            <w:r/>
            <w:r>
              <w:rPr>
                <w:b w:val="0"/>
                <w:i w:val="0"/>
                <w:sz w:val="18"/>
              </w:rPr>
              <w:t>What would you do next?</w:t>
            </w:r>
          </w:p>
        </w:tc>
        <w:tc>
          <w:tcPr>
            <w:tcW w:type="dxa" w:w="4750"/>
          </w:tcPr>
          <w:p>
            <w:pPr>
              <w:spacing w:after="20"/>
            </w:pPr>
            <w:r/>
            <w:r>
              <w:rPr>
                <w:b w:val="0"/>
                <w:i w:val="0"/>
                <w:sz w:val="18"/>
              </w:rPr>
              <w:t>Retrieval over the Ghana guidelines, clinician evaluation, larger model, alignment.</w:t>
            </w:r>
          </w:p>
        </w:tc>
      </w:tr>
    </w:tbl>
    <w:p>
      <w:pPr>
        <w:spacing w:after="40"/>
      </w:pPr>
    </w:p>
    <w:p>
      <w:pPr>
        <w:pStyle w:val="Heading2"/>
      </w:pPr>
      <w:r>
        <w:t>Appendix E. Ten-minute presentation outline (Sections B and C)</w:t>
      </w:r>
    </w:p>
    <w:p>
      <w:pPr>
        <w:spacing w:after="60"/>
        <w:ind w:left="510" w:hanging="283"/>
      </w:pPr>
      <w:r>
        <w:rPr>
          <w:b w:val="0"/>
          <w:i w:val="0"/>
        </w:rPr>
        <w:t>1.  The task and why domain adaptation matters (1 min)</w:t>
      </w:r>
    </w:p>
    <w:p>
      <w:pPr>
        <w:spacing w:after="60"/>
        <w:ind w:left="510" w:hanging="283"/>
      </w:pPr>
      <w:r>
        <w:rPr>
          <w:b w:val="0"/>
          <w:i w:val="0"/>
        </w:rPr>
        <w:t>2.  Section B recap: the n-gram model (2 min, from your teammates' work)</w:t>
      </w:r>
    </w:p>
    <w:p>
      <w:pPr>
        <w:spacing w:after="60"/>
        <w:ind w:left="510" w:hanging="283"/>
      </w:pPr>
      <w:r>
        <w:rPr>
          <w:b w:val="0"/>
          <w:i w:val="0"/>
        </w:rPr>
        <w:t>3.  Section C: data and the "held-out first" rule (1.5 min)</w:t>
      </w:r>
    </w:p>
    <w:p>
      <w:pPr>
        <w:spacing w:after="60"/>
        <w:ind w:left="510" w:hanging="283"/>
      </w:pPr>
      <w:r>
        <w:rPr>
          <w:b w:val="0"/>
          <w:i w:val="0"/>
        </w:rPr>
        <w:t>4.  Method: two stages plus LoRA, with Figure 1 and Figure 2 (2 min)</w:t>
      </w:r>
    </w:p>
    <w:p>
      <w:pPr>
        <w:spacing w:after="60"/>
        <w:ind w:left="510" w:hanging="283"/>
      </w:pPr>
      <w:r>
        <w:rPr>
          <w:b w:val="0"/>
          <w:i w:val="0"/>
        </w:rPr>
        <w:t>5.  Evaluation design: perplexity, exam questions, vignettes, control (1.5 min)</w:t>
      </w:r>
    </w:p>
    <w:p>
      <w:pPr>
        <w:spacing w:after="60"/>
        <w:ind w:left="510" w:hanging="283"/>
      </w:pPr>
      <w:r>
        <w:rPr>
          <w:b w:val="0"/>
          <w:i w:val="0"/>
        </w:rPr>
        <w:t>6.  Results: Table 1, Table 2 and one vignette (1.5 min)</w:t>
      </w:r>
    </w:p>
    <w:p>
      <w:pPr>
        <w:spacing w:after="60"/>
        <w:ind w:left="510" w:hanging="283"/>
      </w:pPr>
      <w:r>
        <w:rPr>
          <w:b w:val="0"/>
          <w:i w:val="0"/>
        </w:rPr>
        <w:t>7.  Lessons and limits (0.5 min)</w:t>
      </w:r>
    </w:p>
    <w:p>
      <w:pPr>
        <w:pStyle w:val="Heading2"/>
      </w:pPr>
      <w:r>
        <w:t>Appendix F. Glossary</w:t>
      </w:r>
    </w:p>
    <w:tbl>
      <w:tblPr>
        <w:tblStyle w:val="TableGrid"/>
        <w:tblW w:type="auto" w:w="0"/>
        <w:tblLayout w:type="fixed"/>
        <w:tblLook w:firstColumn="1" w:firstRow="1" w:lastColumn="0" w:lastRow="0" w:noHBand="0" w:noVBand="1" w:val="04A0"/>
      </w:tblPr>
      <w:tblGrid>
        <w:gridCol w:w="4592"/>
        <w:gridCol w:w="4592"/>
      </w:tblGrid>
      <w:tr>
        <w:tc>
          <w:tcPr>
            <w:tcW w:type="dxa" w:w="2701"/>
            <w:shd w:val="clear" w:color="auto" w:fill="DBE5F1"/>
          </w:tcPr>
          <w:p>
            <w:pPr>
              <w:spacing w:after="20"/>
            </w:pPr>
            <w:r/>
            <w:r>
              <w:rPr>
                <w:b/>
                <w:i w:val="0"/>
                <w:sz w:val="18"/>
              </w:rPr>
              <w:t>Term</w:t>
            </w:r>
          </w:p>
        </w:tc>
        <w:tc>
          <w:tcPr>
            <w:tcW w:type="dxa" w:w="6483"/>
            <w:shd w:val="clear" w:color="auto" w:fill="DBE5F1"/>
          </w:tcPr>
          <w:p>
            <w:pPr>
              <w:spacing w:after="20"/>
            </w:pPr>
            <w:r/>
            <w:r>
              <w:rPr>
                <w:b/>
                <w:i w:val="0"/>
                <w:sz w:val="18"/>
              </w:rPr>
              <w:t>Plain meaning</w:t>
            </w:r>
          </w:p>
        </w:tc>
      </w:tr>
      <w:tr>
        <w:tc>
          <w:tcPr>
            <w:tcW w:type="dxa" w:w="2701"/>
          </w:tcPr>
          <w:p>
            <w:pPr>
              <w:spacing w:after="20"/>
            </w:pPr>
            <w:r/>
            <w:r>
              <w:rPr>
                <w:b w:val="0"/>
                <w:i w:val="0"/>
                <w:sz w:val="18"/>
              </w:rPr>
              <w:t>Token</w:t>
            </w:r>
          </w:p>
        </w:tc>
        <w:tc>
          <w:tcPr>
            <w:tcW w:type="dxa" w:w="6483"/>
          </w:tcPr>
          <w:p>
            <w:pPr>
              <w:spacing w:after="20"/>
            </w:pPr>
            <w:r/>
            <w:r>
              <w:rPr>
                <w:b w:val="0"/>
                <w:i w:val="0"/>
                <w:sz w:val="18"/>
              </w:rPr>
              <w:t>A piece of a word; the unit a model reads</w:t>
            </w:r>
          </w:p>
        </w:tc>
      </w:tr>
      <w:tr>
        <w:tc>
          <w:tcPr>
            <w:tcW w:type="dxa" w:w="2701"/>
          </w:tcPr>
          <w:p>
            <w:pPr>
              <w:spacing w:after="20"/>
            </w:pPr>
            <w:r/>
            <w:r>
              <w:rPr>
                <w:b w:val="0"/>
                <w:i w:val="0"/>
                <w:sz w:val="18"/>
              </w:rPr>
              <w:t>Parameter / weight</w:t>
            </w:r>
          </w:p>
        </w:tc>
        <w:tc>
          <w:tcPr>
            <w:tcW w:type="dxa" w:w="6483"/>
          </w:tcPr>
          <w:p>
            <w:pPr>
              <w:spacing w:after="20"/>
            </w:pPr>
            <w:r/>
            <w:r>
              <w:rPr>
                <w:b w:val="0"/>
                <w:i w:val="0"/>
                <w:sz w:val="18"/>
              </w:rPr>
              <w:t>An adjustable number inside the model (billions of them)</w:t>
            </w:r>
          </w:p>
        </w:tc>
      </w:tr>
      <w:tr>
        <w:tc>
          <w:tcPr>
            <w:tcW w:type="dxa" w:w="2701"/>
          </w:tcPr>
          <w:p>
            <w:pPr>
              <w:spacing w:after="20"/>
            </w:pPr>
            <w:r/>
            <w:r>
              <w:rPr>
                <w:b w:val="0"/>
                <w:i w:val="0"/>
                <w:sz w:val="18"/>
              </w:rPr>
              <w:t>Base model</w:t>
            </w:r>
          </w:p>
        </w:tc>
        <w:tc>
          <w:tcPr>
            <w:tcW w:type="dxa" w:w="6483"/>
          </w:tcPr>
          <w:p>
            <w:pPr>
              <w:spacing w:after="20"/>
            </w:pPr>
            <w:r/>
            <w:r>
              <w:rPr>
                <w:b w:val="0"/>
                <w:i w:val="0"/>
                <w:sz w:val="18"/>
              </w:rPr>
              <w:t>Pre-trained only; completes text but does not follow instructions well</w:t>
            </w:r>
          </w:p>
        </w:tc>
      </w:tr>
      <w:tr>
        <w:tc>
          <w:tcPr>
            <w:tcW w:type="dxa" w:w="2701"/>
          </w:tcPr>
          <w:p>
            <w:pPr>
              <w:spacing w:after="20"/>
            </w:pPr>
            <w:r/>
            <w:r>
              <w:rPr>
                <w:b w:val="0"/>
                <w:i w:val="0"/>
                <w:sz w:val="18"/>
              </w:rPr>
              <w:t>Instruct model</w:t>
            </w:r>
          </w:p>
        </w:tc>
        <w:tc>
          <w:tcPr>
            <w:tcW w:type="dxa" w:w="6483"/>
          </w:tcPr>
          <w:p>
            <w:pPr>
              <w:spacing w:after="20"/>
            </w:pPr>
            <w:r/>
            <w:r>
              <w:rPr>
                <w:b w:val="0"/>
                <w:i w:val="0"/>
                <w:sz w:val="18"/>
              </w:rPr>
              <w:t>Also trained to follow instructions</w:t>
            </w:r>
          </w:p>
        </w:tc>
      </w:tr>
      <w:tr>
        <w:tc>
          <w:tcPr>
            <w:tcW w:type="dxa" w:w="2701"/>
          </w:tcPr>
          <w:p>
            <w:pPr>
              <w:spacing w:after="20"/>
            </w:pPr>
            <w:r/>
            <w:r>
              <w:rPr>
                <w:b w:val="0"/>
                <w:i w:val="0"/>
                <w:sz w:val="18"/>
              </w:rPr>
              <w:t>Fine-tuning</w:t>
            </w:r>
          </w:p>
        </w:tc>
        <w:tc>
          <w:tcPr>
            <w:tcW w:type="dxa" w:w="6483"/>
          </w:tcPr>
          <w:p>
            <w:pPr>
              <w:spacing w:after="20"/>
            </w:pPr>
            <w:r/>
            <w:r>
              <w:rPr>
                <w:b w:val="0"/>
                <w:i w:val="0"/>
                <w:sz w:val="18"/>
              </w:rPr>
              <w:t>Further training on a smaller, targeted dataset</w:t>
            </w:r>
          </w:p>
        </w:tc>
      </w:tr>
      <w:tr>
        <w:tc>
          <w:tcPr>
            <w:tcW w:type="dxa" w:w="2701"/>
          </w:tcPr>
          <w:p>
            <w:pPr>
              <w:spacing w:after="20"/>
            </w:pPr>
            <w:r/>
            <w:r>
              <w:rPr>
                <w:b w:val="0"/>
                <w:i w:val="0"/>
                <w:sz w:val="18"/>
              </w:rPr>
              <w:t>LoRA / adapter</w:t>
            </w:r>
          </w:p>
        </w:tc>
        <w:tc>
          <w:tcPr>
            <w:tcW w:type="dxa" w:w="6483"/>
          </w:tcPr>
          <w:p>
            <w:pPr>
              <w:spacing w:after="20"/>
            </w:pPr>
            <w:r/>
            <w:r>
              <w:rPr>
                <w:b w:val="0"/>
                <w:i w:val="0"/>
                <w:sz w:val="18"/>
              </w:rPr>
              <w:t>A small trainable add-on; the original model stays frozen</w:t>
            </w:r>
          </w:p>
        </w:tc>
      </w:tr>
      <w:tr>
        <w:tc>
          <w:tcPr>
            <w:tcW w:type="dxa" w:w="2701"/>
          </w:tcPr>
          <w:p>
            <w:pPr>
              <w:spacing w:after="20"/>
            </w:pPr>
            <w:r/>
            <w:r>
              <w:rPr>
                <w:b w:val="0"/>
                <w:i w:val="0"/>
                <w:sz w:val="18"/>
              </w:rPr>
              <w:t>Loss</w:t>
            </w:r>
          </w:p>
        </w:tc>
        <w:tc>
          <w:tcPr>
            <w:tcW w:type="dxa" w:w="6483"/>
          </w:tcPr>
          <w:p>
            <w:pPr>
              <w:spacing w:after="20"/>
            </w:pPr>
            <w:r/>
            <w:r>
              <w:rPr>
                <w:b w:val="0"/>
                <w:i w:val="0"/>
                <w:sz w:val="18"/>
              </w:rPr>
              <w:t>The model's average mistake on training text; lower is better</w:t>
            </w:r>
          </w:p>
        </w:tc>
      </w:tr>
      <w:tr>
        <w:tc>
          <w:tcPr>
            <w:tcW w:type="dxa" w:w="2701"/>
          </w:tcPr>
          <w:p>
            <w:pPr>
              <w:spacing w:after="20"/>
            </w:pPr>
            <w:r/>
            <w:r>
              <w:rPr>
                <w:b w:val="0"/>
                <w:i w:val="0"/>
                <w:sz w:val="18"/>
              </w:rPr>
              <w:t>Perplexity</w:t>
            </w:r>
          </w:p>
        </w:tc>
        <w:tc>
          <w:tcPr>
            <w:tcW w:type="dxa" w:w="6483"/>
          </w:tcPr>
          <w:p>
            <w:pPr>
              <w:spacing w:after="20"/>
            </w:pPr>
            <w:r/>
            <w:r>
              <w:rPr>
                <w:b w:val="0"/>
                <w:i w:val="0"/>
                <w:sz w:val="18"/>
              </w:rPr>
              <w:t>exp(loss) on unseen text; how surprised the model is</w:t>
            </w:r>
          </w:p>
        </w:tc>
      </w:tr>
      <w:tr>
        <w:tc>
          <w:tcPr>
            <w:tcW w:type="dxa" w:w="2701"/>
          </w:tcPr>
          <w:p>
            <w:pPr>
              <w:spacing w:after="20"/>
            </w:pPr>
            <w:r/>
            <w:r>
              <w:rPr>
                <w:b w:val="0"/>
                <w:i w:val="0"/>
                <w:sz w:val="18"/>
              </w:rPr>
              <w:t>Held-out set</w:t>
            </w:r>
          </w:p>
        </w:tc>
        <w:tc>
          <w:tcPr>
            <w:tcW w:type="dxa" w:w="6483"/>
          </w:tcPr>
          <w:p>
            <w:pPr>
              <w:spacing w:after="20"/>
            </w:pPr>
            <w:r/>
            <w:r>
              <w:rPr>
                <w:b w:val="0"/>
                <w:i w:val="0"/>
                <w:sz w:val="18"/>
              </w:rPr>
              <w:t>Data set aside before training, for testing only</w:t>
            </w:r>
          </w:p>
        </w:tc>
      </w:tr>
      <w:tr>
        <w:tc>
          <w:tcPr>
            <w:tcW w:type="dxa" w:w="2701"/>
          </w:tcPr>
          <w:p>
            <w:pPr>
              <w:spacing w:after="20"/>
            </w:pPr>
            <w:r/>
            <w:r>
              <w:rPr>
                <w:b w:val="0"/>
                <w:i w:val="0"/>
                <w:sz w:val="18"/>
              </w:rPr>
              <w:t>Overfitting</w:t>
            </w:r>
          </w:p>
        </w:tc>
        <w:tc>
          <w:tcPr>
            <w:tcW w:type="dxa" w:w="6483"/>
          </w:tcPr>
          <w:p>
            <w:pPr>
              <w:spacing w:after="20"/>
            </w:pPr>
            <w:r/>
            <w:r>
              <w:rPr>
                <w:b w:val="0"/>
                <w:i w:val="0"/>
                <w:sz w:val="18"/>
              </w:rPr>
              <w:t>Memorising the training data instead of learning general patterns</w:t>
            </w:r>
          </w:p>
        </w:tc>
      </w:tr>
      <w:tr>
        <w:tc>
          <w:tcPr>
            <w:tcW w:type="dxa" w:w="2701"/>
          </w:tcPr>
          <w:p>
            <w:pPr>
              <w:spacing w:after="20"/>
            </w:pPr>
            <w:r/>
            <w:r>
              <w:rPr>
                <w:b w:val="0"/>
                <w:i w:val="0"/>
                <w:sz w:val="18"/>
              </w:rPr>
              <w:t>Catastrophic forgetting</w:t>
            </w:r>
          </w:p>
        </w:tc>
        <w:tc>
          <w:tcPr>
            <w:tcW w:type="dxa" w:w="6483"/>
          </w:tcPr>
          <w:p>
            <w:pPr>
              <w:spacing w:after="20"/>
            </w:pPr>
            <w:r/>
            <w:r>
              <w:rPr>
                <w:b w:val="0"/>
                <w:i w:val="0"/>
                <w:sz w:val="18"/>
              </w:rPr>
              <w:t>Losing old skills while learning new ones</w:t>
            </w:r>
          </w:p>
        </w:tc>
      </w:tr>
      <w:tr>
        <w:tc>
          <w:tcPr>
            <w:tcW w:type="dxa" w:w="2701"/>
          </w:tcPr>
          <w:p>
            <w:pPr>
              <w:spacing w:after="20"/>
            </w:pPr>
            <w:r/>
            <w:r>
              <w:rPr>
                <w:b w:val="0"/>
                <w:i w:val="0"/>
                <w:sz w:val="18"/>
              </w:rPr>
              <w:t>Zero-shot</w:t>
            </w:r>
          </w:p>
        </w:tc>
        <w:tc>
          <w:tcPr>
            <w:tcW w:type="dxa" w:w="6483"/>
          </w:tcPr>
          <w:p>
            <w:pPr>
              <w:spacing w:after="20"/>
            </w:pPr>
            <w:r/>
            <w:r>
              <w:rPr>
                <w:b w:val="0"/>
                <w:i w:val="0"/>
                <w:sz w:val="18"/>
              </w:rPr>
              <w:t>Answering without any worked examples in the prompt</w:t>
            </w:r>
          </w:p>
        </w:tc>
      </w:tr>
      <w:tr>
        <w:tc>
          <w:tcPr>
            <w:tcW w:type="dxa" w:w="2701"/>
          </w:tcPr>
          <w:p>
            <w:pPr>
              <w:spacing w:after="20"/>
            </w:pPr>
            <w:r/>
            <w:r>
              <w:rPr>
                <w:b w:val="0"/>
                <w:i w:val="0"/>
                <w:sz w:val="18"/>
              </w:rPr>
              <w:t>RAG</w:t>
            </w:r>
          </w:p>
        </w:tc>
        <w:tc>
          <w:tcPr>
            <w:tcW w:type="dxa" w:w="6483"/>
          </w:tcPr>
          <w:p>
            <w:pPr>
              <w:spacing w:after="20"/>
            </w:pPr>
            <w:r/>
            <w:r>
              <w:rPr>
                <w:b w:val="0"/>
                <w:i w:val="0"/>
                <w:sz w:val="18"/>
              </w:rPr>
              <w:t>Retrieval-augmented generation: look up documents, then answer</w:t>
            </w:r>
          </w:p>
        </w:tc>
      </w:tr>
      <w:tr>
        <w:tc>
          <w:tcPr>
            <w:tcW w:type="dxa" w:w="2701"/>
          </w:tcPr>
          <w:p>
            <w:pPr>
              <w:spacing w:after="20"/>
            </w:pPr>
            <w:r/>
            <w:r>
              <w:rPr>
                <w:b w:val="0"/>
                <w:i w:val="0"/>
                <w:sz w:val="18"/>
              </w:rPr>
              <w:t>GPU / T4</w:t>
            </w:r>
          </w:p>
        </w:tc>
        <w:tc>
          <w:tcPr>
            <w:tcW w:type="dxa" w:w="6483"/>
          </w:tcPr>
          <w:p>
            <w:pPr>
              <w:spacing w:after="20"/>
            </w:pPr>
            <w:r/>
            <w:r>
              <w:rPr>
                <w:b w:val="0"/>
                <w:i w:val="0"/>
                <w:sz w:val="18"/>
              </w:rPr>
              <w:t>The graphics card that does the heavy maths; a T4 has 16 GB</w:t>
            </w:r>
          </w:p>
        </w:tc>
      </w:tr>
    </w:tbl>
    <w:p>
      <w:pPr>
        <w:spacing w:after="40"/>
      </w:pPr>
    </w:p>
    <w:sectPr w:rsidR="00FC693F" w:rsidRPr="0006063C" w:rsidSect="00034616">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