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5E26" w:rsidRDefault="00125E26">
      <w:pPr>
        <w:rPr>
          <w:b/>
        </w:rPr>
      </w:pPr>
      <w:r>
        <w:rPr>
          <w:b/>
        </w:rPr>
        <w:t>Cover page</w:t>
      </w:r>
    </w:p>
    <w:p w:rsidR="00023ADF" w:rsidRDefault="00023ADF">
      <w:pPr>
        <w:rPr>
          <w:b/>
        </w:rPr>
      </w:pPr>
    </w:p>
    <w:p w:rsidR="00023ADF" w:rsidRPr="00023ADF" w:rsidRDefault="00023ADF">
      <w:r w:rsidRPr="00023ADF">
        <w:t>Lee Doe (ldXXXX)</w:t>
      </w:r>
    </w:p>
    <w:p w:rsidR="00023ADF" w:rsidRDefault="00023ADF">
      <w:r w:rsidRPr="00023ADF">
        <w:t>COSC-XXXX</w:t>
      </w:r>
    </w:p>
    <w:p w:rsidR="00023ADF" w:rsidRPr="00023ADF" w:rsidRDefault="00023ADF">
      <w:r>
        <w:t>Mock Project - Cache Replacement Policies</w:t>
      </w:r>
      <w:bookmarkStart w:id="0" w:name="_GoBack"/>
      <w:bookmarkEnd w:id="0"/>
    </w:p>
    <w:p w:rsidR="00125E26" w:rsidRDefault="00125E26">
      <w:pPr>
        <w:rPr>
          <w:b/>
        </w:rPr>
      </w:pPr>
    </w:p>
    <w:p w:rsidR="006A1D3E" w:rsidRDefault="00125E26">
      <w:r w:rsidRPr="00125E26">
        <w:rPr>
          <w:b/>
        </w:rPr>
        <w:t>Status of assignment:</w:t>
      </w:r>
      <w:r>
        <w:t xml:space="preserve"> Complete</w:t>
      </w:r>
    </w:p>
    <w:p w:rsidR="00125E26" w:rsidRDefault="00125E26"/>
    <w:p w:rsidR="00125E26" w:rsidRDefault="00125E26">
      <w:r w:rsidRPr="00125E26">
        <w:rPr>
          <w:b/>
        </w:rPr>
        <w:t>Time spent on project:</w:t>
      </w:r>
      <w:r>
        <w:t xml:space="preserve"> 1</w:t>
      </w:r>
      <w:r w:rsidR="009B76EE">
        <w:t>5</w:t>
      </w:r>
      <w:r>
        <w:t xml:space="preserve"> hours</w:t>
      </w:r>
    </w:p>
    <w:p w:rsidR="00125E26" w:rsidRDefault="00125E26"/>
    <w:p w:rsidR="00125E26" w:rsidRDefault="00125E26">
      <w:r w:rsidRPr="00125E26">
        <w:rPr>
          <w:b/>
        </w:rPr>
        <w:t>Things you wish you had been told prior to being given the assignment:</w:t>
      </w:r>
      <w:r>
        <w:t xml:space="preserve"> I was a little confused at first about implementing caching when there is no value being </w:t>
      </w:r>
      <w:r w:rsidR="00CD6802">
        <w:t>retrieved</w:t>
      </w:r>
      <w:r>
        <w:t>.</w:t>
      </w:r>
      <w:r w:rsidR="00CD6802">
        <w:t xml:space="preserve"> I should have </w:t>
      </w:r>
      <w:r w:rsidR="00C001EA">
        <w:t>asked</w:t>
      </w:r>
      <w:r w:rsidR="00CD6802">
        <w:t xml:space="preserve"> my TA sooner to clear this up.</w:t>
      </w:r>
    </w:p>
    <w:p w:rsidR="00B044A5" w:rsidRDefault="00B044A5">
      <w:r>
        <w:br w:type="page"/>
      </w:r>
    </w:p>
    <w:p w:rsidR="00B044A5" w:rsidRPr="003F5BD8" w:rsidRDefault="003F5BD8">
      <w:pPr>
        <w:rPr>
          <w:b/>
        </w:rPr>
      </w:pPr>
      <w:r w:rsidRPr="003F5BD8">
        <w:rPr>
          <w:b/>
        </w:rPr>
        <w:lastRenderedPageBreak/>
        <w:t>Design Document</w:t>
      </w:r>
    </w:p>
    <w:p w:rsidR="003F5BD8" w:rsidRDefault="003F5BD8"/>
    <w:p w:rsidR="003F5BD8" w:rsidRDefault="003F5BD8">
      <w:r>
        <w:br w:type="page"/>
      </w:r>
    </w:p>
    <w:p w:rsidR="003F5BD8" w:rsidRPr="003F5BD8" w:rsidRDefault="003F5BD8">
      <w:pPr>
        <w:rPr>
          <w:b/>
        </w:rPr>
      </w:pPr>
      <w:r w:rsidRPr="003F5BD8">
        <w:rPr>
          <w:b/>
        </w:rPr>
        <w:lastRenderedPageBreak/>
        <w:t>Report &amp; Analysis</w:t>
      </w:r>
    </w:p>
    <w:p w:rsidR="003F5BD8" w:rsidRDefault="003F5BD8"/>
    <w:tbl>
      <w:tblPr>
        <w:tblStyle w:val="TableGrid"/>
        <w:tblW w:w="0" w:type="auto"/>
        <w:tblCellMar>
          <w:top w:w="58" w:type="dxa"/>
          <w:left w:w="115" w:type="dxa"/>
          <w:bottom w:w="58" w:type="dxa"/>
          <w:right w:w="115" w:type="dxa"/>
        </w:tblCellMar>
        <w:tblLook w:val="04A0" w:firstRow="1" w:lastRow="0" w:firstColumn="1" w:lastColumn="0" w:noHBand="0" w:noVBand="1"/>
      </w:tblPr>
      <w:tblGrid>
        <w:gridCol w:w="1879"/>
        <w:gridCol w:w="1905"/>
        <w:gridCol w:w="1906"/>
        <w:gridCol w:w="1906"/>
        <w:gridCol w:w="1754"/>
      </w:tblGrid>
      <w:tr w:rsidR="004D5672" w:rsidRPr="003F5BD8" w:rsidTr="004D5672">
        <w:tc>
          <w:tcPr>
            <w:tcW w:w="1879" w:type="dxa"/>
          </w:tcPr>
          <w:p w:rsidR="004D5672" w:rsidRPr="003F5BD8" w:rsidRDefault="004D5672" w:rsidP="003F5BD8"/>
        </w:tc>
        <w:tc>
          <w:tcPr>
            <w:tcW w:w="1905" w:type="dxa"/>
          </w:tcPr>
          <w:p w:rsidR="004D5672" w:rsidRPr="003F5BD8" w:rsidRDefault="004D5672" w:rsidP="00D64DEF">
            <w:pPr>
              <w:jc w:val="right"/>
            </w:pPr>
            <w:r w:rsidRPr="003F5BD8">
              <w:t>LRU</w:t>
            </w:r>
          </w:p>
        </w:tc>
        <w:tc>
          <w:tcPr>
            <w:tcW w:w="1906" w:type="dxa"/>
          </w:tcPr>
          <w:p w:rsidR="004D5672" w:rsidRPr="003F5BD8" w:rsidRDefault="004D5672" w:rsidP="00D64DEF">
            <w:pPr>
              <w:jc w:val="right"/>
            </w:pPr>
            <w:r w:rsidRPr="003F5BD8">
              <w:t>FIFO</w:t>
            </w:r>
          </w:p>
        </w:tc>
        <w:tc>
          <w:tcPr>
            <w:tcW w:w="1906" w:type="dxa"/>
          </w:tcPr>
          <w:p w:rsidR="004D5672" w:rsidRPr="003F5BD8" w:rsidRDefault="004D5672" w:rsidP="00D64DEF">
            <w:pPr>
              <w:jc w:val="right"/>
            </w:pPr>
            <w:r w:rsidRPr="003F5BD8">
              <w:t>LFU</w:t>
            </w:r>
          </w:p>
        </w:tc>
        <w:tc>
          <w:tcPr>
            <w:tcW w:w="1754" w:type="dxa"/>
          </w:tcPr>
          <w:p w:rsidR="004D5672" w:rsidRPr="003F5BD8" w:rsidRDefault="004D5672" w:rsidP="00D64DEF">
            <w:pPr>
              <w:jc w:val="right"/>
            </w:pPr>
            <w:r>
              <w:t>RR (baseline)</w:t>
            </w:r>
          </w:p>
        </w:tc>
      </w:tr>
      <w:tr w:rsidR="004D5672" w:rsidRPr="003F5BD8" w:rsidTr="004D5672">
        <w:tc>
          <w:tcPr>
            <w:tcW w:w="1879" w:type="dxa"/>
          </w:tcPr>
          <w:p w:rsidR="004D5672" w:rsidRPr="003F5BD8" w:rsidRDefault="004D5672" w:rsidP="003F5BD8">
            <w:r w:rsidRPr="003F5BD8">
              <w:t>Case 1</w:t>
            </w:r>
          </w:p>
        </w:tc>
        <w:tc>
          <w:tcPr>
            <w:tcW w:w="1905" w:type="dxa"/>
          </w:tcPr>
          <w:p w:rsidR="004D5672" w:rsidRPr="004D5672" w:rsidRDefault="004D5672" w:rsidP="00D64DEF">
            <w:pPr>
              <w:jc w:val="right"/>
            </w:pPr>
            <w:r w:rsidRPr="004D5672">
              <w:t>1.000</w:t>
            </w:r>
          </w:p>
        </w:tc>
        <w:tc>
          <w:tcPr>
            <w:tcW w:w="1906" w:type="dxa"/>
          </w:tcPr>
          <w:p w:rsidR="004D5672" w:rsidRPr="004D5672" w:rsidRDefault="004D5672" w:rsidP="00D64DEF">
            <w:pPr>
              <w:jc w:val="right"/>
            </w:pPr>
            <w:r w:rsidRPr="004D5672">
              <w:t>1.000</w:t>
            </w:r>
          </w:p>
        </w:tc>
        <w:tc>
          <w:tcPr>
            <w:tcW w:w="1906" w:type="dxa"/>
          </w:tcPr>
          <w:p w:rsidR="004D5672" w:rsidRPr="004D5672" w:rsidRDefault="004D5672" w:rsidP="00D64DEF">
            <w:pPr>
              <w:jc w:val="right"/>
            </w:pPr>
            <w:r w:rsidRPr="004D5672">
              <w:t>1.000</w:t>
            </w:r>
          </w:p>
        </w:tc>
        <w:tc>
          <w:tcPr>
            <w:tcW w:w="1754" w:type="dxa"/>
          </w:tcPr>
          <w:p w:rsidR="004D5672" w:rsidRPr="00530952" w:rsidRDefault="004D5672" w:rsidP="00D64DEF">
            <w:pPr>
              <w:jc w:val="right"/>
              <w:rPr>
                <w:b/>
              </w:rPr>
            </w:pPr>
            <w:r>
              <w:rPr>
                <w:b/>
              </w:rPr>
              <w:t>0.600</w:t>
            </w:r>
          </w:p>
        </w:tc>
      </w:tr>
      <w:tr w:rsidR="004D5672" w:rsidRPr="003F5BD8" w:rsidTr="004D5672">
        <w:tc>
          <w:tcPr>
            <w:tcW w:w="1879" w:type="dxa"/>
          </w:tcPr>
          <w:p w:rsidR="004D5672" w:rsidRPr="003F5BD8" w:rsidRDefault="004D5672" w:rsidP="003F5BD8">
            <w:r w:rsidRPr="003F5BD8">
              <w:t>Case 2</w:t>
            </w:r>
          </w:p>
        </w:tc>
        <w:tc>
          <w:tcPr>
            <w:tcW w:w="1905" w:type="dxa"/>
          </w:tcPr>
          <w:p w:rsidR="004D5672" w:rsidRPr="003F5BD8" w:rsidRDefault="004D5672" w:rsidP="00D64DEF">
            <w:pPr>
              <w:jc w:val="right"/>
            </w:pPr>
            <w:r>
              <w:t>0.385</w:t>
            </w:r>
          </w:p>
        </w:tc>
        <w:tc>
          <w:tcPr>
            <w:tcW w:w="1906" w:type="dxa"/>
          </w:tcPr>
          <w:p w:rsidR="004D5672" w:rsidRPr="003F5BD8" w:rsidRDefault="004D5672" w:rsidP="00D64DEF">
            <w:pPr>
              <w:jc w:val="right"/>
            </w:pPr>
            <w:r>
              <w:t>0.390</w:t>
            </w:r>
          </w:p>
        </w:tc>
        <w:tc>
          <w:tcPr>
            <w:tcW w:w="1906" w:type="dxa"/>
          </w:tcPr>
          <w:p w:rsidR="004D5672" w:rsidRPr="00530952" w:rsidRDefault="004D5672" w:rsidP="00D64DEF">
            <w:pPr>
              <w:jc w:val="right"/>
              <w:rPr>
                <w:b/>
              </w:rPr>
            </w:pPr>
            <w:r w:rsidRPr="00530952">
              <w:rPr>
                <w:b/>
              </w:rPr>
              <w:t>0.335</w:t>
            </w:r>
          </w:p>
        </w:tc>
        <w:tc>
          <w:tcPr>
            <w:tcW w:w="1754" w:type="dxa"/>
          </w:tcPr>
          <w:p w:rsidR="004D5672" w:rsidRPr="004D5672" w:rsidRDefault="004D5672" w:rsidP="00D64DEF">
            <w:pPr>
              <w:jc w:val="right"/>
            </w:pPr>
            <w:r w:rsidRPr="004D5672">
              <w:t>0.390</w:t>
            </w:r>
          </w:p>
        </w:tc>
      </w:tr>
      <w:tr w:rsidR="004D5672" w:rsidRPr="003F5BD8" w:rsidTr="004D5672">
        <w:tc>
          <w:tcPr>
            <w:tcW w:w="1879" w:type="dxa"/>
          </w:tcPr>
          <w:p w:rsidR="004D5672" w:rsidRPr="003F5BD8" w:rsidRDefault="004D5672" w:rsidP="003F5BD8">
            <w:r w:rsidRPr="003F5BD8">
              <w:t xml:space="preserve">Case </w:t>
            </w:r>
            <w:r w:rsidR="007E607B">
              <w:t>3</w:t>
            </w:r>
          </w:p>
        </w:tc>
        <w:tc>
          <w:tcPr>
            <w:tcW w:w="1905" w:type="dxa"/>
          </w:tcPr>
          <w:p w:rsidR="004D5672" w:rsidRPr="003F5BD8" w:rsidRDefault="004D5672" w:rsidP="00D64DEF">
            <w:pPr>
              <w:jc w:val="right"/>
            </w:pPr>
            <w:r>
              <w:t>0.245</w:t>
            </w:r>
          </w:p>
        </w:tc>
        <w:tc>
          <w:tcPr>
            <w:tcW w:w="1906" w:type="dxa"/>
          </w:tcPr>
          <w:p w:rsidR="004D5672" w:rsidRPr="003F5BD8" w:rsidRDefault="004D5672" w:rsidP="00D64DEF">
            <w:pPr>
              <w:jc w:val="right"/>
            </w:pPr>
            <w:r>
              <w:t>0.300</w:t>
            </w:r>
          </w:p>
        </w:tc>
        <w:tc>
          <w:tcPr>
            <w:tcW w:w="1906" w:type="dxa"/>
          </w:tcPr>
          <w:p w:rsidR="004D5672" w:rsidRPr="00530952" w:rsidRDefault="004D5672" w:rsidP="00D64DEF">
            <w:pPr>
              <w:jc w:val="right"/>
              <w:rPr>
                <w:b/>
              </w:rPr>
            </w:pPr>
            <w:r w:rsidRPr="00530952">
              <w:rPr>
                <w:b/>
              </w:rPr>
              <w:t>0.200</w:t>
            </w:r>
          </w:p>
        </w:tc>
        <w:tc>
          <w:tcPr>
            <w:tcW w:w="1754" w:type="dxa"/>
          </w:tcPr>
          <w:p w:rsidR="004D5672" w:rsidRPr="004D5672" w:rsidRDefault="004D5672" w:rsidP="00D64DEF">
            <w:pPr>
              <w:jc w:val="right"/>
              <w:rPr>
                <w:rFonts w:ascii="Calibri" w:hAnsi="Calibri" w:cs="Calibri"/>
                <w:color w:val="000000"/>
              </w:rPr>
            </w:pPr>
            <w:r>
              <w:rPr>
                <w:rFonts w:ascii="Calibri" w:hAnsi="Calibri" w:cs="Calibri"/>
                <w:color w:val="000000"/>
              </w:rPr>
              <w:t>0.305</w:t>
            </w:r>
          </w:p>
        </w:tc>
      </w:tr>
    </w:tbl>
    <w:p w:rsidR="003F5BD8" w:rsidRDefault="008A2D82">
      <w:r>
        <w:rPr>
          <w:b/>
        </w:rPr>
        <w:t>Table</w:t>
      </w:r>
      <w:r w:rsidR="003F5BD8" w:rsidRPr="00220EA1">
        <w:rPr>
          <w:b/>
        </w:rPr>
        <w:t xml:space="preserve"> 1: Miss rate of each policy with cache size = 10</w:t>
      </w:r>
      <w:r w:rsidR="00220EA1" w:rsidRPr="00220EA1">
        <w:rPr>
          <w:b/>
        </w:rPr>
        <w:t>.</w:t>
      </w:r>
      <w:r w:rsidR="00530952" w:rsidRPr="00530952">
        <w:t xml:space="preserve"> The </w:t>
      </w:r>
      <w:r w:rsidR="00530952">
        <w:t>best result for each policy is listed in bold.</w:t>
      </w:r>
      <w:r w:rsidR="0009002E">
        <w:t xml:space="preserve"> I added the Random Replacement (RR) policy as a baseline.</w:t>
      </w:r>
    </w:p>
    <w:p w:rsidR="00F9271F" w:rsidRDefault="00F9271F">
      <w:pPr>
        <w:rPr>
          <w:b/>
        </w:rPr>
      </w:pPr>
    </w:p>
    <w:p w:rsidR="00F9271F" w:rsidRDefault="00F9271F">
      <w:r>
        <w:t xml:space="preserve">I report the </w:t>
      </w:r>
      <w:r w:rsidR="007E607B">
        <w:t xml:space="preserve">miss rate of each of the cache policies in Table 1, as well as the Random Replacement (RR) policy as a baseline. </w:t>
      </w:r>
      <w:r w:rsidR="005F2EB5">
        <w:t xml:space="preserve">The cache strategies exceeded the RR baseline performance in </w:t>
      </w:r>
      <w:r w:rsidR="00860299">
        <w:t>C</w:t>
      </w:r>
      <w:r w:rsidR="005F2EB5">
        <w:t>ases 2 and 3.</w:t>
      </w:r>
      <w:r w:rsidR="00860299">
        <w:t xml:space="preserve"> When I examined the Case 1 file, I noticed that it simply repeatedly iterates sequentially through 15 samples in the same order each time.</w:t>
      </w:r>
      <w:r w:rsidR="00524D87">
        <w:t xml:space="preserve"> This means that unless the cache has enough size to hold all items (in this case 15), cache policies that rely on how recently or frequently a value was used (LRU, LFU, and FIFO) will always miss (yielding the observed miss rate of 1.0). In practice, with a predictable access pattern such as this one, it may be better to batch, parallelize, or pipeline the data access of subsequent requests. Or, if these are not practical, to never expire items from the cache (for instance, always keep the first 10 items retrieved, regardless of what other data is observed).</w:t>
      </w:r>
      <w:r w:rsidR="00CC06C9">
        <w:t xml:space="preserve"> This is the reason why the RR baseline does better in this case; there is a </w:t>
      </w:r>
      <w:r w:rsidR="000858F2">
        <w:t>probability that a given item is not expired from the cache prior to being re-requested.</w:t>
      </w:r>
    </w:p>
    <w:p w:rsidR="000858F2" w:rsidRDefault="000858F2"/>
    <w:tbl>
      <w:tblPr>
        <w:tblStyle w:val="TableGrid"/>
        <w:tblW w:w="7946" w:type="dxa"/>
        <w:tblLook w:val="04A0" w:firstRow="1" w:lastRow="0" w:firstColumn="1" w:lastColumn="0" w:noHBand="0" w:noVBand="1"/>
      </w:tblPr>
      <w:tblGrid>
        <w:gridCol w:w="799"/>
        <w:gridCol w:w="974"/>
        <w:gridCol w:w="974"/>
        <w:gridCol w:w="974"/>
        <w:gridCol w:w="504"/>
        <w:gridCol w:w="799"/>
        <w:gridCol w:w="974"/>
        <w:gridCol w:w="974"/>
        <w:gridCol w:w="974"/>
      </w:tblGrid>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b/>
                <w:color w:val="000000"/>
                <w:szCs w:val="24"/>
                <w:lang w:bidi="ar-SA"/>
              </w:rPr>
            </w:pPr>
            <w:r w:rsidRPr="001C149E">
              <w:rPr>
                <w:rFonts w:ascii="Calibri" w:eastAsia="Times New Roman" w:hAnsi="Calibri" w:cs="Calibri"/>
                <w:b/>
                <w:color w:val="000000"/>
                <w:szCs w:val="24"/>
                <w:lang w:bidi="ar-SA"/>
              </w:rPr>
              <w:t>Item</w:t>
            </w:r>
          </w:p>
        </w:tc>
        <w:tc>
          <w:tcPr>
            <w:tcW w:w="974" w:type="dxa"/>
            <w:noWrap/>
            <w:hideMark/>
          </w:tcPr>
          <w:p w:rsidR="006416A5" w:rsidRPr="001C149E" w:rsidRDefault="006416A5" w:rsidP="00060919">
            <w:pPr>
              <w:rPr>
                <w:rFonts w:ascii="Calibri" w:eastAsia="Times New Roman" w:hAnsi="Calibri" w:cs="Calibri"/>
                <w:b/>
                <w:color w:val="000000"/>
                <w:szCs w:val="24"/>
                <w:lang w:bidi="ar-SA"/>
              </w:rPr>
            </w:pPr>
            <w:r w:rsidRPr="001C149E">
              <w:rPr>
                <w:rFonts w:ascii="Calibri" w:eastAsia="Times New Roman" w:hAnsi="Calibri" w:cs="Calibri"/>
                <w:b/>
                <w:color w:val="000000"/>
                <w:szCs w:val="24"/>
                <w:lang w:bidi="ar-SA"/>
              </w:rPr>
              <w:t>Case 1</w:t>
            </w:r>
          </w:p>
        </w:tc>
        <w:tc>
          <w:tcPr>
            <w:tcW w:w="974" w:type="dxa"/>
            <w:noWrap/>
            <w:hideMark/>
          </w:tcPr>
          <w:p w:rsidR="006416A5" w:rsidRPr="001C149E" w:rsidRDefault="006416A5" w:rsidP="00060919">
            <w:pPr>
              <w:rPr>
                <w:rFonts w:ascii="Calibri" w:eastAsia="Times New Roman" w:hAnsi="Calibri" w:cs="Calibri"/>
                <w:b/>
                <w:color w:val="000000"/>
                <w:szCs w:val="24"/>
                <w:lang w:bidi="ar-SA"/>
              </w:rPr>
            </w:pPr>
            <w:r w:rsidRPr="001C149E">
              <w:rPr>
                <w:rFonts w:ascii="Calibri" w:eastAsia="Times New Roman" w:hAnsi="Calibri" w:cs="Calibri"/>
                <w:b/>
                <w:color w:val="000000"/>
                <w:szCs w:val="24"/>
                <w:lang w:bidi="ar-SA"/>
              </w:rPr>
              <w:t>Case 2</w:t>
            </w:r>
          </w:p>
        </w:tc>
        <w:tc>
          <w:tcPr>
            <w:tcW w:w="974" w:type="dxa"/>
            <w:noWrap/>
            <w:hideMark/>
          </w:tcPr>
          <w:p w:rsidR="006416A5" w:rsidRPr="001C149E" w:rsidRDefault="006416A5" w:rsidP="00060919">
            <w:pPr>
              <w:rPr>
                <w:rFonts w:ascii="Calibri" w:eastAsia="Times New Roman" w:hAnsi="Calibri" w:cs="Calibri"/>
                <w:b/>
                <w:color w:val="000000"/>
                <w:szCs w:val="24"/>
                <w:lang w:bidi="ar-SA"/>
              </w:rPr>
            </w:pPr>
            <w:r w:rsidRPr="001C149E">
              <w:rPr>
                <w:rFonts w:ascii="Calibri" w:eastAsia="Times New Roman" w:hAnsi="Calibri" w:cs="Calibri"/>
                <w:b/>
                <w:color w:val="000000"/>
                <w:szCs w:val="24"/>
                <w:lang w:bidi="ar-SA"/>
              </w:rPr>
              <w:t>Case 3</w:t>
            </w:r>
          </w:p>
        </w:tc>
        <w:tc>
          <w:tcPr>
            <w:tcW w:w="504" w:type="dxa"/>
            <w:tcBorders>
              <w:top w:val="nil"/>
              <w:bottom w:val="nil"/>
            </w:tcBorders>
          </w:tcPr>
          <w:p w:rsidR="006416A5" w:rsidRPr="001C149E" w:rsidRDefault="006416A5" w:rsidP="00060919">
            <w:pPr>
              <w:rPr>
                <w:rFonts w:ascii="Calibri" w:eastAsia="Times New Roman" w:hAnsi="Calibri" w:cs="Calibri"/>
                <w:b/>
                <w:color w:val="000000"/>
                <w:szCs w:val="24"/>
                <w:lang w:bidi="ar-SA"/>
              </w:rPr>
            </w:pPr>
          </w:p>
        </w:tc>
        <w:tc>
          <w:tcPr>
            <w:tcW w:w="799" w:type="dxa"/>
            <w:noWrap/>
            <w:hideMark/>
          </w:tcPr>
          <w:p w:rsidR="006416A5" w:rsidRPr="001C149E" w:rsidRDefault="006416A5" w:rsidP="00060919">
            <w:pPr>
              <w:rPr>
                <w:rFonts w:ascii="Calibri" w:eastAsia="Times New Roman" w:hAnsi="Calibri" w:cs="Calibri"/>
                <w:b/>
                <w:color w:val="000000"/>
                <w:szCs w:val="24"/>
                <w:lang w:bidi="ar-SA"/>
              </w:rPr>
            </w:pPr>
            <w:r w:rsidRPr="001C149E">
              <w:rPr>
                <w:rFonts w:ascii="Calibri" w:eastAsia="Times New Roman" w:hAnsi="Calibri" w:cs="Calibri"/>
                <w:b/>
                <w:color w:val="000000"/>
                <w:szCs w:val="24"/>
                <w:lang w:bidi="ar-SA"/>
              </w:rPr>
              <w:t>Item</w:t>
            </w:r>
          </w:p>
        </w:tc>
        <w:tc>
          <w:tcPr>
            <w:tcW w:w="974" w:type="dxa"/>
            <w:noWrap/>
            <w:hideMark/>
          </w:tcPr>
          <w:p w:rsidR="006416A5" w:rsidRPr="001C149E" w:rsidRDefault="006416A5" w:rsidP="00060919">
            <w:pPr>
              <w:rPr>
                <w:rFonts w:ascii="Calibri" w:eastAsia="Times New Roman" w:hAnsi="Calibri" w:cs="Calibri"/>
                <w:b/>
                <w:color w:val="000000"/>
                <w:szCs w:val="24"/>
                <w:lang w:bidi="ar-SA"/>
              </w:rPr>
            </w:pPr>
            <w:r w:rsidRPr="001C149E">
              <w:rPr>
                <w:rFonts w:ascii="Calibri" w:eastAsia="Times New Roman" w:hAnsi="Calibri" w:cs="Calibri"/>
                <w:b/>
                <w:color w:val="000000"/>
                <w:szCs w:val="24"/>
                <w:lang w:bidi="ar-SA"/>
              </w:rPr>
              <w:t>Case 1</w:t>
            </w:r>
          </w:p>
        </w:tc>
        <w:tc>
          <w:tcPr>
            <w:tcW w:w="974" w:type="dxa"/>
            <w:noWrap/>
            <w:hideMark/>
          </w:tcPr>
          <w:p w:rsidR="006416A5" w:rsidRPr="001C149E" w:rsidRDefault="006416A5" w:rsidP="00060919">
            <w:pPr>
              <w:rPr>
                <w:rFonts w:ascii="Calibri" w:eastAsia="Times New Roman" w:hAnsi="Calibri" w:cs="Calibri"/>
                <w:b/>
                <w:color w:val="000000"/>
                <w:szCs w:val="24"/>
                <w:lang w:bidi="ar-SA"/>
              </w:rPr>
            </w:pPr>
            <w:r w:rsidRPr="001C149E">
              <w:rPr>
                <w:rFonts w:ascii="Calibri" w:eastAsia="Times New Roman" w:hAnsi="Calibri" w:cs="Calibri"/>
                <w:b/>
                <w:color w:val="000000"/>
                <w:szCs w:val="24"/>
                <w:lang w:bidi="ar-SA"/>
              </w:rPr>
              <w:t>Case 2</w:t>
            </w:r>
          </w:p>
        </w:tc>
        <w:tc>
          <w:tcPr>
            <w:tcW w:w="974" w:type="dxa"/>
            <w:noWrap/>
            <w:hideMark/>
          </w:tcPr>
          <w:p w:rsidR="006416A5" w:rsidRPr="001C149E" w:rsidRDefault="006416A5" w:rsidP="00060919">
            <w:pPr>
              <w:rPr>
                <w:rFonts w:ascii="Calibri" w:eastAsia="Times New Roman" w:hAnsi="Calibri" w:cs="Calibri"/>
                <w:b/>
                <w:color w:val="000000"/>
                <w:szCs w:val="24"/>
                <w:lang w:bidi="ar-SA"/>
              </w:rPr>
            </w:pPr>
            <w:r w:rsidRPr="001C149E">
              <w:rPr>
                <w:rFonts w:ascii="Calibri" w:eastAsia="Times New Roman" w:hAnsi="Calibri" w:cs="Calibri"/>
                <w:b/>
                <w:color w:val="000000"/>
                <w:szCs w:val="24"/>
                <w:lang w:bidi="ar-SA"/>
              </w:rPr>
              <w:t>Case 3</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A</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14</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8</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65</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N</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12</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B</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14</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22</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37</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O</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7</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C</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14</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14</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12</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P</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3</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D</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14</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12</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17</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Q</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E</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14</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17</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10</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R</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F</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14</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S</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G</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8</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T</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H</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U</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I</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V</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J</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W</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K</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22</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X</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L</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11</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Y</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w:t>
            </w:r>
          </w:p>
        </w:tc>
      </w:tr>
      <w:tr w:rsidR="006416A5" w:rsidRPr="001C149E" w:rsidTr="00060919">
        <w:trPr>
          <w:trHeight w:val="320"/>
        </w:trPr>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M</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13</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14</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c>
          <w:tcPr>
            <w:tcW w:w="504" w:type="dxa"/>
            <w:tcBorders>
              <w:top w:val="nil"/>
              <w:bottom w:val="nil"/>
            </w:tcBorders>
          </w:tcPr>
          <w:p w:rsidR="006416A5" w:rsidRPr="001C149E" w:rsidRDefault="006416A5" w:rsidP="00060919">
            <w:pPr>
              <w:rPr>
                <w:rFonts w:ascii="Calibri" w:eastAsia="Times New Roman" w:hAnsi="Calibri" w:cs="Calibri"/>
                <w:color w:val="000000"/>
                <w:szCs w:val="24"/>
                <w:lang w:bidi="ar-SA"/>
              </w:rPr>
            </w:pPr>
          </w:p>
        </w:tc>
        <w:tc>
          <w:tcPr>
            <w:tcW w:w="799" w:type="dxa"/>
            <w:noWrap/>
            <w:hideMark/>
          </w:tcPr>
          <w:p w:rsidR="006416A5" w:rsidRPr="001C149E" w:rsidRDefault="006416A5" w:rsidP="00060919">
            <w:pPr>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Z</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0</w:t>
            </w:r>
          </w:p>
        </w:tc>
        <w:tc>
          <w:tcPr>
            <w:tcW w:w="974" w:type="dxa"/>
            <w:noWrap/>
            <w:hideMark/>
          </w:tcPr>
          <w:p w:rsidR="006416A5" w:rsidRPr="001C149E" w:rsidRDefault="006416A5" w:rsidP="00060919">
            <w:pPr>
              <w:jc w:val="right"/>
              <w:rPr>
                <w:rFonts w:ascii="Calibri" w:eastAsia="Times New Roman" w:hAnsi="Calibri" w:cs="Calibri"/>
                <w:color w:val="000000"/>
                <w:szCs w:val="24"/>
                <w:lang w:bidi="ar-SA"/>
              </w:rPr>
            </w:pPr>
            <w:r w:rsidRPr="001C149E">
              <w:rPr>
                <w:rFonts w:ascii="Calibri" w:eastAsia="Times New Roman" w:hAnsi="Calibri" w:cs="Calibri"/>
                <w:color w:val="000000"/>
                <w:szCs w:val="24"/>
                <w:lang w:bidi="ar-SA"/>
              </w:rPr>
              <w:t>2</w:t>
            </w:r>
          </w:p>
        </w:tc>
      </w:tr>
    </w:tbl>
    <w:p w:rsidR="006416A5" w:rsidRDefault="006416A5">
      <w:pPr>
        <w:rPr>
          <w:b/>
        </w:rPr>
      </w:pPr>
      <w:r w:rsidRPr="001C149E">
        <w:rPr>
          <w:b/>
        </w:rPr>
        <w:t>Table 2: Item frequencies by case.</w:t>
      </w:r>
      <w:r>
        <w:rPr>
          <w:b/>
        </w:rPr>
        <w:t xml:space="preserve"> </w:t>
      </w:r>
      <w:r w:rsidRPr="006416A5">
        <w:t>Case 1 is largely uniform, whereas Cases 2 and 3 are skewed.</w:t>
      </w:r>
    </w:p>
    <w:p w:rsidR="006416A5" w:rsidRPr="006416A5" w:rsidRDefault="006416A5">
      <w:pPr>
        <w:rPr>
          <w:b/>
        </w:rPr>
      </w:pPr>
    </w:p>
    <w:p w:rsidR="000858F2" w:rsidRDefault="000858F2">
      <w:r>
        <w:t>Although the RR baseline strategy appears beneficial in Case 1, it is detrimental in Cases 2 and 3.</w:t>
      </w:r>
      <w:r w:rsidR="006416A5">
        <w:t xml:space="preserve"> As shown in Table 2, the frequencies by which each item appears are skewed in these cases, </w:t>
      </w:r>
      <w:r w:rsidR="006416A5">
        <w:lastRenderedPageBreak/>
        <w:t>whereas it is largely uniform in Case 1.</w:t>
      </w:r>
      <w:r w:rsidR="008A4827">
        <w:t xml:space="preserve"> Furthermore, Case 2 makes use of only 15 items (like Case 1), whereas Case 3 uses 26.</w:t>
      </w:r>
      <w:r w:rsidR="006416A5">
        <w:t xml:space="preserve"> </w:t>
      </w:r>
      <w:r w:rsidR="00881525">
        <w:t xml:space="preserve">By examining the order in which the items appear in Cases 2 and 3, it seems </w:t>
      </w:r>
      <w:r w:rsidR="008A4827">
        <w:t>mostly</w:t>
      </w:r>
      <w:r w:rsidR="00881525">
        <w:t xml:space="preserve"> random.</w:t>
      </w:r>
      <w:r w:rsidR="008A4827">
        <w:t xml:space="preserve"> Although Case 3 has more distinct items, only 7 are particularly frequent, with the remaining 19 letters only having a frequency of 1 or 2. Thus, I would expect the caching strategies to work better on these, because they can cache these very frequent items. Indeed, all the policies have a lower miss rate for Case 3, despite having more distinct items. Of the four policies, LFU seems to be most effective. This also makes sense because it picks up on the fact that the first 7 items are very frequent.</w:t>
      </w:r>
      <w:r w:rsidR="008E0FB1">
        <w:t xml:space="preserve"> Similarly, LRU performs well because an item that is accessed frequently (given a random occurrence probability) will also </w:t>
      </w:r>
      <w:r w:rsidR="00063880">
        <w:t>likely be used recently.</w:t>
      </w:r>
      <w:r w:rsidR="001A579C">
        <w:t xml:space="preserve"> FIFO and the RR baseline perform worse because they are more likely to expire one of the frequently-occurring items in this case.</w:t>
      </w:r>
    </w:p>
    <w:p w:rsidR="003F5BD8" w:rsidRDefault="003F5BD8"/>
    <w:p w:rsidR="00220EA1" w:rsidRDefault="00220EA1"/>
    <w:p w:rsidR="00220EA1" w:rsidRDefault="006F607F">
      <w:r>
        <w:rPr>
          <w:noProof/>
        </w:rPr>
        <w:drawing>
          <wp:inline distT="0" distB="0" distL="0" distR="0" wp14:anchorId="54C7AD42" wp14:editId="0B4EA5F4">
            <wp:extent cx="2924765" cy="1702051"/>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983333" cy="1736134"/>
                    </a:xfrm>
                    <a:prstGeom prst="rect">
                      <a:avLst/>
                    </a:prstGeom>
                  </pic:spPr>
                </pic:pic>
              </a:graphicData>
            </a:graphic>
          </wp:inline>
        </w:drawing>
      </w:r>
      <w:r w:rsidR="0077549C">
        <w:rPr>
          <w:noProof/>
        </w:rPr>
        <w:drawing>
          <wp:inline distT="0" distB="0" distL="0" distR="0" wp14:anchorId="6763B926" wp14:editId="77C2CDD4">
            <wp:extent cx="2926022" cy="1702781"/>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968746" cy="1727644"/>
                    </a:xfrm>
                    <a:prstGeom prst="rect">
                      <a:avLst/>
                    </a:prstGeom>
                  </pic:spPr>
                </pic:pic>
              </a:graphicData>
            </a:graphic>
          </wp:inline>
        </w:drawing>
      </w:r>
    </w:p>
    <w:p w:rsidR="0077549C" w:rsidRDefault="0077549C">
      <w:r>
        <w:rPr>
          <w:noProof/>
        </w:rPr>
        <w:drawing>
          <wp:inline distT="0" distB="0" distL="0" distR="0" wp14:anchorId="0B7B2359" wp14:editId="0E07C216">
            <wp:extent cx="2924269" cy="170176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996815" cy="1743980"/>
                    </a:xfrm>
                    <a:prstGeom prst="rect">
                      <a:avLst/>
                    </a:prstGeom>
                  </pic:spPr>
                </pic:pic>
              </a:graphicData>
            </a:graphic>
          </wp:inline>
        </w:drawing>
      </w:r>
      <w:r>
        <w:rPr>
          <w:noProof/>
        </w:rPr>
        <w:drawing>
          <wp:inline distT="0" distB="0" distL="0" distR="0" wp14:anchorId="1572AD3D" wp14:editId="6B6CB667">
            <wp:extent cx="2924269" cy="1701762"/>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964840" cy="1725372"/>
                    </a:xfrm>
                    <a:prstGeom prst="rect">
                      <a:avLst/>
                    </a:prstGeom>
                  </pic:spPr>
                </pic:pic>
              </a:graphicData>
            </a:graphic>
          </wp:inline>
        </w:drawing>
      </w:r>
    </w:p>
    <w:p w:rsidR="00220EA1" w:rsidRDefault="00220EA1">
      <w:pPr>
        <w:rPr>
          <w:b/>
        </w:rPr>
      </w:pPr>
      <w:r w:rsidRPr="00220EA1">
        <w:rPr>
          <w:b/>
        </w:rPr>
        <w:t xml:space="preserve">Figure 1: </w:t>
      </w:r>
      <w:r w:rsidR="0077549C">
        <w:rPr>
          <w:b/>
        </w:rPr>
        <w:t>M</w:t>
      </w:r>
      <w:r w:rsidRPr="00220EA1">
        <w:rPr>
          <w:b/>
        </w:rPr>
        <w:t xml:space="preserve">iss </w:t>
      </w:r>
      <w:r w:rsidR="00530952">
        <w:rPr>
          <w:b/>
        </w:rPr>
        <w:t>r</w:t>
      </w:r>
      <w:r w:rsidRPr="00220EA1">
        <w:rPr>
          <w:b/>
        </w:rPr>
        <w:t>ate</w:t>
      </w:r>
      <w:r w:rsidR="0077549C">
        <w:rPr>
          <w:b/>
        </w:rPr>
        <w:t>s</w:t>
      </w:r>
      <w:r w:rsidRPr="00220EA1">
        <w:rPr>
          <w:b/>
        </w:rPr>
        <w:t xml:space="preserve"> by </w:t>
      </w:r>
      <w:r w:rsidR="00530952">
        <w:rPr>
          <w:b/>
        </w:rPr>
        <w:t>c</w:t>
      </w:r>
      <w:r w:rsidRPr="00220EA1">
        <w:rPr>
          <w:b/>
        </w:rPr>
        <w:t xml:space="preserve">ache </w:t>
      </w:r>
      <w:r w:rsidR="00530952">
        <w:rPr>
          <w:b/>
        </w:rPr>
        <w:t>s</w:t>
      </w:r>
      <w:r w:rsidRPr="00220EA1">
        <w:rPr>
          <w:b/>
        </w:rPr>
        <w:t>ize.</w:t>
      </w:r>
    </w:p>
    <w:p w:rsidR="00530952" w:rsidRDefault="00530952">
      <w:pPr>
        <w:rPr>
          <w:b/>
        </w:rPr>
      </w:pPr>
    </w:p>
    <w:p w:rsidR="00530952" w:rsidRDefault="00530952">
      <w:pPr>
        <w:rPr>
          <w:b/>
        </w:rPr>
      </w:pPr>
    </w:p>
    <w:p w:rsidR="006F607F" w:rsidRDefault="001146E0">
      <w:r>
        <w:t>To gain a better idea of the effect of the cache size, I decided to run each of the policies up to a cache size of 30. (This is beyond the maximum number of distinct items: 26).</w:t>
      </w:r>
      <w:r w:rsidR="00E5750A">
        <w:t xml:space="preserve"> I observe that for Case 1, the LRU, FIFO, and LFU policies all have a miss rate of 1 until there is enough space to fit all the items in the cache (15).  The RR baseline method does not fall into this trap for the reasons listed above.</w:t>
      </w:r>
      <w:r w:rsidR="006F607F">
        <w:t xml:space="preserve"> For Cases 2 and 3, LRU, FIFO, and LFU exhibit similar shapes. However, LFU appears to reach its plateau sooner for Case 3 than the other methods. In fact, it can reach a comparable miss rate to FIFO at 10 cache size with only a cache size of 5.</w:t>
      </w:r>
      <w:r w:rsidR="00030FB5">
        <w:t xml:space="preserve"> The RR baseline exhibits funky behavior. For instance, in Cases 2 and 3, the miss rate can actually increase by </w:t>
      </w:r>
      <w:r w:rsidR="00030FB5">
        <w:lastRenderedPageBreak/>
        <w:t>adding cache spots. This is due to the randomness introduced by the policy, and is clearly an undesirable quality of the policy.</w:t>
      </w:r>
    </w:p>
    <w:p w:rsidR="009D25FD" w:rsidRDefault="009D25FD"/>
    <w:p w:rsidR="009D25FD" w:rsidRDefault="009D25FD">
      <w:r>
        <w:t xml:space="preserve">In conclusion, this project demonstrated that it is important to consider the types of cache requests that will be made when choosing a cache </w:t>
      </w:r>
      <w:r w:rsidR="00CB50AD">
        <w:t>policy</w:t>
      </w:r>
      <w:r>
        <w:t>.</w:t>
      </w:r>
      <w:r w:rsidR="00CB50AD">
        <w:t xml:space="preserve"> From the experiments conducted, LFU seems to be a solid choice, unless the requests are made in a very uniform and predictable way.</w:t>
      </w:r>
      <w:r w:rsidR="00337AA2">
        <w:t xml:space="preserve"> Although the RR baseline may look appealing on the surface for this case, it comes with some serious drawbacks, and probably should not be used in practice.</w:t>
      </w:r>
    </w:p>
    <w:p w:rsidR="00530952" w:rsidRPr="00220EA1" w:rsidRDefault="00530952">
      <w:pPr>
        <w:rPr>
          <w:b/>
        </w:rPr>
      </w:pPr>
    </w:p>
    <w:sectPr w:rsidR="00530952" w:rsidRPr="00220EA1" w:rsidSect="00C416D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ACFF" w:usb2="00000009" w:usb3="00000000" w:csb0="000001FF" w:csb1="00000000"/>
  </w:font>
  <w:font w:name="Microsoft Himalaya">
    <w:panose1 w:val="01010100010101010101"/>
    <w:charset w:val="00"/>
    <w:family w:val="auto"/>
    <w:pitch w:val="variable"/>
    <w:sig w:usb0="80000003" w:usb1="00010000" w:usb2="0000004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25E26"/>
    <w:rsid w:val="00023ADF"/>
    <w:rsid w:val="00030FB5"/>
    <w:rsid w:val="00063880"/>
    <w:rsid w:val="000858F2"/>
    <w:rsid w:val="0009002E"/>
    <w:rsid w:val="0010201A"/>
    <w:rsid w:val="001146E0"/>
    <w:rsid w:val="00125E26"/>
    <w:rsid w:val="001A579C"/>
    <w:rsid w:val="001C149E"/>
    <w:rsid w:val="00220EA1"/>
    <w:rsid w:val="002976C3"/>
    <w:rsid w:val="00337AA2"/>
    <w:rsid w:val="0035218A"/>
    <w:rsid w:val="003F5BD8"/>
    <w:rsid w:val="00405A5F"/>
    <w:rsid w:val="004D5672"/>
    <w:rsid w:val="00524D87"/>
    <w:rsid w:val="00530952"/>
    <w:rsid w:val="0057187C"/>
    <w:rsid w:val="005D2377"/>
    <w:rsid w:val="005F2EB5"/>
    <w:rsid w:val="006027EC"/>
    <w:rsid w:val="006416A5"/>
    <w:rsid w:val="006F607F"/>
    <w:rsid w:val="007666E1"/>
    <w:rsid w:val="0077549C"/>
    <w:rsid w:val="007E607B"/>
    <w:rsid w:val="00860299"/>
    <w:rsid w:val="00881525"/>
    <w:rsid w:val="008A2D82"/>
    <w:rsid w:val="008A4827"/>
    <w:rsid w:val="008E0FB1"/>
    <w:rsid w:val="009B29A8"/>
    <w:rsid w:val="009B76EE"/>
    <w:rsid w:val="009D105E"/>
    <w:rsid w:val="009D25FD"/>
    <w:rsid w:val="00B044A5"/>
    <w:rsid w:val="00C001EA"/>
    <w:rsid w:val="00C0351F"/>
    <w:rsid w:val="00C05E6E"/>
    <w:rsid w:val="00C416D8"/>
    <w:rsid w:val="00C4595C"/>
    <w:rsid w:val="00CA4FB9"/>
    <w:rsid w:val="00CB50AD"/>
    <w:rsid w:val="00CC06C9"/>
    <w:rsid w:val="00CD6802"/>
    <w:rsid w:val="00D36615"/>
    <w:rsid w:val="00D64DEF"/>
    <w:rsid w:val="00DD296E"/>
    <w:rsid w:val="00E5750A"/>
    <w:rsid w:val="00F9271F"/>
  </w:rsids>
  <m:mathPr>
    <m:mathFont m:val="Cambria Math"/>
    <m:brkBin m:val="before"/>
    <m:brkBinSub m:val="--"/>
    <m:smallFrac m:val="0"/>
    <m:dispDef/>
    <m:lMargin m:val="0"/>
    <m:rMargin m:val="0"/>
    <m:defJc m:val="centerGroup"/>
    <m:wrapIndent m:val="1440"/>
    <m:intLim m:val="subSup"/>
    <m:naryLim m:val="undOvr"/>
  </m:mathPr>
  <w:themeFontLang w:val="en-US" w:bidi="bo-CN"/>
  <w:clrSchemeMapping w:bg1="light1" w:t1="dark1" w:bg2="light2" w:t2="dark2" w:accent1="accent1" w:accent2="accent2" w:accent3="accent3" w:accent4="accent4" w:accent5="accent5" w:accent6="accent6" w:hyperlink="hyperlink" w:followedHyperlink="followedHyperlink"/>
  <w:decimalSymbol w:val="."/>
  <w:listSeparator w:val=","/>
  <w14:docId w14:val="481750E1"/>
  <w15:chartTrackingRefBased/>
  <w15:docId w15:val="{70C2F8AC-75EE-694C-9A19-19A5A03FA7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34"/>
        <w:lang w:val="en-US" w:eastAsia="en-US" w:bidi="bo-CN"/>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3F5BD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5749184">
      <w:bodyDiv w:val="1"/>
      <w:marLeft w:val="0"/>
      <w:marRight w:val="0"/>
      <w:marTop w:val="0"/>
      <w:marBottom w:val="0"/>
      <w:divBdr>
        <w:top w:val="none" w:sz="0" w:space="0" w:color="auto"/>
        <w:left w:val="none" w:sz="0" w:space="0" w:color="auto"/>
        <w:bottom w:val="none" w:sz="0" w:space="0" w:color="auto"/>
        <w:right w:val="none" w:sz="0" w:space="0" w:color="auto"/>
      </w:divBdr>
    </w:div>
    <w:div w:id="352341303">
      <w:bodyDiv w:val="1"/>
      <w:marLeft w:val="0"/>
      <w:marRight w:val="0"/>
      <w:marTop w:val="0"/>
      <w:marBottom w:val="0"/>
      <w:divBdr>
        <w:top w:val="none" w:sz="0" w:space="0" w:color="auto"/>
        <w:left w:val="none" w:sz="0" w:space="0" w:color="auto"/>
        <w:bottom w:val="none" w:sz="0" w:space="0" w:color="auto"/>
        <w:right w:val="none" w:sz="0" w:space="0" w:color="auto"/>
      </w:divBdr>
    </w:div>
    <w:div w:id="682244009">
      <w:bodyDiv w:val="1"/>
      <w:marLeft w:val="0"/>
      <w:marRight w:val="0"/>
      <w:marTop w:val="0"/>
      <w:marBottom w:val="0"/>
      <w:divBdr>
        <w:top w:val="none" w:sz="0" w:space="0" w:color="auto"/>
        <w:left w:val="none" w:sz="0" w:space="0" w:color="auto"/>
        <w:bottom w:val="none" w:sz="0" w:space="0" w:color="auto"/>
        <w:right w:val="none" w:sz="0" w:space="0" w:color="auto"/>
      </w:divBdr>
    </w:div>
    <w:div w:id="981080731">
      <w:bodyDiv w:val="1"/>
      <w:marLeft w:val="0"/>
      <w:marRight w:val="0"/>
      <w:marTop w:val="0"/>
      <w:marBottom w:val="0"/>
      <w:divBdr>
        <w:top w:val="none" w:sz="0" w:space="0" w:color="auto"/>
        <w:left w:val="none" w:sz="0" w:space="0" w:color="auto"/>
        <w:bottom w:val="none" w:sz="0" w:space="0" w:color="auto"/>
        <w:right w:val="none" w:sz="0" w:space="0" w:color="auto"/>
      </w:divBdr>
    </w:div>
    <w:div w:id="1693603997">
      <w:bodyDiv w:val="1"/>
      <w:marLeft w:val="0"/>
      <w:marRight w:val="0"/>
      <w:marTop w:val="0"/>
      <w:marBottom w:val="0"/>
      <w:divBdr>
        <w:top w:val="none" w:sz="0" w:space="0" w:color="auto"/>
        <w:left w:val="none" w:sz="0" w:space="0" w:color="auto"/>
        <w:bottom w:val="none" w:sz="0" w:space="0" w:color="auto"/>
        <w:right w:val="none" w:sz="0" w:space="0" w:color="auto"/>
      </w:divBdr>
    </w:div>
    <w:div w:id="19954477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emf"/><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emf"/><Relationship Id="rId5" Type="http://schemas.openxmlformats.org/officeDocument/2006/relationships/image" Target="media/image2.emf"/><Relationship Id="rId4" Type="http://schemas.openxmlformats.org/officeDocument/2006/relationships/image" Target="media/image1.emf"/><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5</Pages>
  <Words>711</Words>
  <Characters>4059</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Sean MacAvaney</dc:creator>
  <cp:keywords/>
  <dc:description/>
  <cp:lastModifiedBy>Sean MacAvaney</cp:lastModifiedBy>
  <cp:revision>42</cp:revision>
  <dcterms:created xsi:type="dcterms:W3CDTF">2019-09-10T23:21:00Z</dcterms:created>
  <dcterms:modified xsi:type="dcterms:W3CDTF">2019-09-11T03:46:00Z</dcterms:modified>
</cp:coreProperties>
</file>