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rFonts w:ascii="Arial" w:cs="Arial" w:eastAsia="Arial" w:hAnsi="Arial"/>
          <w:b/>
          <w:bCs/>
          <w:color w:val="6B6B6B"/>
          <w:spacing w:val="120"/>
          <w:sz w:val="24"/>
          <w:szCs w:val="24"/>
        </w:rPr>
        <w:t xml:space="preserve">HAVEN-9</w:t>
      </w:r>
    </w:p>
    <w:p>
      <w:pPr>
        <w:spacing w:after="320"/>
        <w:jc w:val="center"/>
      </w:pPr>
      <w:r>
        <w:rPr>
          <w:rFonts w:ascii="Arial" w:cs="Arial" w:eastAsia="Arial" w:hAnsi="Arial"/>
          <w:color w:val="6B6B6B"/>
          <w:spacing w:val="60"/>
          <w:sz w:val="16"/>
          <w:szCs w:val="16"/>
        </w:rPr>
        <w:t xml:space="preserve">SUBTERRANEAN CONTINUITY AUTHORITY</w:t>
      </w:r>
    </w:p>
    <w:p>
      <w:pPr>
        <w:spacing w:after="40"/>
        <w:jc w:val="center"/>
      </w:pPr>
      <w:r>
        <w:rPr>
          <w:rFonts w:ascii="Arial" w:cs="Arial" w:eastAsia="Arial" w:hAnsi="Arial"/>
          <w:b/>
          <w:bCs/>
          <w:color w:val="B07AD8"/>
          <w:sz w:val="96"/>
          <w:szCs w:val="96"/>
        </w:rPr>
        <w:t xml:space="preserve">COM</w:t>
      </w:r>
    </w:p>
    <w:p>
      <w:pPr>
        <w:spacing w:after="200"/>
        <w:jc w:val="center"/>
      </w:pPr>
      <w:r>
        <w:rPr>
          <w:rFonts w:ascii="Arial" w:cs="Arial" w:eastAsia="Arial" w:hAnsi="Arial"/>
          <w:b/>
          <w:bCs/>
          <w:color w:val="1A1A1A"/>
          <w:spacing w:val="40"/>
          <w:sz w:val="32"/>
          <w:szCs w:val="32"/>
        </w:rPr>
        <w:t xml:space="preserve">COMMS &amp; SENSORS</w:t>
      </w:r>
    </w:p>
    <w:p>
      <w:pPr>
        <w:spacing w:after="900"/>
        <w:jc w:val="center"/>
      </w:pPr>
      <w:r>
        <w:rPr>
          <w:rFonts w:ascii="Arial" w:cs="Arial" w:eastAsia="Arial" w:hAnsi="Arial"/>
          <w:i/>
          <w:iCs/>
          <w:color w:val="6B6B6B"/>
          <w:sz w:val="20"/>
          <w:szCs w:val="20"/>
        </w:rPr>
        <w:t xml:space="preserve">We see it first. What we do next is the question.</w:t>
      </w:r>
    </w:p>
    <w:p>
      <w:pPr>
        <w:spacing w:after="80"/>
        <w:jc w:val="center"/>
      </w:pPr>
      <w:r>
        <w:rPr>
          <w:rFonts w:ascii="Arial" w:cs="Arial" w:eastAsia="Arial" w:hAnsi="Arial"/>
          <w:b/>
          <w:bCs/>
          <w:color w:val="1A1A1A"/>
          <w:spacing w:val="40"/>
          <w:sz w:val="22"/>
          <w:szCs w:val="22"/>
        </w:rPr>
        <w:t xml:space="preserve">TECHNICAL OPERATIONS BINDER</w:t>
      </w:r>
    </w:p>
    <w:p>
      <w:pPr>
        <w:spacing w:after="1000"/>
        <w:jc w:val="center"/>
      </w:pPr>
      <w:r>
        <w:rPr>
          <w:rFonts w:ascii="Arial" w:cs="Arial" w:eastAsia="Arial" w:hAnsi="Arial"/>
          <w:color w:val="6B6B6B"/>
          <w:sz w:val="16"/>
          <w:szCs w:val="16"/>
        </w:rPr>
        <w:t xml:space="preserve">Revision 9.4 · Retain at sector station at all times</w:t>
      </w:r>
    </w:p>
    <w:p>
      <w:pPr>
        <w:pBdr>
          <w:top w:val="single" w:color="B07AD8" w:sz="6"/>
        </w:pBdr>
        <w:spacing w:after="60" w:before="200"/>
        <w:jc w:val="center"/>
      </w:pPr>
      <w:r>
        <w:rPr>
          <w:rFonts w:ascii="Arial" w:cs="Arial" w:eastAsia="Arial" w:hAnsi="Arial"/>
          <w:b/>
          <w:bCs/>
          <w:color w:val="B07AD8"/>
          <w:spacing w:val="60"/>
          <w:sz w:val="20"/>
          <w:szCs w:val="20"/>
        </w:rPr>
        <w:t xml:space="preserve">RESTRICTED — COM PERSONNEL</w:t>
      </w:r>
    </w:p>
    <w:p>
      <w:pPr>
        <w:jc w:val="center"/>
      </w:pPr>
      <w:r>
        <w:rPr>
          <w:rFonts w:ascii="Arial" w:cs="Arial" w:eastAsia="Arial" w:hAnsi="Arial"/>
          <w:i/>
          <w:iCs/>
          <w:color w:val="6B6B6B"/>
          <w:sz w:val="16"/>
          <w:szCs w:val="16"/>
        </w:rPr>
        <w:t xml:space="preserve">This binder does not leave the sector station. Information in it may be shared verbally at your discretion.</w:t>
      </w:r>
    </w:p>
    <w:p>
      <w:r>
        <w:br w:type="page"/>
      </w:r>
    </w:p>
    <w:p>
      <w:pPr>
        <w:pStyle w:val="Heading1"/>
        <w:spacing w:after="160" w:before="120"/>
      </w:pPr>
      <w:r>
        <w:rPr>
          <w:rFonts w:ascii="Arial" w:cs="Arial" w:eastAsia="Arial" w:hAnsi="Arial"/>
          <w:b/>
          <w:bCs/>
          <w:color w:val="B07AD8"/>
          <w:sz w:val="28"/>
          <w:szCs w:val="28"/>
        </w:rPr>
        <w:t xml:space="preserve">1 · Sector Overview</w:t>
      </w:r>
    </w:p>
    <w:p>
      <w:pPr>
        <w:spacing w:after="120"/>
      </w:pPr>
      <w:r>
        <w:rPr>
          <w:rFonts w:ascii="Arial" w:cs="Arial" w:eastAsia="Arial" w:hAnsi="Arial"/>
          <w:color w:val="1A1A1A"/>
          <w:sz w:val="20"/>
          <w:szCs w:val="20"/>
        </w:rPr>
        <w:t xml:space="preserve">Comms &amp; Sensors operates the sensor grid, the relay network, and the uplink. Your telemetry covers every sector in HAVEN-9, which means you routinely see a fault before the sector suffering it does. You hold the City Charter. Nothing in your standing orders tells you how quickly to pass on what you see, or to whom, or what to do when your readings contradict another sector's instruments — those are judgement calls, and they are yours. Your standing orders are to maintain sensor calibration, keep the relay network powered, and preserve the uplink. When the grid goes down, the city is blind, and every other sector is arguing from memory.</w:t>
      </w:r>
    </w:p>
    <w:p>
      <w:pPr>
        <w:pBdr>
          <w:bottom w:val="single" w:color="BFBFBF" w:sz="6"/>
        </w:pBdr>
        <w:spacing w:after="16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26"/>
      </w:tblGrid>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PRODUCES</w:t>
            </w:r>
          </w:p>
        </w:tc>
        <w:tc>
          <w:tcPr>
            <w:tcW w:type="dxa" w:w="6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Telemetry — you alone see other sectors' live fault data</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UPKEEP DUE</w:t>
            </w:r>
          </w:p>
        </w:tc>
        <w:tc>
          <w:tcPr>
            <w:tcW w:type="dxa" w:w="6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 ⚡ Power Cells + 1 💧 Water Unit per cycle</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OPENING STOCK</w:t>
            </w:r>
          </w:p>
        </w:tc>
        <w:tc>
          <w:tcPr>
            <w:tcW w:type="dxa" w:w="6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3 ⚡ Power Cells · 3 💧 Water Units · 3 🔧 Spare Parts · 1 ⚕ Med Supply</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WORKFORCE</w:t>
            </w:r>
          </w:p>
        </w:tc>
        <w:tc>
          <w:tcPr>
            <w:tcW w:type="dxa" w:w="6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8 workers. Injured workers report to MED and cannot be assigned until released.</w:t>
            </w:r>
          </w:p>
        </w:tc>
      </w:tr>
    </w:tbl>
    <w:p>
      <w:pPr>
        <w:spacing w:after="200"/>
      </w:pPr>
    </w:p>
    <w:p>
      <w:pPr>
        <w:pStyle w:val="Heading1"/>
        <w:spacing w:after="160" w:before="120"/>
      </w:pPr>
      <w:r>
        <w:rPr>
          <w:rFonts w:ascii="Arial" w:cs="Arial" w:eastAsia="Arial" w:hAnsi="Arial"/>
          <w:b/>
          <w:bCs/>
          <w:color w:val="B07AD8"/>
          <w:sz w:val="28"/>
          <w:szCs w:val="28"/>
        </w:rPr>
        <w:t xml:space="preserve">Station roles</w:t>
      </w:r>
    </w:p>
    <w:p>
      <w:pPr>
        <w:spacing w:after="120"/>
      </w:pPr>
      <w:r>
        <w:rPr>
          <w:rFonts w:ascii="Arial" w:cs="Arial" w:eastAsia="Arial" w:hAnsi="Arial"/>
          <w:color w:val="1A1A1A"/>
          <w:sz w:val="20"/>
          <w:szCs w:val="20"/>
        </w:rPr>
        <w:t xml:space="preserve">Assign these before the shift begins. Write the names on this page.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600"/>
        <w:gridCol w:w="2826"/>
      </w:tblGrid>
      <w:tr>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SECTOR CHIEF</w:t>
            </w:r>
          </w:p>
        </w:tc>
        <w:tc>
          <w:tcPr>
            <w:tcW w:type="dxa" w:w="3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Accountable voice of the sector. Speaks for it at Council.</w:t>
            </w:r>
          </w:p>
        </w:tc>
        <w:tc>
          <w:tcPr>
            <w:tcW w:type="dxa" w:w="2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LIAISON</w:t>
            </w:r>
          </w:p>
        </w:tc>
        <w:tc>
          <w:tcPr>
            <w:tcW w:type="dxa" w:w="3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The ONLY member permitted to leave the station. All physical trade and negotiation goes through this person.</w:t>
            </w:r>
          </w:p>
        </w:tc>
        <w:tc>
          <w:tcPr>
            <w:tcW w:type="dxa" w:w="2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SYSTEMS LEAD</w:t>
            </w:r>
          </w:p>
        </w:tc>
        <w:tc>
          <w:tcPr>
            <w:tcW w:type="dxa" w:w="3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Holds this binder. Reads procedures aloud. Enters resolution codes.</w:t>
            </w:r>
          </w:p>
        </w:tc>
        <w:tc>
          <w:tcPr>
            <w:tcW w:type="dxa" w:w="2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ENGINEERS</w:t>
            </w:r>
          </w:p>
        </w:tc>
        <w:tc>
          <w:tcPr>
            <w:tcW w:type="dxa" w:w="3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Everyone else. Track stock, keep the log, assign crew.</w:t>
            </w:r>
          </w:p>
        </w:tc>
        <w:tc>
          <w:tcPr>
            <w:tcW w:type="dxa" w:w="2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bl>
    <w:p>
      <w:r>
        <w:br w:type="page"/>
      </w:r>
    </w:p>
    <w:p>
      <w:pPr>
        <w:pStyle w:val="Heading1"/>
        <w:spacing w:after="160" w:before="120"/>
      </w:pPr>
      <w:r>
        <w:rPr>
          <w:rFonts w:ascii="Arial" w:cs="Arial" w:eastAsia="Arial" w:hAnsi="Arial"/>
          <w:b/>
          <w:bCs/>
          <w:color w:val="B07AD8"/>
          <w:sz w:val="28"/>
          <w:szCs w:val="28"/>
        </w:rPr>
        <w:t xml:space="preserve">2 · System Dependency Map</w:t>
      </w:r>
    </w:p>
    <w:p>
      <w:pPr>
        <w:spacing w:after="120"/>
      </w:pPr>
      <w:r>
        <w:rPr>
          <w:rFonts w:ascii="Arial" w:cs="Arial" w:eastAsia="Arial" w:hAnsi="Arial"/>
          <w:color w:val="1A1A1A"/>
          <w:sz w:val="20"/>
          <w:szCs w:val="20"/>
        </w:rPr>
        <w:t xml:space="preserve">This sector does not operate alone. Read this page before the shift starts, not during it.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26"/>
      </w:tblGrid>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INPUTS</w:t>
            </w:r>
          </w:p>
        </w:tc>
        <w:tc>
          <w:tcPr>
            <w:tcW w:type="dxa" w:w="66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What this sector consumes to stay alive</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Upkeep</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2 ⚡ Power Cells + 1 💧 Water Unit per cycle</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Repair materials</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Spare Parts, and resources named in each procedure</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Crew</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Workers assigned per procedure; injured crew unavailable</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OUTPUTS</w:t>
            </w:r>
          </w:p>
        </w:tc>
        <w:tc>
          <w:tcPr>
            <w:tcW w:type="dxa" w:w="66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What the rest of HAVEN-9 draws from this sector</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Production</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Telemetry — you alone see other sectors' live fault data</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Specifications</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Values in Section 5 that other sectors require to close their faults</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CONSTRAINTS</w:t>
            </w:r>
          </w:p>
        </w:tc>
        <w:tc>
          <w:tcPr>
            <w:tcW w:type="dxa" w:w="66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Transfers</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No resource or worker moves without a signed Transfer Chit stamped by TRN</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Integrity</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Unresolved faults decay sector Integrity. Below 30 the sector is CRITICAL and visible city-wide. At 0 it goes DARK.</w:t>
            </w:r>
          </w:p>
        </w:tc>
      </w:tr>
    </w:tbl>
    <w:p>
      <w:pPr>
        <w:spacing w:after="200"/>
      </w:pPr>
    </w:p>
    <w:p>
      <w:pPr>
        <w:spacing w:after="0"/>
      </w:pPr>
      <w:r>
        <w:rPr>
          <w:rFonts w:ascii="Arial" w:cs="Arial" w:eastAsia="Arial" w:hAnsi="Arial"/>
          <w:b/>
          <w:bCs/>
          <w:color w:val="1A1A1A"/>
          <w:sz w:val="20"/>
          <w:szCs w:val="20"/>
        </w:rPr>
        <w:t xml:space="preserve">Note. </w:t>
      </w:r>
      <w:r>
        <w:rPr>
          <w:rFonts w:ascii="Arial" w:cs="Arial" w:eastAsia="Arial" w:hAnsi="Arial"/>
          <w:color w:val="1A1A1A"/>
          <w:sz w:val="20"/>
          <w:szCs w:val="20"/>
        </w:rPr>
        <w:t xml:space="preserve">Illustrated plant schematic to be inserted at Revision 9.5. Until then this dependency map is the controlling reference.</w:t>
      </w:r>
    </w:p>
    <w:p>
      <w:r>
        <w:br w:type="page"/>
      </w:r>
    </w:p>
    <w:p>
      <w:pPr>
        <w:pStyle w:val="Heading1"/>
        <w:spacing w:after="160" w:before="120"/>
      </w:pPr>
      <w:r>
        <w:rPr>
          <w:rFonts w:ascii="Arial" w:cs="Arial" w:eastAsia="Arial" w:hAnsi="Arial"/>
          <w:b/>
          <w:bCs/>
          <w:color w:val="B07AD8"/>
          <w:sz w:val="28"/>
          <w:szCs w:val="28"/>
        </w:rPr>
        <w:t xml:space="preserve">3 · Fault Code Index</w:t>
      </w:r>
    </w:p>
    <w:p>
      <w:pPr>
        <w:spacing w:after="120"/>
      </w:pPr>
      <w:r>
        <w:rPr>
          <w:rFonts w:ascii="Arial" w:cs="Arial" w:eastAsia="Arial" w:hAnsi="Arial"/>
          <w:color w:val="1A1A1A"/>
          <w:sz w:val="20"/>
          <w:szCs w:val="20"/>
        </w:rPr>
        <w:t xml:space="preserve">When an alert card reaches this station, find its code here first. Codes not listed on this page are not this sector's systems — do not attempt a repair, and do not sit on the card.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4200"/>
        <w:gridCol w:w="3026"/>
      </w:tblGrid>
      <w:tr>
        <w:tc>
          <w:tcPr>
            <w:tcW w:type="dxa" w:w="18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FAULT CODE</w:t>
            </w:r>
          </w:p>
        </w:tc>
        <w:tc>
          <w:tcPr>
            <w:tcW w:type="dxa" w:w="4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DESCRIPTION</w:t>
            </w:r>
          </w:p>
        </w:tc>
        <w:tc>
          <w:tcPr>
            <w:tcW w:type="dxa" w:w="30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ACTION</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F-006</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Beacon check-in</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P-01</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F-108</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Antenna array desync</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P-02</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F-211</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Uplink power sag</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P-04</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F-212</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Relay node blackout</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P-05</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F-306</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Master sensor grid collapse</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P-06</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val="false"/>
                <w:bCs w:val="false"/>
                <w:color w:val="1A1A1A"/>
                <w:sz w:val="20"/>
                <w:szCs w:val="20"/>
              </w:rPr>
              <w:t xml:space="preserve">F-302</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 a COM system fault</w:t>
            </w:r>
          </w:p>
        </w:tc>
        <w:tc>
          <w:tcPr>
            <w:tcW w:type="dxa" w:w="3026"/>
            <w:shd w:fill="FFF6E5" w:color="auto" w:val="clear"/>
            <w:tcMar>
              <w:top w:type="dxa" w:w="60"/>
              <w:left w:type="dxa" w:w="100"/>
              <w:bottom w:type="dxa" w:w="60"/>
              <w:right w:type="dxa" w:w="100"/>
            </w:tcMar>
          </w:tcPr>
          <w:p>
            <w:pPr>
              <w:spacing w:after="0"/>
            </w:pPr>
            <w:r>
              <w:rPr>
                <w:rFonts w:ascii="Arial" w:cs="Arial" w:eastAsia="Arial" w:hAnsi="Arial"/>
                <w:b/>
                <w:bCs/>
                <w:color w:val="8A5A00"/>
                <w:sz w:val="20"/>
                <w:szCs w:val="20"/>
              </w:rPr>
              <w:t xml:space="preserve">ESCALATE TO WTR</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val="false"/>
                <w:bCs w:val="false"/>
                <w:color w:val="1A1A1A"/>
                <w:sz w:val="20"/>
                <w:szCs w:val="20"/>
              </w:rPr>
              <w:t xml:space="preserve">F-208</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 a COM system fault</w:t>
            </w:r>
          </w:p>
        </w:tc>
        <w:tc>
          <w:tcPr>
            <w:tcW w:type="dxa" w:w="3026"/>
            <w:shd w:fill="FFF6E5" w:color="auto" w:val="clear"/>
            <w:tcMar>
              <w:top w:type="dxa" w:w="60"/>
              <w:left w:type="dxa" w:w="100"/>
              <w:bottom w:type="dxa" w:w="60"/>
              <w:right w:type="dxa" w:w="100"/>
            </w:tcMar>
          </w:tcPr>
          <w:p>
            <w:pPr>
              <w:spacing w:after="0"/>
            </w:pPr>
            <w:r>
              <w:rPr>
                <w:rFonts w:ascii="Arial" w:cs="Arial" w:eastAsia="Arial" w:hAnsi="Arial"/>
                <w:b/>
                <w:bCs/>
                <w:color w:val="8A5A00"/>
                <w:sz w:val="20"/>
                <w:szCs w:val="20"/>
              </w:rPr>
              <w:t xml:space="preserve">ESCALATE TO TRN</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val="false"/>
                <w:bCs w:val="false"/>
                <w:color w:val="1A1A1A"/>
                <w:sz w:val="20"/>
                <w:szCs w:val="20"/>
              </w:rPr>
              <w:t xml:space="preserve">F-301</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 a COM system fault</w:t>
            </w:r>
          </w:p>
        </w:tc>
        <w:tc>
          <w:tcPr>
            <w:tcW w:type="dxa" w:w="3026"/>
            <w:shd w:fill="FFF6E5" w:color="auto" w:val="clear"/>
            <w:tcMar>
              <w:top w:type="dxa" w:w="60"/>
              <w:left w:type="dxa" w:w="100"/>
              <w:bottom w:type="dxa" w:w="60"/>
              <w:right w:type="dxa" w:w="100"/>
            </w:tcMar>
          </w:tcPr>
          <w:p>
            <w:pPr>
              <w:spacing w:after="0"/>
            </w:pPr>
            <w:r>
              <w:rPr>
                <w:rFonts w:ascii="Arial" w:cs="Arial" w:eastAsia="Arial" w:hAnsi="Arial"/>
                <w:b/>
                <w:bCs/>
                <w:color w:val="8A5A00"/>
                <w:sz w:val="20"/>
                <w:szCs w:val="20"/>
              </w:rPr>
              <w:t xml:space="preserve">ESCALATE TO POW</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val="false"/>
                <w:bCs w:val="false"/>
                <w:color w:val="1A1A1A"/>
                <w:sz w:val="20"/>
                <w:szCs w:val="20"/>
              </w:rPr>
              <w:t xml:space="preserve">F-209</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 a COM system fault</w:t>
            </w:r>
          </w:p>
        </w:tc>
        <w:tc>
          <w:tcPr>
            <w:tcW w:type="dxa" w:w="3026"/>
            <w:shd w:fill="FFF6E5" w:color="auto" w:val="clear"/>
            <w:tcMar>
              <w:top w:type="dxa" w:w="60"/>
              <w:left w:type="dxa" w:w="100"/>
              <w:bottom w:type="dxa" w:w="60"/>
              <w:right w:type="dxa" w:w="100"/>
            </w:tcMar>
          </w:tcPr>
          <w:p>
            <w:pPr>
              <w:spacing w:after="0"/>
            </w:pPr>
            <w:r>
              <w:rPr>
                <w:rFonts w:ascii="Arial" w:cs="Arial" w:eastAsia="Arial" w:hAnsi="Arial"/>
                <w:b/>
                <w:bCs/>
                <w:color w:val="8A5A00"/>
                <w:sz w:val="20"/>
                <w:szCs w:val="20"/>
              </w:rPr>
              <w:t xml:space="preserve">ESCALATE TO AGR</w:t>
            </w:r>
          </w:p>
        </w:tc>
      </w:tr>
    </w:tbl>
    <w:p>
      <w:pPr>
        <w:spacing w:after="160"/>
      </w:pPr>
    </w:p>
    <w:p>
      <w:pPr>
        <w:spacing w:after="120"/>
      </w:pPr>
      <w:r>
        <w:rPr>
          <w:rFonts w:ascii="Arial" w:cs="Arial" w:eastAsia="Arial" w:hAnsi="Arial"/>
          <w:b/>
          <w:bCs/>
          <w:color w:val="1A1A1A"/>
          <w:sz w:val="20"/>
          <w:szCs w:val="20"/>
        </w:rPr>
        <w:t xml:space="preserve">Shaded entries</w:t>
      </w:r>
      <w:r>
        <w:rPr>
          <w:rFonts w:ascii="Arial" w:cs="Arial" w:eastAsia="Arial" w:hAnsi="Arial"/>
          <w:color w:val="1A1A1A"/>
          <w:sz w:val="20"/>
          <w:szCs w:val="20"/>
        </w:rPr>
        <w:t xml:space="preserve"> belong to another sector. Getting that card to the right station is this sector's responsibility.</w:t>
      </w:r>
    </w:p>
    <w:p>
      <w:r>
        <w:br w:type="page"/>
      </w:r>
    </w:p>
    <w:p>
      <w:pPr>
        <w:pStyle w:val="Heading1"/>
        <w:spacing w:after="160" w:before="120"/>
      </w:pPr>
      <w:r>
        <w:rPr>
          <w:rFonts w:ascii="Arial" w:cs="Arial" w:eastAsia="Arial" w:hAnsi="Arial"/>
          <w:b/>
          <w:bCs/>
          <w:color w:val="B07AD8"/>
          <w:sz w:val="28"/>
          <w:szCs w:val="28"/>
        </w:rPr>
        <w:t xml:space="preserve">4 · Repair Procedures</w:t>
      </w:r>
    </w:p>
    <w:p>
      <w:pPr>
        <w:spacing w:after="120"/>
      </w:pPr>
      <w:r>
        <w:rPr>
          <w:rFonts w:ascii="Arial" w:cs="Arial" w:eastAsia="Arial" w:hAnsi="Arial"/>
          <w:color w:val="1A1A1A"/>
          <w:sz w:val="20"/>
          <w:szCs w:val="20"/>
        </w:rPr>
        <w:t xml:space="preserve">Procedures are written to be read aloud. The console will not accept a partial code.</w:t>
      </w:r>
    </w:p>
    <w:p>
      <w:pPr>
        <w:pBdr>
          <w:bottom w:val="single" w:color="B07AD8" w:sz="8"/>
        </w:pBdr>
        <w:spacing w:after="100" w:before="240"/>
      </w:pPr>
      <w:r>
        <w:rPr>
          <w:rFonts w:ascii="Courier New" w:cs="Courier New" w:eastAsia="Courier New" w:hAnsi="Courier New"/>
          <w:b/>
          <w:bCs/>
          <w:color w:val="B07AD8"/>
          <w:sz w:val="24"/>
          <w:szCs w:val="24"/>
        </w:rPr>
        <w:t xml:space="preserve">PROCEDURE P-01</w:t>
      </w:r>
      <w:r>
        <w:rPr>
          <w:rFonts w:ascii="Arial" w:cs="Arial" w:eastAsia="Arial" w:hAnsi="Arial"/>
          <w:b/>
          <w:bCs/>
          <w:color w:val="1A1A1A"/>
          <w:sz w:val="24"/>
          <w:szCs w:val="24"/>
        </w:rPr>
        <w:t xml:space="preserve">   Beacon check-in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F-006</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1×Power</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F-006.</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1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1×Power.</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Read off the Band Alpha value from YOUR Table C-1.</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P-01-[VALUE],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P-01-[VALUE]</w:t>
      </w:r>
    </w:p>
    <w:p>
      <w:pPr>
        <w:pBdr>
          <w:bottom w:val="single" w:color="B07AD8" w:sz="8"/>
        </w:pBdr>
        <w:spacing w:after="100" w:before="240"/>
      </w:pPr>
      <w:r>
        <w:rPr>
          <w:rFonts w:ascii="Courier New" w:cs="Courier New" w:eastAsia="Courier New" w:hAnsi="Courier New"/>
          <w:b/>
          <w:bCs/>
          <w:color w:val="B07AD8"/>
          <w:sz w:val="24"/>
          <w:szCs w:val="24"/>
        </w:rPr>
        <w:t xml:space="preserve">PROCEDURE P-02</w:t>
      </w:r>
      <w:r>
        <w:rPr>
          <w:rFonts w:ascii="Arial" w:cs="Arial" w:eastAsia="Arial" w:hAnsi="Arial"/>
          <w:b/>
          <w:bCs/>
          <w:color w:val="1A1A1A"/>
          <w:sz w:val="24"/>
          <w:szCs w:val="24"/>
        </w:rPr>
        <w:t xml:space="preserve">   Antenna array desync</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F-108</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1×Power</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F-108.</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1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1×Power.</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Read off the Band Beta value from YOUR Table C-1.</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P-02-[VALUE],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P-02-[VALUE]</w:t>
      </w:r>
    </w:p>
    <w:p>
      <w:pPr>
        <w:pBdr>
          <w:bottom w:val="single" w:color="B07AD8" w:sz="8"/>
        </w:pBdr>
        <w:spacing w:after="100" w:before="240"/>
      </w:pPr>
      <w:r>
        <w:rPr>
          <w:rFonts w:ascii="Courier New" w:cs="Courier New" w:eastAsia="Courier New" w:hAnsi="Courier New"/>
          <w:b/>
          <w:bCs/>
          <w:color w:val="B07AD8"/>
          <w:sz w:val="24"/>
          <w:szCs w:val="24"/>
        </w:rPr>
        <w:t xml:space="preserve">PROCEDURE P-04</w:t>
      </w:r>
      <w:r>
        <w:rPr>
          <w:rFonts w:ascii="Arial" w:cs="Arial" w:eastAsia="Arial" w:hAnsi="Arial"/>
          <w:b/>
          <w:bCs/>
          <w:color w:val="1A1A1A"/>
          <w:sz w:val="24"/>
          <w:szCs w:val="24"/>
        </w:rPr>
        <w:t xml:space="preserve">   Uplink power sag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F-211</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1×Power, 1×Parts</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F-211.</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2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1×Power, 1×Parts.</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Sub-grid 3 value from POW Manual, Table P-2. This value is not held in this binder.</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P-04-[VALUE],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P-04-[VALUE]</w:t>
      </w:r>
    </w:p>
    <w:p>
      <w:pPr>
        <w:pBdr>
          <w:bottom w:val="single" w:color="B07AD8" w:sz="8"/>
        </w:pBdr>
        <w:spacing w:after="100" w:before="240"/>
      </w:pPr>
      <w:r>
        <w:rPr>
          <w:rFonts w:ascii="Courier New" w:cs="Courier New" w:eastAsia="Courier New" w:hAnsi="Courier New"/>
          <w:b/>
          <w:bCs/>
          <w:color w:val="B07AD8"/>
          <w:sz w:val="24"/>
          <w:szCs w:val="24"/>
        </w:rPr>
        <w:t xml:space="preserve">PROCEDURE P-05</w:t>
      </w:r>
      <w:r>
        <w:rPr>
          <w:rFonts w:ascii="Arial" w:cs="Arial" w:eastAsia="Arial" w:hAnsi="Arial"/>
          <w:b/>
          <w:bCs/>
          <w:color w:val="1A1A1A"/>
          <w:sz w:val="24"/>
          <w:szCs w:val="24"/>
        </w:rPr>
        <w:t xml:space="preserve">   Relay node blackout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F-212</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1×Power</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F-212.</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2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1×Power.</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Turbine D value from POW Manual, Table P-1. This value is not held in this binder.</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P-05-[VALUE],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P-05-[VALUE]</w:t>
      </w:r>
    </w:p>
    <w:p>
      <w:r>
        <w:br w:type="page"/>
      </w:r>
    </w:p>
    <w:p>
      <w:pPr>
        <w:pBdr>
          <w:bottom w:val="single" w:color="B07AD8" w:sz="8"/>
        </w:pBdr>
        <w:spacing w:after="100" w:before="240"/>
      </w:pPr>
      <w:r>
        <w:rPr>
          <w:rFonts w:ascii="Courier New" w:cs="Courier New" w:eastAsia="Courier New" w:hAnsi="Courier New"/>
          <w:b/>
          <w:bCs/>
          <w:color w:val="B07AD8"/>
          <w:sz w:val="24"/>
          <w:szCs w:val="24"/>
        </w:rPr>
        <w:t xml:space="preserve">PROCEDURE P-06</w:t>
      </w:r>
      <w:r>
        <w:rPr>
          <w:rFonts w:ascii="Arial" w:cs="Arial" w:eastAsia="Arial" w:hAnsi="Arial"/>
          <w:b/>
          <w:bCs/>
          <w:color w:val="1A1A1A"/>
          <w:sz w:val="24"/>
          <w:szCs w:val="24"/>
        </w:rPr>
        <w:t xml:space="preserve">   Master sensor grid collapse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F-306</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3</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2×Power, 1×Parts</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F-306.</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3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2×Power, 1×Parts.</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Turbine E value from POW Manual, Table P-1. This value is not held in this binder.</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Obtain the Yard Loop value from TRN Manual, Table T-6. This value is not held in this binder.</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Enter the resolution code on the sector console in the format P-06-[VALUE]-[VALUE 2], substituting the value(s) above. Values are three digits.</w:t>
      </w:r>
    </w:p>
    <w:p>
      <w:pPr>
        <w:spacing w:after="60"/>
        <w:ind w:left="340" w:hanging="340"/>
      </w:pPr>
      <w:r>
        <w:rPr>
          <w:rFonts w:ascii="Courier New" w:cs="Courier New" w:eastAsia="Courier New" w:hAnsi="Courier New"/>
          <w:color w:val="1A1A1A"/>
          <w:sz w:val="20"/>
          <w:szCs w:val="20"/>
        </w:rPr>
        <w:t xml:space="preserve">7.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P-06-[VALUE]-[VALUE 2]</w:t>
      </w:r>
    </w:p>
    <w:p>
      <w:r>
        <w:br w:type="page"/>
      </w:r>
    </w:p>
    <w:p>
      <w:pPr>
        <w:pStyle w:val="Heading1"/>
        <w:spacing w:after="160" w:before="120"/>
      </w:pPr>
      <w:r>
        <w:rPr>
          <w:rFonts w:ascii="Arial" w:cs="Arial" w:eastAsia="Arial" w:hAnsi="Arial"/>
          <w:b/>
          <w:bCs/>
          <w:color w:val="B07AD8"/>
          <w:sz w:val="28"/>
          <w:szCs w:val="28"/>
        </w:rPr>
        <w:t xml:space="preserve">5 · Specification Tables</w:t>
      </w:r>
    </w:p>
    <w:p>
      <w:pPr>
        <w:spacing w:after="120"/>
      </w:pPr>
      <w:r>
        <w:rPr>
          <w:rFonts w:ascii="Arial" w:cs="Arial" w:eastAsia="Arial" w:hAnsi="Arial"/>
          <w:color w:val="1A1A1A"/>
          <w:sz w:val="20"/>
          <w:szCs w:val="20"/>
        </w:rPr>
        <w:t xml:space="preserve">These values are held by this sector. Other stations will ask for them during the shift. Whether you give them, and how quickly, is your call.</w:t>
      </w:r>
    </w:p>
    <w:p>
      <w:pPr>
        <w:spacing w:after="100" w:before="220"/>
      </w:pPr>
      <w:r>
        <w:rPr>
          <w:rFonts w:ascii="Courier New" w:cs="Courier New" w:eastAsia="Courier New" w:hAnsi="Courier New"/>
          <w:b/>
          <w:bCs/>
          <w:color w:val="B07AD8"/>
          <w:sz w:val="22"/>
          <w:szCs w:val="22"/>
        </w:rPr>
        <w:t xml:space="preserve">TABLE C-1</w:t>
      </w:r>
      <w:r>
        <w:rPr>
          <w:rFonts w:ascii="Arial" w:cs="Arial" w:eastAsia="Arial" w:hAnsi="Arial"/>
          <w:b/>
          <w:bCs/>
          <w:color w:val="1A1A1A"/>
          <w:sz w:val="22"/>
          <w:szCs w:val="22"/>
        </w:rPr>
        <w:t xml:space="preserve">   Signal Frequency Bands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000"/>
        <w:gridCol w:w="4026"/>
      </w:tblGrid>
      <w:tr>
        <w:tc>
          <w:tcPr>
            <w:tcW w:type="dxa" w:w="50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ASSEMBLY</w:t>
            </w:r>
          </w:p>
        </w:tc>
        <w:tc>
          <w:tcPr>
            <w:tcW w:type="dxa" w:w="40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1A1A1A"/>
                <w:sz w:val="20"/>
                <w:szCs w:val="20"/>
              </w:rPr>
              <w:t xml:space="preserve">RATED VALUE</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Band Alpha</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894</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Band Beta</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996</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Band Gamma</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316</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Band Delta</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509</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Emergency Band</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390</w:t>
            </w:r>
          </w:p>
        </w:tc>
      </w:tr>
    </w:tbl>
    <w:p>
      <w:pPr>
        <w:spacing w:after="100" w:before="220"/>
      </w:pPr>
      <w:r>
        <w:rPr>
          <w:rFonts w:ascii="Courier New" w:cs="Courier New" w:eastAsia="Courier New" w:hAnsi="Courier New"/>
          <w:b/>
          <w:bCs/>
          <w:color w:val="B07AD8"/>
          <w:sz w:val="22"/>
          <w:szCs w:val="22"/>
        </w:rPr>
        <w:t xml:space="preserve">TABLE C-3</w:t>
      </w:r>
      <w:r>
        <w:rPr>
          <w:rFonts w:ascii="Arial" w:cs="Arial" w:eastAsia="Arial" w:hAnsi="Arial"/>
          <w:b/>
          <w:bCs/>
          <w:color w:val="1A1A1A"/>
          <w:sz w:val="22"/>
          <w:szCs w:val="22"/>
        </w:rPr>
        <w:t xml:space="preserve">   Sensor Calibration Offsets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000"/>
        <w:gridCol w:w="4026"/>
      </w:tblGrid>
      <w:tr>
        <w:tc>
          <w:tcPr>
            <w:tcW w:type="dxa" w:w="50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ASSEMBLY</w:t>
            </w:r>
          </w:p>
        </w:tc>
        <w:tc>
          <w:tcPr>
            <w:tcW w:type="dxa" w:w="40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1A1A1A"/>
                <w:sz w:val="20"/>
                <w:szCs w:val="20"/>
              </w:rPr>
              <w:t xml:space="preserve">RATED VALUE</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Grid North</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452</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Grid South</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931</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Core Ring</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145</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Perimeter</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306</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Deep Sensors</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828</w:t>
            </w:r>
          </w:p>
        </w:tc>
      </w:tr>
    </w:tbl>
    <w:p>
      <w:pPr>
        <w:spacing w:after="200"/>
      </w:pPr>
    </w:p>
    <w:p>
      <w:pPr>
        <w:spacing w:after="120"/>
      </w:pPr>
      <w:r>
        <w:rPr>
          <w:rFonts w:ascii="Arial" w:cs="Arial" w:eastAsia="Arial" w:hAnsi="Arial"/>
          <w:i/>
          <w:iCs/>
          <w:color w:val="6B6B6B"/>
          <w:sz w:val="20"/>
          <w:szCs w:val="20"/>
        </w:rPr>
        <w:t xml:space="preserve">Values are as-built and take precedence over station instrumentation.</w:t>
      </w:r>
    </w:p>
    <w:p>
      <w:r>
        <w:br w:type="page"/>
      </w:r>
    </w:p>
    <w:p>
      <w:pPr>
        <w:pStyle w:val="Heading1"/>
        <w:spacing w:after="160" w:before="120"/>
      </w:pPr>
      <w:r>
        <w:rPr>
          <w:rFonts w:ascii="Arial" w:cs="Arial" w:eastAsia="Arial" w:hAnsi="Arial"/>
          <w:b/>
          <w:bCs/>
          <w:color w:val="B07AD8"/>
          <w:sz w:val="28"/>
          <w:szCs w:val="28"/>
        </w:rPr>
        <w:t xml:space="preserve">Appendix C · Non-Routine Authorisations</w:t>
      </w:r>
    </w:p>
    <w:p>
      <w:pPr>
        <w:spacing w:after="120"/>
      </w:pPr>
      <w:r>
        <w:rPr>
          <w:rFonts w:ascii="Arial" w:cs="Arial" w:eastAsia="Arial" w:hAnsi="Arial"/>
          <w:color w:val="1A1A1A"/>
          <w:sz w:val="20"/>
          <w:szCs w:val="20"/>
        </w:rPr>
        <w:t xml:space="preserve">Retained for audit. Not part of the standard fault index. Applies only where a procedure directs the operator to this appendix or where no indexed procedure exists.</w:t>
      </w:r>
    </w:p>
    <w:p>
      <w:pPr>
        <w:spacing w:after="200"/>
      </w:pPr>
    </w:p>
    <w:p>
      <w:pPr>
        <w:spacing w:after="120"/>
      </w:pPr>
      <w:r>
        <w:rPr>
          <w:rFonts w:ascii="Arial" w:cs="Arial" w:eastAsia="Arial" w:hAnsi="Arial"/>
          <w:color w:val="1A1A1A"/>
          <w:sz w:val="20"/>
          <w:szCs w:val="20"/>
        </w:rPr>
        <w:t xml:space="preserve">C.1  Scope</w:t>
      </w:r>
    </w:p>
    <w:p>
      <w:pPr>
        <w:spacing w:after="120"/>
      </w:pPr>
      <w:r>
        <w:rPr>
          <w:rFonts w:ascii="Arial" w:cs="Arial" w:eastAsia="Arial" w:hAnsi="Arial"/>
          <w:color w:val="6B6B6B"/>
          <w:sz w:val="20"/>
          <w:szCs w:val="20"/>
        </w:rPr>
        <w:t xml:space="preserve">The authorisation below was issued under emergency powers and has not been revoked. It remains valid for the current operating period.</w:t>
      </w:r>
    </w:p>
    <w:p>
      <w:pPr>
        <w:spacing w:after="20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000"/>
        <w:gridCol w:w="4026"/>
      </w:tblGrid>
      <w:tr>
        <w:tc>
          <w:tcPr>
            <w:tcW w:type="dxa" w:w="50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AUTHORISATION</w:t>
            </w:r>
          </w:p>
        </w:tc>
        <w:tc>
          <w:tcPr>
            <w:tcW w:type="dxa" w:w="40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1A1A1A"/>
                <w:sz w:val="20"/>
                <w:szCs w:val="20"/>
              </w:rPr>
              <w:t xml:space="preserve">VALUE</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Master Uplink Reset Key</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243</w:t>
            </w:r>
          </w:p>
        </w:tc>
      </w:tr>
    </w:tbl>
    <w:p>
      <w:pPr>
        <w:spacing w:after="240"/>
      </w:pPr>
    </w:p>
    <w:p>
      <w:pPr>
        <w:spacing w:after="120"/>
      </w:pPr>
      <w:r>
        <w:rPr>
          <w:rFonts w:ascii="Arial" w:cs="Arial" w:eastAsia="Arial" w:hAnsi="Arial"/>
          <w:color w:val="1A1A1A"/>
          <w:sz w:val="20"/>
          <w:szCs w:val="20"/>
        </w:rPr>
        <w:t xml:space="preserve">C.2  Records retention</w:t>
      </w:r>
    </w:p>
    <w:p>
      <w:pPr>
        <w:spacing w:after="120"/>
      </w:pPr>
      <w:r>
        <w:rPr>
          <w:rFonts w:ascii="Arial" w:cs="Arial" w:eastAsia="Arial" w:hAnsi="Arial"/>
          <w:color w:val="6B6B6B"/>
          <w:sz w:val="20"/>
          <w:szCs w:val="20"/>
        </w:rPr>
        <w:t xml:space="preserve">Superseded revisions of this appendix were destroyed in the Cycle 31 records purge. No further entries follow.</w:t>
      </w:r>
    </w:p>
    <w:p>
      <w:r>
        <w:br w:type="page"/>
      </w:r>
    </w:p>
    <w:p>
      <w:pPr>
        <w:pStyle w:val="Heading1"/>
        <w:spacing w:after="160" w:before="120"/>
      </w:pPr>
      <w:r>
        <w:rPr>
          <w:rFonts w:ascii="Arial" w:cs="Arial" w:eastAsia="Arial" w:hAnsi="Arial"/>
          <w:b/>
          <w:bCs/>
          <w:color w:val="B07AD8"/>
          <w:sz w:val="28"/>
          <w:szCs w:val="28"/>
        </w:rPr>
        <w:t xml:space="preserve">6 · Station Operations Log</w:t>
      </w:r>
    </w:p>
    <w:p>
      <w:pPr>
        <w:spacing w:after="120"/>
      </w:pPr>
      <w:r>
        <w:rPr>
          <w:rFonts w:ascii="Arial" w:cs="Arial" w:eastAsia="Arial" w:hAnsi="Arial"/>
          <w:color w:val="1A1A1A"/>
          <w:sz w:val="20"/>
          <w:szCs w:val="20"/>
        </w:rPr>
        <w:t xml:space="preserve">Keep this current. It is the sector's record of what was decided and who agreed to it.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2600"/>
        <w:gridCol w:w="3200"/>
        <w:gridCol w:w="2026"/>
      </w:tblGrid>
      <w:tr>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TIME</w:t>
            </w:r>
          </w:p>
        </w:tc>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EVENT / FAULT</w:t>
            </w:r>
          </w:p>
        </w:tc>
        <w:tc>
          <w:tcPr>
            <w:tcW w:type="dxa" w:w="3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DECISION TAKEN</w:t>
            </w:r>
          </w:p>
        </w:tc>
        <w:tc>
          <w:tcPr>
            <w:tcW w:type="dxa" w:w="20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WHO AGREED</w:t>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bl>
    <w:p>
      <w:r>
        <w:br w:type="page"/>
      </w:r>
    </w:p>
    <w:p>
      <w:pPr>
        <w:pStyle w:val="Heading1"/>
        <w:spacing w:after="160" w:before="120"/>
      </w:pPr>
      <w:r>
        <w:rPr>
          <w:rFonts w:ascii="Arial" w:cs="Arial" w:eastAsia="Arial" w:hAnsi="Arial"/>
          <w:b/>
          <w:bCs/>
          <w:color w:val="B07AD8"/>
          <w:sz w:val="28"/>
          <w:szCs w:val="28"/>
        </w:rPr>
        <w:t xml:space="preserve">7 · Standing Orders — Quick Reference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6826"/>
      </w:tblGrid>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Transfers</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Nothing moves without a Transfer Chit signed by BOTH liaisons and stamped by TRN. Unstamped chits are void.</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Liaison rule</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Only the Liaison leaves the station. If the Liaison is away, the station cannot trade.</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Council</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When COUNCIL is called, the Chief and Liaison attend the centre table. Five minutes, hard stop.</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Console rejects</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Three consecutive wrong codes lock the console for 20 seconds. Verify the source table before resubmitting.</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A procedure cannot be entered without its minimum crew assigned. Injured crew are at MED until released.</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Stock</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Physical chits are the true count. Keep the console figure matching what is on the table.</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Escalation</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A fault code that is not in your index is not yours. Move it.</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Integrity</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Below 30 the station shows CRITICAL city-wide. At 0 it goes DARK and the console locks.</w:t>
            </w:r>
          </w:p>
        </w:tc>
      </w:tr>
    </w:tbl>
    <w:p>
      <w:pPr>
        <w:spacing w:after="300"/>
      </w:pPr>
    </w:p>
    <w:p>
      <w:pPr>
        <w:pBdr>
          <w:top w:val="single" w:color="B07AD8" w:sz="6"/>
        </w:pBdr>
        <w:spacing w:before="200"/>
        <w:jc w:val="center"/>
      </w:pPr>
      <w:r>
        <w:rPr>
          <w:rFonts w:ascii="Arial" w:cs="Arial" w:eastAsia="Arial" w:hAnsi="Arial"/>
          <w:color w:val="6B6B6B"/>
          <w:spacing w:val="60"/>
          <w:sz w:val="16"/>
          <w:szCs w:val="16"/>
        </w:rPr>
        <w:t xml:space="preserve">HAVEN-9 SUBTERRANEAN CONTINUITY AUTHORITY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Arial" w:cs="Arial" w:eastAsia="Arial" w:hAnsi="Arial"/>
        <w:color w:val="6B6B6B"/>
        <w:sz w:val="14"/>
        <w:szCs w:val="14"/>
      </w:rPr>
      <w:t xml:space="preserve">HAVEN-9 · COM TECHNICAL OPERATIONS BINDER · 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2026-08-22T01:25:38.042Z</dcterms:created>
  <dcterms:modified xsi:type="dcterms:W3CDTF">2026-08-22T01:25:38.042Z</dcterms:modified>
</cp:coreProperties>
</file>

<file path=docProps/custom.xml><?xml version="1.0" encoding="utf-8"?>
<Properties xmlns="http://schemas.openxmlformats.org/officeDocument/2006/custom-properties" xmlns:vt="http://schemas.openxmlformats.org/officeDocument/2006/docPropsVTypes"/>
</file>