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cycle,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cycle,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membrane clog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Filter membrane clog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4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before="120"/>
      </w:pPr>
      <w:r>
        <w:rPr>
          <w:rFonts w:ascii="Arial" w:cs="Arial" w:eastAsia="Arial" w:hAnsi="Arial"/>
          <w:b/>
          <w:bCs/>
          <w:color w:val="B00000"/>
          <w:sz w:val="20"/>
          <w:szCs w:val="20"/>
        </w:rPr>
        <w:t xml:space="preserve">TIME LIMIT: </w:t>
      </w:r>
      <w:r>
        <w:rPr>
          <w:rFonts w:ascii="Arial" w:cs="Arial" w:eastAsia="Arial" w:hAnsi="Arial"/>
          <w:color w:val="1A1A1A"/>
          <w:sz w:val="20"/>
          <w:szCs w:val="20"/>
        </w:rPr>
        <w:t xml:space="preserve">08:00 from alert. After that the fault is not recoverable by this procedure.</w:t>
      </w:r>
    </w:p>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P-07-[VALUE]-[VALUE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2026-08-22T01:25:37.890Z</dcterms:created>
  <dcterms:modified xsi:type="dcterms:W3CDTF">2026-08-22T01:25:37.890Z</dcterms:modified>
</cp:coreProperties>
</file>

<file path=docProps/custom.xml><?xml version="1.0" encoding="utf-8"?>
<Properties xmlns="http://schemas.openxmlformats.org/officeDocument/2006/custom-properties" xmlns:vt="http://schemas.openxmlformats.org/officeDocument/2006/docPropsVTypes"/>
</file>