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E8B33A"/>
          <w:sz w:val="96"/>
          <w:szCs w:val="96"/>
        </w:rPr>
        <w:t xml:space="preserve">POW</w:t>
      </w:r>
    </w:p>
    <w:p>
      <w:pPr>
        <w:spacing w:after="200"/>
        <w:jc w:val="center"/>
      </w:pPr>
      <w:r>
        <w:rPr>
          <w:rFonts w:ascii="Arial" w:cs="Arial" w:eastAsia="Arial" w:hAnsi="Arial"/>
          <w:b/>
          <w:bCs/>
          <w:color w:val="1A1A1A"/>
          <w:spacing w:val="40"/>
          <w:sz w:val="32"/>
          <w:szCs w:val="32"/>
        </w:rPr>
        <w:t xml:space="preserve">POWER GRID</w:t>
      </w:r>
    </w:p>
    <w:p>
      <w:pPr>
        <w:spacing w:after="900"/>
        <w:jc w:val="center"/>
      </w:pPr>
      <w:r>
        <w:rPr>
          <w:rFonts w:ascii="Arial" w:cs="Arial" w:eastAsia="Arial" w:hAnsi="Arial"/>
          <w:i/>
          <w:iCs/>
          <w:color w:val="6B6B6B"/>
          <w:sz w:val="20"/>
          <w:szCs w:val="20"/>
        </w:rPr>
        <w:t xml:space="preserve">The city runs on what we hold.</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E8B33A" w:sz="6"/>
        </w:pBdr>
        <w:spacing w:after="60" w:before="200"/>
        <w:jc w:val="center"/>
      </w:pPr>
      <w:r>
        <w:rPr>
          <w:rFonts w:ascii="Arial" w:cs="Arial" w:eastAsia="Arial" w:hAnsi="Arial"/>
          <w:b/>
          <w:bCs/>
          <w:color w:val="E8B33A"/>
          <w:spacing w:val="60"/>
          <w:sz w:val="20"/>
          <w:szCs w:val="20"/>
        </w:rPr>
        <w:t xml:space="preserve">RESTRICTED — POW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E8B33A"/>
          <w:sz w:val="28"/>
          <w:szCs w:val="28"/>
        </w:rPr>
        <w:t xml:space="preserve">1 · Sector Overview</w:t>
      </w:r>
    </w:p>
    <w:p>
      <w:pPr>
        <w:spacing w:after="120"/>
      </w:pPr>
      <w:r>
        <w:rPr>
          <w:rFonts w:ascii="Arial" w:cs="Arial" w:eastAsia="Arial" w:hAnsi="Arial"/>
          <w:color w:val="1A1A1A"/>
          <w:sz w:val="20"/>
          <w:szCs w:val="20"/>
        </w:rPr>
        <w:t xml:space="preserve">Power Grid operates HAVEN-9's five geothermal turbines, the ring main, and three sub-grids. Every other sector draws from you. Turbine output is finite and the Core coupling is the single point of failure for the entire city — if the ring main drops, life support in the Medical Bay has roughly four minutes of reserve. Your standing orders are to maintain ring-main stability, honour agreed power transfers, and keep Turbine C's bearing temperature inside tolerance. You are permitted to shed load to protect the ring main. You are not permitted to shed load to the Medical Bay without Council authorisation. Power cannot be manufactured faster than the turbines allow, so every commitment you make to another sector is a commitment taken from somewhere else.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Power Cells (⚡) — 3 per cycle, distributed at your discretion</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cycle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E8B33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B33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cycle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Power Cells (⚡) — 3 per cycle, distributed at your discretion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E8B33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Panel self-test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Breaker cascade trip</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bearing whine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Coolant loop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Grid harmonic surge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coupling misalignment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restart sequence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E8B33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E8B33A" w:sz="8"/>
        </w:pBdr>
        <w:spacing w:after="100" w:before="240"/>
      </w:pPr>
      <w:r>
        <w:rPr>
          <w:rFonts w:ascii="Courier New" w:cs="Courier New" w:eastAsia="Courier New" w:hAnsi="Courier New"/>
          <w:b/>
          <w:bCs/>
          <w:color w:val="E8B33A"/>
          <w:sz w:val="24"/>
          <w:szCs w:val="24"/>
        </w:rPr>
        <w:t xml:space="preserve">PROCEDURE P-01</w:t>
      </w:r>
      <w:r>
        <w:rPr>
          <w:rFonts w:ascii="Arial" w:cs="Arial" w:eastAsia="Arial" w:hAnsi="Arial"/>
          <w:b/>
          <w:bCs/>
          <w:color w:val="1A1A1A"/>
          <w:sz w:val="24"/>
          <w:szCs w:val="24"/>
        </w:rPr>
        <w:t xml:space="preserve">   Panel self-test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Turbine A value from YOUR Table P-1.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P-02</w:t>
      </w:r>
      <w:r>
        <w:rPr>
          <w:rFonts w:ascii="Arial" w:cs="Arial" w:eastAsia="Arial" w:hAnsi="Arial"/>
          <w:b/>
          <w:bCs/>
          <w:color w:val="1A1A1A"/>
          <w:sz w:val="24"/>
          <w:szCs w:val="24"/>
        </w:rPr>
        <w:t xml:space="preserve">   Breaker cascade trip</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Sub-grid 1 value from YOUR Table P-2.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P-03</w:t>
      </w:r>
      <w:r>
        <w:rPr>
          <w:rFonts w:ascii="Arial" w:cs="Arial" w:eastAsia="Arial" w:hAnsi="Arial"/>
          <w:b/>
          <w:bCs/>
          <w:color w:val="1A1A1A"/>
          <w:sz w:val="24"/>
          <w:szCs w:val="24"/>
        </w:rPr>
        <w:t xml:space="preserve">   Turbine bearing whine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Turbine C value from YOUR Table P-1.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P-04</w:t>
      </w:r>
      <w:r>
        <w:rPr>
          <w:rFonts w:ascii="Arial" w:cs="Arial" w:eastAsia="Arial" w:hAnsi="Arial"/>
          <w:b/>
          <w:bCs/>
          <w:color w:val="1A1A1A"/>
          <w:sz w:val="24"/>
          <w:szCs w:val="24"/>
        </w:rPr>
        <w:t xml:space="preserve">   Coolant loop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Lower Reservoir value from WTR Manual, Table W-4.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E8B33A" w:sz="8"/>
        </w:pBdr>
        <w:spacing w:after="100" w:before="240"/>
      </w:pPr>
      <w:r>
        <w:rPr>
          <w:rFonts w:ascii="Courier New" w:cs="Courier New" w:eastAsia="Courier New" w:hAnsi="Courier New"/>
          <w:b/>
          <w:bCs/>
          <w:color w:val="E8B33A"/>
          <w:sz w:val="24"/>
          <w:szCs w:val="24"/>
        </w:rPr>
        <w:t xml:space="preserve">PROCEDURE P-05</w:t>
      </w:r>
      <w:r>
        <w:rPr>
          <w:rFonts w:ascii="Arial" w:cs="Arial" w:eastAsia="Arial" w:hAnsi="Arial"/>
          <w:b/>
          <w:bCs/>
          <w:color w:val="1A1A1A"/>
          <w:sz w:val="24"/>
          <w:szCs w:val="24"/>
        </w:rPr>
        <w:t xml:space="preserve">   Grid harmonic surge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Backup Pump value from WTR Manual, Table W-3.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P-05-[VALUE],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P-06</w:t>
      </w:r>
      <w:r>
        <w:rPr>
          <w:rFonts w:ascii="Arial" w:cs="Arial" w:eastAsia="Arial" w:hAnsi="Arial"/>
          <w:b/>
          <w:bCs/>
          <w:color w:val="1A1A1A"/>
          <w:sz w:val="24"/>
          <w:szCs w:val="24"/>
        </w:rPr>
        <w:t xml:space="preserve">   Core coupling misalignment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3×Parts, 2×Water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3×Parts, 2×Water.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Tank value from WTR Manual, Table W-4.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Filter Bank 3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E8B33A" w:sz="8"/>
        </w:pBdr>
        <w:spacing w:after="100" w:before="240"/>
      </w:pPr>
      <w:r>
        <w:rPr>
          <w:rFonts w:ascii="Courier New" w:cs="Courier New" w:eastAsia="Courier New" w:hAnsi="Courier New"/>
          <w:b/>
          <w:bCs/>
          <w:color w:val="E8B33A"/>
          <w:sz w:val="24"/>
          <w:szCs w:val="24"/>
        </w:rPr>
        <w:t xml:space="preserve">PROCEDURE P-07</w:t>
      </w:r>
      <w:r>
        <w:rPr>
          <w:rFonts w:ascii="Arial" w:cs="Arial" w:eastAsia="Arial" w:hAnsi="Arial"/>
          <w:b/>
          <w:bCs/>
          <w:color w:val="1A1A1A"/>
          <w:sz w:val="24"/>
          <w:szCs w:val="24"/>
        </w:rPr>
        <w:t xml:space="preserve">   Core restart sequence fault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Master Uplink Reset Key value from COM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Array West value from AGR Manual, Table A-4.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P-07-[VALUE]-[VALUE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P-07-[VALUE]-[VALUE 2]</w:t>
      </w:r>
    </w:p>
    <w:p>
      <w:r>
        <w:br w:type="page"/>
      </w:r>
    </w:p>
    <w:p>
      <w:pPr>
        <w:pStyle w:val="Heading1"/>
        <w:spacing w:after="160" w:before="120"/>
      </w:pPr>
      <w:r>
        <w:rPr>
          <w:rFonts w:ascii="Arial" w:cs="Arial" w:eastAsia="Arial" w:hAnsi="Arial"/>
          <w:b/>
          <w:bCs/>
          <w:color w:val="E8B33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E8B33A"/>
          <w:sz w:val="22"/>
          <w:szCs w:val="22"/>
        </w:rPr>
        <w:t xml:space="preserve">TABLE P-1</w:t>
      </w:r>
      <w:r>
        <w:rPr>
          <w:rFonts w:ascii="Arial" w:cs="Arial" w:eastAsia="Arial" w:hAnsi="Arial"/>
          <w:b/>
          <w:bCs/>
          <w:color w:val="1A1A1A"/>
          <w:sz w:val="22"/>
          <w:szCs w:val="22"/>
        </w:rPr>
        <w:t xml:space="preserve">   Turbine Output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577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730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C</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485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D</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376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242</w:t>
            </w:r>
          </w:p>
        </w:tc>
      </w:tr>
    </w:tbl>
    <w:p>
      <w:pPr>
        <w:spacing w:after="100" w:before="220"/>
      </w:pPr>
      <w:r>
        <w:rPr>
          <w:rFonts w:ascii="Courier New" w:cs="Courier New" w:eastAsia="Courier New" w:hAnsi="Courier New"/>
          <w:b/>
          <w:bCs/>
          <w:color w:val="E8B33A"/>
          <w:sz w:val="22"/>
          <w:szCs w:val="22"/>
        </w:rPr>
        <w:t xml:space="preserve">TABLE P-2</w:t>
      </w:r>
      <w:r>
        <w:rPr>
          <w:rFonts w:ascii="Arial" w:cs="Arial" w:eastAsia="Arial" w:hAnsi="Arial"/>
          <w:b/>
          <w:bCs/>
          <w:color w:val="1A1A1A"/>
          <w:sz w:val="22"/>
          <w:szCs w:val="22"/>
        </w:rPr>
        <w:t xml:space="preserve">   Breaker Load Limits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Ring Main</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292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Sub-grid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Sub-grid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795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Sub-grid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107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Bus</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449</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E8B33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Load-Shed Sequence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106</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E8B33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B33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E8B33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POW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2026-08-22T01:12:32.972Z</dcterms:created>
  <dcterms:modified xsi:type="dcterms:W3CDTF">2026-08-22T01:12:32.972Z</dcterms:modified>
</cp:coreProperties>
</file>

<file path=docProps/custom.xml><?xml version="1.0" encoding="utf-8"?>
<Properties xmlns="http://schemas.openxmlformats.org/officeDocument/2006/custom-properties" xmlns:vt="http://schemas.openxmlformats.org/officeDocument/2006/docPropsVTypes"/>
</file>