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20"/>
        <w:jc w:val="center"/>
      </w:pPr>
      <w:r>
        <w:rPr>
          <w:rFonts w:ascii="Calibri" w:hAnsi="Calibri" w:eastAsia="Calibri"/>
          <w:b/>
          <w:color w:val="7A5A00"/>
          <w:sz w:val="21"/>
        </w:rPr>
        <w:t>СПРАВОЧНИК СХЕМЫ РАЗМЕТКИ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F3A5F"/>
          <w:sz w:val="60"/>
        </w:rPr>
        <w:t>Глоссарий RuREBus</w:t>
      </w:r>
    </w:p>
    <w:p>
      <w:pPr>
        <w:spacing w:after="560"/>
        <w:jc w:val="center"/>
      </w:pPr>
      <w:r>
        <w:rPr>
          <w:rFonts w:ascii="Calibri" w:hAnsi="Calibri" w:eastAsia="Calibri"/>
          <w:color w:val="1F4D78"/>
          <w:sz w:val="30"/>
        </w:rPr>
        <w:t>Сущности, отношения и допустимые операнды</w:t>
        <w:br/>
        <w:t>для NLP-проекта экономического мониторинга</w:t>
      </w:r>
    </w:p>
    <w:p>
      <w:pPr>
        <w:spacing w:before="960" w:after="120"/>
        <w:jc w:val="center"/>
      </w:pPr>
      <w:r>
        <w:rPr>
          <w:rFonts w:ascii="Calibri" w:hAnsi="Calibri" w:eastAsia="Calibri"/>
          <w:i/>
          <w:color w:val="5B6573"/>
          <w:sz w:val="21"/>
        </w:rPr>
        <w:t>Основано на официальной инструкции RuREBus и фактической разметке корпуса</w:t>
      </w:r>
    </w:p>
    <w:p>
      <w:pPr>
        <w:jc w:val="center"/>
      </w:pPr>
      <w:r>
        <w:rPr>
          <w:rFonts w:ascii="Calibri" w:hAnsi="Calibri" w:eastAsia="Calibri"/>
          <w:b/>
          <w:color w:val="5B6573"/>
          <w:sz w:val="21"/>
        </w:rPr>
        <w:t>Версия 1.0 | 22 августа 2026</w:t>
      </w:r>
    </w:p>
    <w:p>
      <w:r>
        <w:br w:type="page"/>
      </w:r>
    </w:p>
    <w:p>
      <w:pPr>
        <w:pStyle w:val="Heading1"/>
      </w:pPr>
      <w:r>
        <w:t>1. Быстрый справочник</w:t>
      </w:r>
    </w:p>
    <w:p>
      <w:r>
        <w:t>RuREBus описывает экономические и социальные объекты, показатели, действия, изменения и связи между ними. Это предметная схема извлечения фактов, а не классический набор PERSON/ORG/LOCATION.</w:t>
      </w:r>
    </w:p>
    <w:p>
      <w:pPr>
        <w:pStyle w:val="Heading2"/>
      </w:pPr>
      <w:r>
        <w:t>1.1. Сущности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800"/>
        <w:gridCol w:w="1900"/>
        <w:gridCol w:w="4060"/>
        <w:gridCol w:w="26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Код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Название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Краткий смысл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Типичные примеры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Измеримый показатель или объект сравнения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Показатель, характеристика или объект, для которого задаётся численное значение, изменение, сравнение либо оценка. Число может отсутствовать: достаточно того, что объект концептуально измеряется или сравнивается.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производительность труда; уровень заработной платы; степень износа здания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ECO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Экономический или инфраструктурный объект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Экономическая сущность, ресурс, рынок, отрасль, инфраструктурный объект или хозяйственный объект, который не размечается как измеримый показатель MET. В исходной схеме сюда могут попадать и коммерческие компании.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региональная экономика; автомобильные дороги; бюджетное финансирование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Действие или бинарное состояние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Однократное действие, факт наличия/отсутствия либо состояние типа «происходит / не происходит». Часто выступает предикативной частью отношения. Смысловые частицы отрицания включаются в спан, если они меняют значение.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создание; обеспечение; не осуществляется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CMP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Изменение или сравнительная характеристика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Динамика, направленное изменение или явное сравнение: рост, снижение, расширение, превышение, положительная либо отрицательная динамика.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увеличение; снижение; превышает аналогичный показатель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QUA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Качественная характеристика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Нечисловая оценка свойства или состояния объекта без обязательного указания динамики. Может выражать положительную, отрицательную или нейтральную характеристику.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высокая; неэффективная; стабильность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Мероприятие, проект или деятельность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Принимаемая мера, программа, проект, работа или организованная деятельность. Часто образует связку с BIN: действие обозначает запуск/проведение, ACT - содержание мероприятия.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профилактика наркомании; реставрационные работы; образовательный проект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INST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Учреждение или организационная структура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Орган государственной власти, учреждение, ведомство, муниципальная структура, сеть организаций или иной организационный субъект.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органы опеки и попечительства; центр занятости молодёжи; муниципальное учреждение культуры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SOC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Социальный объект или явление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Население, социальная группа, социальная система, качество жизни, доступность благ, социальная защита, кадровый или культурный потенциал.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население страны; доступность жилья; качество жизни</w:t>
            </w:r>
          </w:p>
        </w:tc>
      </w:tr>
    </w:tbl>
    <w:p>
      <w:pPr>
        <w:pStyle w:val="Heading2"/>
      </w:pPr>
      <w:r>
        <w:t>1.2. Отношения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700"/>
        <w:gridCol w:w="2100"/>
        <w:gridCol w:w="1300"/>
        <w:gridCol w:w="1300"/>
        <w:gridCol w:w="39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Код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Название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Время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Оценка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F3A5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Текущее отрицательное состояние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настоящее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отрицательная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Фиксирует неблагоприятное состояние, дефицит, ограничение или отрицательную динамику, актуальные в описываемый момент.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Текущее нейтральное состояние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настоящее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нейтральная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Описывает существующий факт или состояние без явно положительной либо отрицательной оценки.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Текущее положительное состояние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настоящее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положительная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Фиксирует благоприятное текущее состояние, улучшение или наличие полезной характеристики.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 отрицательное изменение или итог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отрицательная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Обозначает уже произошедшее неблагоприятное изменение, отрицательный результат или ухудшение.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 нейтральное изменение или итог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нейтральная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Обозначает реализованное действие или итог без выраженной оценки результата.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 положительное изменение или итог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прошлое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положительная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Обозначает достигнутый положительный результат, выполненное полезное действие или улучшение.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FNG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Будущий отрицательный прогноз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отрицательная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Прогнозирует ухудшение, негативное изменение или неблагоприятное будущее состояние.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FNT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Будущий нейтральный прогноз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нейтральная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Фиксирует ожидаемое действие или состояние без выраженной оценки.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FPS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Будущий положительный прогноз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будущее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положительная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Прогнозирует улучшение, рост, достижение полезного результата или благоприятное состояние.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Цель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целевое состояние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применяется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Связывает абстрактный желаемый результат с объектом, показателем или социальной областью, на которую направлена цель.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TSK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Задача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план действий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применяется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Связывает конкретное действие или мероприятие с объектом, на который оно направлено; задача операционализирует цель.</w:t>
            </w:r>
          </w:p>
        </w:tc>
      </w:tr>
    </w:tbl>
    <w:p>
      <w:pPr>
        <w:pStyle w:val="Heading1"/>
      </w:pPr>
      <w:r>
        <w:t>2. Глоссарий сущностей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3A5F"/>
              </w:rPr>
              <w:t xml:space="preserve">Важно. </w:t>
            </w:r>
            <w:r>
              <w:rPr>
                <w:rFonts w:ascii="Calibri" w:hAnsi="Calibri" w:eastAsia="Calibri"/>
              </w:rPr>
              <w:t>OUT не является сущностью: это техническая метка «вне сущности». В фактическом BRAT-корпусе используются восемь типов ниже.</w:t>
            </w:r>
          </w:p>
        </w:tc>
      </w:tr>
    </w:tbl>
    <w:p>
      <w:pPr>
        <w:spacing w:after="0"/>
      </w:pPr>
    </w:p>
    <w:p>
      <w:pPr>
        <w:pStyle w:val="Heading2"/>
      </w:pPr>
      <w:r>
        <w:t>2.1. MET - Измеримый показатель или объект сравнения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metric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Показатель, характеристика или объект, для которого задаётся численное значение, изменение, сравнение либо оценка. Число может отсутствовать: достаточно того, что объект концептуально измеряется или сравнивается.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Уровни, объёмы, доли, темпы, эффективность, вероятность, степень износа, производительность.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ECO отличается ролью измеряемой характеристики; от SOC - фокусом на показателе, а не социальном явлении.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производительность труда; уровень заработной платы; степень износа здания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5 996 сущностей (11.52%)</w:t>
      </w:r>
    </w:p>
    <w:p>
      <w:pPr>
        <w:pStyle w:val="Heading2"/>
      </w:pPr>
      <w:r>
        <w:t>2.2. ECO - Экономический или инфраструктурный объект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economics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Экономическая сущность, ресурс, рынок, отрасль, инфраструктурный объект или хозяйственный объект, который не размечается как измеримый показатель MET. В исходной схеме сюда могут попадать и коммерческие компании.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Рынки, ресурсы, экономика региона, финансирование, дороги, оборудование, порты, предприятия.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INST отличается предметной ролью объекта: ECO - экономический объект, INST - учреждение или организационная структура.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региональная экономика; автомобильные дороги; бюджетное финансирование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11 149 сущностей (21.41%)</w:t>
      </w:r>
    </w:p>
    <w:p>
      <w:pPr>
        <w:pStyle w:val="Heading2"/>
      </w:pPr>
      <w:r>
        <w:t>2.3. BIN - Действие или бинарное состояние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binary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Однократное действие, факт наличия/отсутствия либо состояние типа «происходит / не происходит». Часто выступает предикативной частью отношения. Смысловые частицы отрицания включаются в спан, если они меняют значение.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Создание, строительство, обеспечение, осуществление, функционирование, отсутствие.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CMP отличается отсутствием обязательной направленности изменения; от ACT - это действие/предикат, а не название мероприятия.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создание; обеспечение; не осуществляется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13 651 сущностей (26.22%)</w:t>
      </w:r>
    </w:p>
    <w:p>
      <w:pPr>
        <w:pStyle w:val="Heading2"/>
      </w:pPr>
      <w:r>
        <w:t>2.4. CMP - Изменение или сравнительная характеристика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compare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Динамика, направленное изменение или явное сравнение: рост, снижение, расширение, превышение, положительная либо отрицательная динамика.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Повышение, снижение, увеличение, расширение, превышение, совершенствование.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QUA отличается наличием динамики или сравнения; от BIN - выраженной направленностью изменения.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увеличение; снижение; превышает аналогичный показатель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3 987 сущностей (7.66%)</w:t>
      </w:r>
    </w:p>
    <w:p>
      <w:pPr>
        <w:pStyle w:val="Heading2"/>
      </w:pPr>
      <w:r>
        <w:t>2.5. QUA - Качественная характеристика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qualitative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Нечисловая оценка свойства или состояния объекта без обязательного указания динамики. Может выражать положительную, отрицательную или нейтральную характеристику.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Высокий, слабый, устойчивый, ограниченный, эффективный, безопасный.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CMP отличается статичностью: QUA описывает качество, CMP - изменение или сравнение.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высокая; неэффективная; стабильность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3 515 сущностей (6.75%)</w:t>
      </w:r>
    </w:p>
    <w:p>
      <w:pPr>
        <w:pStyle w:val="Heading2"/>
      </w:pPr>
      <w:r>
        <w:t>2.6. ACT - Мероприятие, проект или деятельность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activity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Принимаемая мера, программа, проект, работа или организованная деятельность. Часто образует связку с BIN: действие обозначает запуск/проведение, ACT - содержание мероприятия.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Программы, проекты, профилактика, помощь, реставрационные работы, акции.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BIN отличается номинативным содержанием мероприятия; BIN обычно сообщает, что с мероприятием происходит.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профилактика наркомании; реставрационные работы; образовательный проект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5 528 сущностей (10.62%)</w:t>
      </w:r>
    </w:p>
    <w:p>
      <w:pPr>
        <w:pStyle w:val="Heading2"/>
      </w:pPr>
      <w:r>
        <w:t>2.7. INST - Учреждение или организационная структура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institutions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Орган государственной власти, учреждение, ведомство, муниципальная структура, сеть организаций или иной организационный субъект.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Министерства, центры, органы опеки, муниципальные учреждения, сети организаций.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ECO отличается организационной субъектностью; коммерческие компании в исходной инструкции иногда отнесены к ECO.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органы опеки и попечительства; центр занятости молодёжи; муниципальное учреждение культуры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3 589 сущностей (6.89%)</w:t>
      </w:r>
    </w:p>
    <w:p>
      <w:pPr>
        <w:pStyle w:val="Heading2"/>
      </w:pPr>
      <w:r>
        <w:t>2.8. SOC - Социальный объект или явление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Английская расшифровка: </w:t>
      </w:r>
      <w:r>
        <w:rPr>
          <w:rFonts w:ascii="Calibri" w:hAnsi="Calibri" w:eastAsia="Calibri"/>
        </w:rPr>
        <w:t>social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Население, социальная группа, социальная система, качество жизни, доступность благ, социальная защита, кадровый или культурный потенциал.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Что включать: </w:t>
      </w:r>
      <w:r>
        <w:rPr>
          <w:rFonts w:ascii="Calibri" w:hAnsi="Calibri" w:eastAsia="Calibri"/>
        </w:rPr>
        <w:t>Население, кадры, доступность жилья, качество жизни, социальная защита, историческое наследие.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Как отличать: </w:t>
      </w:r>
      <w:r>
        <w:rPr>
          <w:rFonts w:ascii="Calibri" w:hAnsi="Calibri" w:eastAsia="Calibri"/>
        </w:rPr>
        <w:t>От MET отличается фокусом на социальном объекте; измеримый показатель социального явления может размечаться как MET.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Примеры: </w:t>
      </w:r>
      <w:r>
        <w:rPr>
          <w:rFonts w:ascii="Calibri" w:hAnsi="Calibri" w:eastAsia="Calibri"/>
        </w:rPr>
        <w:t>население страны; доступность жилья; качество жизни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 очищенном train: </w:t>
      </w:r>
      <w:r>
        <w:rPr>
          <w:rFonts w:ascii="Calibri" w:hAnsi="Calibri" w:eastAsia="Calibri"/>
        </w:rPr>
        <w:t>4 648 сущностей (8.93%)</w:t>
      </w:r>
    </w:p>
    <w:p>
      <w:pPr>
        <w:pStyle w:val="Heading1"/>
      </w:pPr>
      <w:r>
        <w:t>3. Глоссарий отношений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3A5F"/>
              </w:rPr>
              <w:t xml:space="preserve">Правило операндов. </w:t>
            </w:r>
            <w:r>
              <w:rPr>
                <w:rFonts w:ascii="Calibri" w:hAnsi="Calibri" w:eastAsia="Calibri"/>
              </w:rPr>
              <w:t>BRAT хранит Arg1 и Arg2, но официальная оценка RuREBus считает пару симметричной: перестановка аргументов не меняет правильность отношения. Поэтому ниже операнды описаны семантически, а частые пары показаны как A &lt;-&gt; B. Формальная схема не вводит жёсткую таблицу допустимости типов.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3A5F"/>
              </w:rPr>
              <w:t xml:space="preserve">NO_RELATION. </w:t>
            </w:r>
            <w:r>
              <w:rPr>
                <w:rFonts w:ascii="Calibri" w:hAnsi="Calibri" w:eastAsia="Calibri"/>
              </w:rPr>
              <w:t>Класс NO_RELATION отсутствует в исходных ANN-файлах. Он создаётся программно для пар сущностей, между которыми нет размеченной связи.</w:t>
            </w:r>
          </w:p>
        </w:tc>
      </w:tr>
    </w:tbl>
    <w:p>
      <w:pPr>
        <w:spacing w:after="0"/>
      </w:pPr>
    </w:p>
    <w:p>
      <w:pPr>
        <w:pStyle w:val="Heading2"/>
      </w:pPr>
      <w:r>
        <w:t>3.1. NNG - Текущее отрицательное состояние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настоящее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отрицательная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Фиксирует неблагоприятное состояние, дефицит, ограничение или отрицательную динамику, актуальные в описываемый момент.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 (MET, ECO, SOC, ACT, INST) + отрицательная характеристика или состояние (QUA, CMP, BIN).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MET &lt;-&gt; QUA: 178 (21.6%); CMP &lt;-&gt; MET: 119 (14.5%); ECO &lt;-&gt; QUA: 113 (13.7%); BIN &lt;-&gt; ECO: 97 (11.8%); BIN &lt;-&gt; SOC: 53 (6.4%); CMP &lt;-&gt; ECO: 46 (5.6%); BIN &lt;-&gt; MET: 35 (4.3%); ACT &lt;-&gt; BIN: 34 (4.1%)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823 отношений</w:t>
      </w:r>
    </w:p>
    <w:p>
      <w:pPr>
        <w:pStyle w:val="Heading2"/>
      </w:pPr>
      <w:r>
        <w:t>3.2. NNT - Текущее нейтральное состояние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настоящее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нейтральная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Описывает существующий факт или состояние без явно положительной либо отрицательной оценки.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 или мероприятие + нейтральное действие, характеристика либо неизменность.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ACT &lt;-&gt; BIN: 170 (33.1%); BIN &lt;-&gt; ECO: 106 (20.6%); BIN &lt;-&gt; MET: 67 (13.0%); CMP &lt;-&gt; MET: 39 (7.6%); MET &lt;-&gt; QUA: 33 (6.4%); BIN &lt;-&gt; INST: 21 (4.1%); BIN &lt;-&gt; SOC: 14 (2.7%); ECO &lt;-&gt; QUA: 10 (1.9%)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514 отношений</w:t>
      </w:r>
    </w:p>
    <w:p>
      <w:pPr>
        <w:pStyle w:val="Heading2"/>
      </w:pPr>
      <w:r>
        <w:t>3.3. NPS - Текущее положительное состояние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настоящее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положительная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Фиксирует благоприятное текущее состояние, улучшение или наличие полезной характеристики.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 + положительная характеристика, изменение или действие.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ACT &lt;-&gt; BIN: 119 (16.4%); BIN &lt;-&gt; ECO: 113 (15.6%); CMP &lt;-&gt; MET: 107 (14.8%); ECO &lt;-&gt; QUA: 75 (10.4%); MET &lt;-&gt; QUA: 61 (8.4%); BIN &lt;-&gt; SOC: 40 (5.5%); CMP &lt;-&gt; ECO: 37 (5.1%); CMP &lt;-&gt; SOC: 28 (3.9%)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724 отношений</w:t>
      </w:r>
    </w:p>
    <w:p>
      <w:pPr>
        <w:pStyle w:val="Heading2"/>
      </w:pPr>
      <w:r>
        <w:t>3.4. PNG - Прошлое отрицательное изменение или итог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прошлое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отрицательная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Обозначает уже произошедшее неблагоприятное изменение, отрицательный результат или ухудшение.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 + завершённое отрицательное изменение или действие.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BIN, CMP, ECO, MET, QUA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CMP &lt;-&gt; MET: 41 (48.8%); CMP &lt;-&gt; ECO: 12 (14.3%); ACT &lt;-&gt; BIN: 9 (10.7%); BIN &lt;-&gt; ECO: 7 (8.3%); BIN &lt;-&gt; MET: 6 (7.1%); ECO &lt;-&gt; QUA: 3 (3.6%); BIN &lt;-&gt; QUA: 2 (2.4%); MET &lt;-&gt; QUA: 1 (1.2%)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84 отношений</w:t>
      </w:r>
    </w:p>
    <w:p>
      <w:pPr>
        <w:pStyle w:val="Heading2"/>
      </w:pPr>
      <w:r>
        <w:t>3.5. PNT - Прошлое нейтральное изменение или итог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прошлое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нейтральная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Обозначает реализованное действие или итог без выраженной оценки результата.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Объект/мероприятие + завершённое нейтральное действие либо изменение.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MET,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BIN &lt;-&gt; ECO: 51 (27.3%); BIN &lt;-&gt; MET: 47 (25.1%); ACT &lt;-&gt; BIN: 41 (21.9%); BIN &lt;-&gt; INST: 17 (9.1%); CMP &lt;-&gt; MET: 10 (5.3%); BIN &lt;-&gt; SOC: 8 (4.3%); BIN &lt;-&gt; BIN: 3 (1.6%); ECO &lt;-&gt; MET: 3 (1.6%)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187 отношений</w:t>
      </w:r>
    </w:p>
    <w:p>
      <w:pPr>
        <w:pStyle w:val="Heading2"/>
      </w:pPr>
      <w:r>
        <w:t>3.6. PPS - Прошлое положительное изменение или итог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прошлое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положительная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Обозначает достигнутый положительный результат, выполненное полезное действие или улучшение.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Объект/показатель/мероприятие + завершённое положительное изменение или действие.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CMP &lt;-&gt; MET: 132 (25.2%); BIN &lt;-&gt; ECO: 123 (23.5%); ACT &lt;-&gt; BIN: 103 (19.7%); CMP &lt;-&gt; ECO: 48 (9.2%); BIN &lt;-&gt; INST: 28 (5.3%); BIN &lt;-&gt; SOC: 16 (3.1%); BIN &lt;-&gt; MET: 16 (3.1%); CMP &lt;-&gt; SOC: 15 (2.9%)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524 отношений</w:t>
      </w:r>
    </w:p>
    <w:p>
      <w:pPr>
        <w:pStyle w:val="Heading2"/>
      </w:pPr>
      <w:r>
        <w:t>3.7. FNG - Будущий отрицательный прогноз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будущее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отрицательная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Прогнозирует ухудшение, негативное изменение или неблагоприятное будущее состояние.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 + ожидаемое отрицательное изменение, действие или качество.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CMP &lt;-&gt; MET: 83 (36.7%); CMP &lt;-&gt; ECO: 32 (14.2%); MET &lt;-&gt; QUA: 20 (8.8%); BIN &lt;-&gt; ECO: 18 (8.0%); BIN &lt;-&gt; QUA: 13 (5.8%); ACT &lt;-&gt; BIN: 11 (4.9%); BIN &lt;-&gt; MET: 10 (4.4%); ECO &lt;-&gt; QUA: 7 (3.1%)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226 отношений</w:t>
      </w:r>
    </w:p>
    <w:p>
      <w:pPr>
        <w:pStyle w:val="Heading2"/>
      </w:pPr>
      <w:r>
        <w:t>3.8. FNT - Будущий нейтральный прогноз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будущее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нейтральная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Фиксирует ожидаемое действие или состояние без выраженной оценки.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Объект/мероприятие + планируемое нейтральное действие либо изменение.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BIN &lt;-&gt; ECO: 27 (20.0%); CMP &lt;-&gt; MET: 24 (17.8%); ACT &lt;-&gt; BIN: 21 (15.6%); BIN &lt;-&gt; MET: 19 (14.1%); BIN &lt;-&gt; BIN: 9 (6.7%); MET &lt;-&gt; QUA: 9 (6.7%); CMP &lt;-&gt; ECO: 7 (5.2%); ECO &lt;-&gt; QUA: 6 (4.4%)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135 отношений</w:t>
      </w:r>
    </w:p>
    <w:p>
      <w:pPr>
        <w:pStyle w:val="Heading2"/>
      </w:pPr>
      <w:r>
        <w:t>3.9. FPS - Будущий положительный прогноз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будущее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положительная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Прогнозирует улучшение, рост, достижение полезного результата или благоприятное состояние.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Объект/показатель + ожидаемое положительное изменение, действие или качество.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CMP &lt;-&gt; MET: 285 (24.7%); CMP &lt;-&gt; ECO: 121 (10.5%); BIN &lt;-&gt; ECO: 107 (9.3%); CMP &lt;-&gt; SOC: 73 (6.3%); BIN &lt;-&gt; SOC: 69 (6.0%); ACT &lt;-&gt; BIN: 57 (4.9%); ECO &lt;-&gt; QUA: 57 (4.9%); MET &lt;-&gt; QUA: 48 (4.2%)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1 152 отношений</w:t>
      </w:r>
    </w:p>
    <w:p>
      <w:pPr>
        <w:pStyle w:val="Heading2"/>
      </w:pPr>
      <w:r>
        <w:t>3.10. GOL - Цель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целевое состояние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не применяется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Связывает абстрактный желаемый результат с объектом, показателем или социальной областью, на которую направлена цель.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Желаемое изменение/действие (CMP, BIN, ACT) + целевой объект (MET, ECO, SOC, ACT, INST).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BIN &lt;-&gt; ECO: 722 (21.0%); CMP &lt;-&gt; MET: 587 (17.1%); BIN &lt;-&gt; SOC: 504 (14.7%); ACT &lt;-&gt; BIN: 374 (10.9%); CMP &lt;-&gt; SOC: 211 (6.1%); CMP &lt;-&gt; ECO: 198 (5.8%); BIN &lt;-&gt; INST: 149 (4.3%); BIN &lt;-&gt; MET: 128 (3.7%)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3 435 отношений</w:t>
      </w:r>
    </w:p>
    <w:p>
      <w:pPr>
        <w:pStyle w:val="Heading2"/>
      </w:pPr>
      <w:r>
        <w:t>3.11. TSK - Задача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Временная рамка: </w:t>
      </w:r>
      <w:r>
        <w:rPr>
          <w:rFonts w:ascii="Calibri" w:hAnsi="Calibri" w:eastAsia="Calibri"/>
        </w:rPr>
        <w:t>план действий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Оценка: </w:t>
      </w:r>
      <w:r>
        <w:rPr>
          <w:rFonts w:ascii="Calibri" w:hAnsi="Calibri" w:eastAsia="Calibri"/>
        </w:rPr>
        <w:t>не применяется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Смысл: </w:t>
      </w:r>
      <w:r>
        <w:rPr>
          <w:rFonts w:ascii="Calibri" w:hAnsi="Calibri" w:eastAsia="Calibri"/>
        </w:rPr>
        <w:t>Связывает конкретное действие или мероприятие с объектом, на который оно направлено; задача операционализирует цель.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Семантически типичная структура: </w:t>
      </w:r>
      <w:r>
        <w:rPr>
          <w:rFonts w:ascii="Calibri" w:hAnsi="Calibri" w:eastAsia="Calibri"/>
        </w:rPr>
        <w:t>Конкретное действие (BIN, CMP, ACT) + объект/мероприятие (ECO, ACT, SOC, MET, INST).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Arg1: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Фактически наблюдавшиеся типы Arg2: </w:t>
      </w:r>
      <w:r>
        <w:rPr>
          <w:rFonts w:ascii="Calibri" w:hAnsi="Calibri" w:eastAsia="Calibri"/>
        </w:rPr>
        <w:t>ACT, BIN, CMP, ECO, INST, MET, QUA, SOC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Наиболее частые пары в очищенном train: </w:t>
      </w:r>
      <w:r>
        <w:rPr>
          <w:rFonts w:ascii="Calibri" w:hAnsi="Calibri" w:eastAsia="Calibri"/>
        </w:rPr>
        <w:t>BIN &lt;-&gt; ECO: 1436 (31.7%); ACT &lt;-&gt; BIN: 997 (22.0%); BIN &lt;-&gt; SOC: 555 (12.3%); CMP &lt;-&gt; MET: 400 (8.8%); CMP &lt;-&gt; ECO: 228 (5.0%); BIN &lt;-&gt; MET: 209 (4.6%); CMP &lt;-&gt; SOC: 113 (2.5%); BIN &lt;-&gt; INST: 107 (2.4%)</w:t>
      </w:r>
    </w:p>
    <w:p>
      <w:pPr>
        <w:keepLines/>
      </w:pPr>
      <w:r>
        <w:rPr>
          <w:rFonts w:ascii="Calibri" w:hAnsi="Calibri" w:eastAsia="Calibri"/>
          <w:b/>
          <w:color w:val="1F3A5F"/>
        </w:rPr>
        <w:t xml:space="preserve">Всего в очищенном train: </w:t>
      </w:r>
      <w:r>
        <w:rPr>
          <w:rFonts w:ascii="Calibri" w:hAnsi="Calibri" w:eastAsia="Calibri"/>
        </w:rPr>
        <w:t>4 527 отношений</w:t>
      </w:r>
    </w:p>
    <w:p>
      <w:pPr>
        <w:pStyle w:val="Heading1"/>
      </w:pPr>
      <w:r>
        <w:t>4. Практические разграничения</w:t>
      </w:r>
    </w:p>
    <w:p>
      <w:pPr>
        <w:pStyle w:val="Heading2"/>
      </w:pPr>
      <w:r>
        <w:t>BIN и ACT</w:t>
      </w:r>
    </w:p>
    <w:p>
      <w:r>
        <w:t>BIN сообщает действие или факт состояния; ACT называет само мероприятие. Пример: «проводится» (BIN) &lt;-&gt; «ремонт помещений» (ACT).</w:t>
      </w:r>
    </w:p>
    <w:p>
      <w:pPr>
        <w:pStyle w:val="Heading2"/>
      </w:pPr>
      <w:r>
        <w:t>CMP и QUA</w:t>
      </w:r>
    </w:p>
    <w:p>
      <w:r>
        <w:t>CMP выражает изменение или сравнение; QUA описывает качество без обязательной динамики. «увеличение» - CMP, «высокий» - QUA.</w:t>
      </w:r>
    </w:p>
    <w:p>
      <w:pPr>
        <w:pStyle w:val="Heading2"/>
      </w:pPr>
      <w:r>
        <w:t>MET и ECO</w:t>
      </w:r>
    </w:p>
    <w:p>
      <w:r>
        <w:t>MET - измеряемый показатель или объект сравнения; ECO - экономический/инфраструктурный объект. «уровень загрузки дорог» - MET, «автомобильные дороги» - ECO.</w:t>
      </w:r>
    </w:p>
    <w:p>
      <w:pPr>
        <w:pStyle w:val="Heading2"/>
      </w:pPr>
      <w:r>
        <w:t>MET и SOC</w:t>
      </w:r>
    </w:p>
    <w:p>
      <w:r>
        <w:t>SOC называет социальное явление или группу; MET - измеряемую характеристику этого явления. «население» - SOC, «численность населения» - MET.</w:t>
      </w:r>
    </w:p>
    <w:p>
      <w:pPr>
        <w:pStyle w:val="Heading2"/>
      </w:pPr>
      <w:r>
        <w:t>INST и ECO</w:t>
      </w:r>
    </w:p>
    <w:p>
      <w:r>
        <w:t>INST - организационный субъект или учреждение; ECO - хозяйственный объект. В исходной инструкции коммерческие компании могут встречаться как ECO, поэтому для новостного домена потребуется отдельный ORG или уточнённое правило.</w:t>
      </w:r>
    </w:p>
    <w:p>
      <w:pPr>
        <w:pStyle w:val="Heading2"/>
      </w:pPr>
      <w:r>
        <w:t>GOL и TSK</w:t>
      </w:r>
    </w:p>
    <w:p>
      <w:r>
        <w:t>GOL описывает желаемый результат высокого уровня; TSK - конкретное действие для его достижения. «повышение доступности услуг» ближе к GOL, «открытие новых станций» - к TSK.</w:t>
      </w:r>
    </w:p>
    <w:p>
      <w:pPr>
        <w:pStyle w:val="Heading1"/>
      </w:pPr>
      <w:r>
        <w:t>5. Использование в проекте</w:t>
      </w:r>
    </w:p>
    <w:p>
      <w:pPr>
        <w:pStyle w:val="ListBullet"/>
      </w:pPr>
      <w:r>
        <w:t>Для NER восемь классов преобразуются в BIO/BILOU-метки с сохранением точных символьных границ.</w:t>
      </w:r>
    </w:p>
    <w:p>
      <w:pPr>
        <w:pStyle w:val="ListBullet"/>
      </w:pPr>
      <w:r>
        <w:t>Для RE положительные пары берутся из R-строк ANN; отрицательные пары NO_RELATION генерируются отдельно и требуют контролируемого negative sampling.</w:t>
      </w:r>
    </w:p>
    <w:p>
      <w:pPr>
        <w:pStyle w:val="ListBullet"/>
      </w:pPr>
      <w:r>
        <w:t>Большинство отношений локальны, поэтому кандидатов целесообразно ограничивать одним предложением или небольшим контекстным окном.</w:t>
      </w:r>
    </w:p>
    <w:p>
      <w:pPr>
        <w:pStyle w:val="ListBullet"/>
      </w:pPr>
      <w:r>
        <w:t>Для экономических новостей исходную схему потребуется расширить классами организаций, персон, географии, денег, процентов, дат, продуктов и отраслей.</w:t>
      </w:r>
    </w:p>
    <w:p>
      <w:pPr>
        <w:pStyle w:val="ListBullet"/>
      </w:pPr>
      <w:r>
        <w:t>При подготовке train/validation нужно группировать фрагменты по исходному документу и удалять дубли между партиями.</w:t>
      </w:r>
    </w:p>
    <w:p>
      <w:pPr>
        <w:pStyle w:val="Heading1"/>
      </w:pPr>
      <w:r>
        <w:t>6. Источники и методика</w:t>
      </w:r>
    </w:p>
    <w:p>
      <w:r>
        <w:t>Глоссарий составлен по официальному репозиторию RuREBus, инструкции для разметчиков и эмпирическому анализу очищенной обучающей части корпуса. Статистика рассчитана после удаления шести точных дублей с приоритетом более поздней train_part_3. Итоговая база: 182 уникальных фрагмента, 52 063 сущности и 12 331 отношение.</w:t>
      </w:r>
    </w:p>
    <w:p>
      <w:pPr>
        <w:pStyle w:val="ListBullet"/>
      </w:pPr>
      <w:r>
        <w:t>RuREBus repository: https://github.com/dialogue-evaluation/RuREBus</w:t>
      </w:r>
    </w:p>
    <w:p>
      <w:pPr>
        <w:pStyle w:val="ListBullet"/>
      </w:pPr>
      <w:r>
        <w:t>RuREBus README и официальные evaluation scripts.</w:t>
      </w:r>
    </w:p>
    <w:p>
      <w:pPr>
        <w:pStyle w:val="ListBullet"/>
      </w:pPr>
      <w:r>
        <w:t>Инструкция по разметке корпуса для задачи выделения сущностей (markup_instruction.pdf).</w:t>
      </w:r>
    </w:p>
    <w:p>
      <w:pPr>
        <w:pStyle w:val="ListBullet"/>
      </w:pPr>
      <w:r>
        <w:t>Локальный EDA корпуса, дата анализа: 22 августа 2026 года.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Страница </w:t>
    </w:r>
    <w:r>
      <w:rPr>
        <w:rFonts w:ascii="Calibri" w:hAnsi="Calibri" w:eastAsia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8"/>
      </w:rPr>
      <w:t>RuREBus | Глоссарий схемы разметки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Глоссарий RuREBus: сущности, отношения и операнды</dc:title>
  <dc:subject>Схема разметки RuREBus для NLP-проекта</dc:subject>
  <dc:creator>NLP Project</dc:creator>
  <cp:keywords>RuREBus, NER, relation extraction, BRAT, glossary</cp:keywords>
  <dc:description>Сформировано на основе официальной инструкции и фактической разметки корпуса.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